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NÁRODNÁ RADA SLOVENSKEJ REPUBLIKY</w:t>
      </w:r>
    </w:p>
    <w:p w:rsidR="00000000" w:rsidDel="00000000" w:rsidP="00000000" w:rsidRDefault="00000000" w:rsidRPr="00000000" w14:paraId="00000002">
      <w:pPr>
        <w:widowControl w:val="1"/>
        <w:pBdr>
          <w:bottom w:color="000000" w:space="1" w:sz="12" w:val="single"/>
        </w:pBd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VIII. volebné obdobie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Návrh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ZÁKON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z ... 2022,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ktorým sa mení a dopĺňa zákon č. 301/2005 Z. z. Trestný poriadok.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Národná rada Slovenskej republiky sa uzniesla na tomto zákone: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Čl. I</w:t>
      </w:r>
    </w:p>
    <w:p w:rsidR="00000000" w:rsidDel="00000000" w:rsidP="00000000" w:rsidRDefault="00000000" w:rsidRPr="00000000" w14:paraId="00000011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firstLine="708"/>
        <w:jc w:val="both"/>
        <w:rPr/>
      </w:pPr>
      <w:r w:rsidDel="00000000" w:rsidR="00000000" w:rsidRPr="00000000">
        <w:rPr>
          <w:rtl w:val="0"/>
        </w:rPr>
        <w:t xml:space="preserve"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zákona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zákona č. 307/2014 Z. z., zákona č. 353/2014 Z. z., zákona č. 78/2015 Z. z., zákona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č. 161/2018 Z. z., zákona č. 321/2018 Z. z., zákona č. 3/2019 Z. z., zákona č. 6/2019 Z. z., zákona č. 54/2019 Z. z., zákona č. 161/2018 Z. z., zákona č. 314/2018 Z. z., zákona č. 35/2019 Z. z., zákona č. 214/2019 Z. z., zákona č. 231/2019 Z. z., zákona č. 312/2020 Z. z., zákona č. 423/2020 Z. z., zákona č. 308/2021 Z. z., zákona č. 432/2021 Z. z. sa zákona č. 150/2022 Z.z. a mení a dopĺňa takto:</w:t>
      </w:r>
    </w:p>
    <w:p w:rsidR="00000000" w:rsidDel="00000000" w:rsidP="00000000" w:rsidRDefault="00000000" w:rsidRPr="00000000" w14:paraId="00000013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 V § 185 ods. 5 sa za slová „podľa § 191“ vkladajú slová „alebo ide o uznesenie o zrušení právoplatného rozhodnutia v prípravnom konaní podľa § 363“.</w:t>
      </w:r>
    </w:p>
    <w:p w:rsidR="00000000" w:rsidDel="00000000" w:rsidP="00000000" w:rsidRDefault="00000000" w:rsidRPr="00000000" w14:paraId="00000015">
      <w:pPr>
        <w:widowControl w:val="1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2. V § 186 sa dopĺňa nový odsek 3, ktorý znie: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„(3) Proti uzneseniu o zrušení právoplatného rozhodnutia v prípravnom konaní podľa § 363 môže podať sťažnosť aj prokurátor a policajt.”</w:t>
      </w:r>
    </w:p>
    <w:p w:rsidR="00000000" w:rsidDel="00000000" w:rsidP="00000000" w:rsidRDefault="00000000" w:rsidRPr="00000000" w14:paraId="00000017">
      <w:pPr>
        <w:widowControl w:val="1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3. V § 363 ods. 1 sa na konci pripája nasledovné: </w:t>
      </w:r>
    </w:p>
    <w:p w:rsidR="00000000" w:rsidDel="00000000" w:rsidP="00000000" w:rsidRDefault="00000000" w:rsidRPr="00000000" w14:paraId="00000018">
      <w:pPr>
        <w:widowControl w:val="1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„Porušením zákona sa rozumie podstatné pochybenie, ktoré mohlo ovplyvniť rozhodnutie vo veci. Oprávnenie generálneho prokurátora podľa prvej vety sa nevzťahuje na uznesenie o vznesení obvinenia“.</w:t>
      </w:r>
    </w:p>
    <w:p w:rsidR="00000000" w:rsidDel="00000000" w:rsidP="00000000" w:rsidRDefault="00000000" w:rsidRPr="00000000" w14:paraId="00000019">
      <w:pPr>
        <w:widowControl w:val="1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4. § 363 ods. 3 znie:</w:t>
      </w:r>
    </w:p>
    <w:p w:rsidR="00000000" w:rsidDel="00000000" w:rsidP="00000000" w:rsidRDefault="00000000" w:rsidRPr="00000000" w14:paraId="0000001A">
      <w:pPr>
        <w:widowControl w:val="1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„Generálny prokurátor v konaní podľa odseku 1 rozhodne uznesením, proti ktorému možno v súlade s § 185 ods. 5 podať sťažnosť, ktorá má odkladný účinok .“</w:t>
      </w:r>
    </w:p>
    <w:p w:rsidR="00000000" w:rsidDel="00000000" w:rsidP="00000000" w:rsidRDefault="00000000" w:rsidRPr="00000000" w14:paraId="0000001B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Čl. II</w:t>
      </w:r>
    </w:p>
    <w:p w:rsidR="00000000" w:rsidDel="00000000" w:rsidP="00000000" w:rsidRDefault="00000000" w:rsidRPr="00000000" w14:paraId="0000001F">
      <w:pPr>
        <w:widowControl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jc w:val="both"/>
        <w:rPr/>
      </w:pPr>
      <w:r w:rsidDel="00000000" w:rsidR="00000000" w:rsidRPr="00000000">
        <w:rPr>
          <w:rtl w:val="0"/>
        </w:rPr>
        <w:t xml:space="preserve">Tento zákon nadobúda účinnosť dňa 1. </w:t>
      </w:r>
      <w:r w:rsidDel="00000000" w:rsidR="00000000" w:rsidRPr="00000000">
        <w:rPr>
          <w:highlight w:val="white"/>
          <w:rtl w:val="0"/>
        </w:rPr>
        <w:t xml:space="preserve">decembra </w:t>
      </w:r>
      <w:r w:rsidDel="00000000" w:rsidR="00000000" w:rsidRPr="00000000">
        <w:rPr>
          <w:rtl w:val="0"/>
        </w:rPr>
        <w:t xml:space="preserve">2022.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AA4F46"/>
    <w:pPr>
      <w:widowControl w:val="0"/>
      <w:suppressAutoHyphens w:val="1"/>
    </w:pPr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paragraph" w:styleId="Nadpis1">
    <w:name w:val="heading 1"/>
    <w:basedOn w:val="Normlny"/>
    <w:link w:val="Nadpis1Char"/>
    <w:uiPriority w:val="9"/>
    <w:qFormat w:val="1"/>
    <w:rsid w:val="0017622F"/>
    <w:pPr>
      <w:widowControl w:val="1"/>
      <w:suppressAutoHyphens w:val="0"/>
      <w:spacing w:after="100" w:afterAutospacing="1" w:before="100" w:beforeAutospacing="1"/>
      <w:outlineLvl w:val="0"/>
    </w:pPr>
    <w:rPr>
      <w:rFonts w:cs="Times New Roman" w:eastAsia="Times New Roman"/>
      <w:b w:val="1"/>
      <w:bCs w:val="1"/>
      <w:kern w:val="36"/>
      <w:sz w:val="48"/>
      <w:szCs w:val="48"/>
      <w:lang w:bidi="ar-SA" w:eastAsia="en-US" w:val="en-US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Predvolenpsmoodseku"/>
    <w:link w:val="Nadpis1"/>
    <w:uiPriority w:val="9"/>
    <w:locked w:val="1"/>
    <w:rsid w:val="0017622F"/>
    <w:rPr>
      <w:rFonts w:ascii="Times New Roman" w:cs="Times New Roman" w:hAnsi="Times New Roman"/>
      <w:b w:val="1"/>
      <w:bCs w:val="1"/>
      <w:kern w:val="36"/>
      <w:sz w:val="48"/>
      <w:szCs w:val="48"/>
      <w:rtl w:val="0"/>
      <w:cs w:val="0"/>
      <w:lang w:eastAsia="x-none" w:val="en-US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 w:val="1"/>
      <w:tabs>
        <w:tab w:val="center" w:pos="4536"/>
        <w:tab w:val="right" w:pos="9072"/>
      </w:tabs>
      <w:suppressAutoHyphens w:val="0"/>
    </w:pPr>
    <w:rPr>
      <w:rFonts w:ascii="Arial" w:cs="Arial" w:eastAsia="Times New Roman" w:hAnsi="Arial"/>
      <w:kern w:val="0"/>
      <w:sz w:val="20"/>
      <w:szCs w:val="20"/>
      <w:lang w:bidi="ar-SA" w:eastAsia="sk-SK"/>
    </w:rPr>
  </w:style>
  <w:style w:type="character" w:styleId="PtaChar" w:customStyle="1">
    <w:name w:val="Päta Char"/>
    <w:basedOn w:val="Predvolenpsmoodseku"/>
    <w:link w:val="Pta"/>
    <w:uiPriority w:val="99"/>
    <w:locked w:val="1"/>
    <w:rsid w:val="0090548E"/>
    <w:rPr>
      <w:rFonts w:ascii="Arial" w:cs="Arial" w:hAnsi="Arial"/>
      <w:sz w:val="20"/>
      <w:szCs w:val="20"/>
      <w:rtl w:val="0"/>
      <w:cs w:val="0"/>
      <w:lang w:eastAsia="sk-SK" w:val="x-none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 w:val="1"/>
    <w:unhideWhenUsed w:val="1"/>
    <w:rsid w:val="0090548E"/>
    <w:pPr>
      <w:tabs>
        <w:tab w:val="center" w:pos="4536"/>
        <w:tab w:val="right" w:pos="9072"/>
      </w:tabs>
    </w:pPr>
    <w:rPr>
      <w:szCs w:val="21"/>
    </w:rPr>
  </w:style>
  <w:style w:type="character" w:styleId="HlavikaChar" w:customStyle="1">
    <w:name w:val="Hlavička Char"/>
    <w:basedOn w:val="Predvolenpsmoodseku"/>
    <w:link w:val="Hlavika"/>
    <w:uiPriority w:val="99"/>
    <w:semiHidden w:val="1"/>
    <w:locked w:val="1"/>
    <w:rsid w:val="0090548E"/>
    <w:rPr>
      <w:rFonts w:ascii="Times New Roman" w:cs="Mangal" w:eastAsia="SimSun" w:hAnsi="Times New Roman"/>
      <w:kern w:val="1"/>
      <w:sz w:val="21"/>
      <w:szCs w:val="21"/>
      <w:rtl w:val="0"/>
      <w:cs w:val="0"/>
      <w:lang w:bidi="hi-IN" w:eastAsia="hi-IN" w:val="x-none"/>
    </w:rPr>
  </w:style>
  <w:style w:type="paragraph" w:styleId="Normlnywebov">
    <w:name w:val="Normal (Web)"/>
    <w:aliases w:val="webb"/>
    <w:basedOn w:val="Normlny"/>
    <w:uiPriority w:val="99"/>
    <w:unhideWhenUsed w:val="1"/>
    <w:rsid w:val="0017622F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sk-SK"/>
    </w:rPr>
  </w:style>
  <w:style w:type="paragraph" w:styleId="Textpoznmkypodiarou">
    <w:name w:val="footnote text"/>
    <w:basedOn w:val="Normlny"/>
    <w:link w:val="TextpoznmkypodiarouChar"/>
    <w:uiPriority w:val="99"/>
    <w:unhideWhenUsed w:val="1"/>
    <w:rsid w:val="0017622F"/>
    <w:pPr>
      <w:widowControl w:val="1"/>
      <w:suppressAutoHyphens w:val="0"/>
    </w:pPr>
    <w:rPr>
      <w:rFonts w:cs="Times New Roman" w:eastAsia="Times New Roman"/>
      <w:kern w:val="0"/>
      <w:sz w:val="20"/>
      <w:szCs w:val="20"/>
      <w:lang w:bidi="ar-SA" w:eastAsia="sk-SK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locked w:val="1"/>
    <w:rsid w:val="0017622F"/>
    <w:rPr>
      <w:rFonts w:ascii="Times New Roman" w:cs="Times New Roman" w:hAnsi="Times New Roman"/>
      <w:sz w:val="20"/>
      <w:szCs w:val="20"/>
      <w:rtl w:val="0"/>
      <w:cs w:val="0"/>
      <w:lang w:eastAsia="sk-SK" w:val="x-none"/>
    </w:rPr>
  </w:style>
  <w:style w:type="character" w:styleId="Odkaznapoznmkupodiarou">
    <w:name w:val="footnote reference"/>
    <w:basedOn w:val="Predvolenpsmoodseku"/>
    <w:uiPriority w:val="99"/>
    <w:unhideWhenUsed w:val="1"/>
    <w:rsid w:val="0017622F"/>
    <w:rPr>
      <w:rFonts w:cs="Times New Roman"/>
      <w:vertAlign w:val="superscript"/>
      <w:rtl w:val="0"/>
      <w:cs w:val="0"/>
    </w:rPr>
  </w:style>
  <w:style w:type="character" w:styleId="apple-converted-space" w:customStyle="1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styleId="h1a" w:customStyle="1">
    <w:name w:val="h1a"/>
    <w:basedOn w:val="Predvolenpsmoodseku"/>
    <w:rsid w:val="0017622F"/>
    <w:rPr>
      <w:rFonts w:cs="Times New Roman"/>
      <w:rtl w:val="0"/>
      <w:cs w:val="0"/>
    </w:rPr>
  </w:style>
  <w:style w:type="paragraph" w:styleId="Vchodzie" w:customStyle="1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cs="Calibri" w:hAnsi="Calibri" w:eastAsiaTheme="minorEastAsia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 w:val="1"/>
    <w:rsid w:val="00B27D05"/>
    <w:pPr>
      <w:ind w:left="720"/>
      <w:contextualSpacing w:val="1"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B6575B"/>
    <w:rPr>
      <w:rFonts w:ascii="Tahoma" w:hAnsi="Tahoma"/>
      <w:sz w:val="16"/>
      <w:szCs w:val="14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locked w:val="1"/>
    <w:rsid w:val="00B6575B"/>
    <w:rPr>
      <w:rFonts w:ascii="Tahoma" w:cs="Mangal" w:eastAsia="SimSun" w:hAnsi="Tahoma"/>
      <w:kern w:val="1"/>
      <w:sz w:val="14"/>
      <w:szCs w:val="14"/>
      <w:rtl w:val="0"/>
      <w:cs w:val="0"/>
      <w:lang w:bidi="hi-IN" w:eastAsia="hi-IN" w:val="x-none"/>
    </w:rPr>
  </w:style>
  <w:style w:type="character" w:styleId="Odkaznakomentr">
    <w:name w:val="annotation reference"/>
    <w:basedOn w:val="Predvolenpsmoodseku"/>
    <w:uiPriority w:val="99"/>
    <w:semiHidden w:val="1"/>
    <w:unhideWhenUsed w:val="1"/>
    <w:rsid w:val="00CE0E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 w:val="1"/>
    <w:rsid w:val="00CE0EB2"/>
    <w:rPr>
      <w:sz w:val="20"/>
      <w:szCs w:val="18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CE0EB2"/>
    <w:rPr>
      <w:rFonts w:ascii="Times New Roman" w:cs="Mangal" w:eastAsia="SimSun" w:hAnsi="Times New Roman"/>
      <w:kern w:val="1"/>
      <w:sz w:val="20"/>
      <w:szCs w:val="18"/>
      <w:lang w:bidi="hi-IN" w:eastAsia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CE0EB2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CE0EB2"/>
    <w:rPr>
      <w:rFonts w:ascii="Times New Roman" w:cs="Mangal" w:eastAsia="SimSun" w:hAnsi="Times New Roman"/>
      <w:b w:val="1"/>
      <w:bCs w:val="1"/>
      <w:kern w:val="1"/>
      <w:sz w:val="20"/>
      <w:szCs w:val="18"/>
      <w:lang w:bidi="hi-IN" w:eastAsia="hi-IN"/>
    </w:rPr>
  </w:style>
  <w:style w:type="paragraph" w:styleId="Revzia">
    <w:name w:val="Revision"/>
    <w:hidden w:val="1"/>
    <w:uiPriority w:val="99"/>
    <w:semiHidden w:val="1"/>
    <w:rsid w:val="00F91ED9"/>
    <w:rPr>
      <w:rFonts w:ascii="Times New Roman" w:cs="Mangal" w:eastAsia="SimSun" w:hAnsi="Times New Roman"/>
      <w:kern w:val="1"/>
      <w:sz w:val="24"/>
      <w:szCs w:val="21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e7Y/nRs1Fn3q5pqgmaaY4Pdxg==">AMUW2mUdx+Fj4iyIq9d01N2n2SjUQwk863GcKboyVxyz0VEwQl631EyM665fEEGDMTjvmo+pVd89ySUw+J8hdwBPYuNJ/hktz51A2RoY0B1raq7pCf3003w=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2022-04-05T20:56:00Z</dcterms:created>
</cp:coreProperties>
</file>