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68" w:rsidRDefault="00C05268" w:rsidP="00C05268">
      <w:pPr>
        <w:widowControl/>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DÔVODOVÁ SPRÁVA</w:t>
      </w:r>
    </w:p>
    <w:p w:rsidR="00C05268" w:rsidRDefault="00C05268" w:rsidP="00C05268">
      <w:pPr>
        <w:widowControl/>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Všeobecná časť</w:t>
      </w:r>
    </w:p>
    <w:p w:rsidR="00C05268" w:rsidRDefault="00C05268" w:rsidP="00C05268">
      <w:pPr>
        <w:widowControl/>
        <w:pBdr>
          <w:top w:val="nil"/>
          <w:left w:val="nil"/>
          <w:bottom w:val="nil"/>
          <w:right w:val="nil"/>
          <w:between w:val="nil"/>
        </w:pBdr>
        <w:ind w:left="720"/>
        <w:jc w:val="both"/>
        <w:rPr>
          <w:rFonts w:ascii="Times New Roman" w:eastAsia="Times New Roman" w:hAnsi="Times New Roman" w:cs="Times New Roman"/>
          <w:b/>
          <w:color w:val="000000"/>
        </w:rPr>
      </w:pPr>
    </w:p>
    <w:p w:rsidR="00C05268" w:rsidRDefault="00C05268" w:rsidP="00C05268">
      <w:pPr>
        <w:widowControl/>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Návrh zákona, ktorým sa mení a dopĺňa zákon Národnej rady Slovenskej republiky </w:t>
      </w:r>
      <w:r>
        <w:rPr>
          <w:rFonts w:ascii="Times New Roman" w:eastAsia="Times New Roman" w:hAnsi="Times New Roman" w:cs="Times New Roman"/>
          <w:color w:val="000000"/>
        </w:rPr>
        <w:br/>
        <w:t xml:space="preserve">č. 152/1995 Z. z. o potravinách v znení neskorších predpisov (ďalej len „návrh zákona“) predkladá poslanec Národnej rady Slovenskej republiky </w:t>
      </w:r>
      <w:proofErr w:type="spellStart"/>
      <w:r>
        <w:rPr>
          <w:rFonts w:ascii="Times New Roman" w:eastAsia="Times New Roman" w:hAnsi="Times New Roman" w:cs="Times New Roman"/>
          <w:color w:val="000000"/>
        </w:rPr>
        <w:t>Patrick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Linhart</w:t>
      </w:r>
      <w:proofErr w:type="spellEnd"/>
      <w:r>
        <w:rPr>
          <w:rFonts w:ascii="Times New Roman" w:eastAsia="Times New Roman" w:hAnsi="Times New Roman" w:cs="Times New Roman"/>
          <w:color w:val="000000"/>
        </w:rPr>
        <w:t xml:space="preserve"> z vlastnej iniciatívy. </w:t>
      </w:r>
    </w:p>
    <w:p w:rsidR="00C05268" w:rsidRDefault="00C05268" w:rsidP="00C05268">
      <w:pPr>
        <w:widowControl/>
        <w:spacing w:before="60" w:line="276" w:lineRule="auto"/>
        <w:jc w:val="both"/>
        <w:rPr>
          <w:rFonts w:ascii="Times New Roman" w:eastAsia="Times New Roman" w:hAnsi="Times New Roman" w:cs="Times New Roman"/>
          <w:color w:val="000000"/>
        </w:rPr>
      </w:pPr>
    </w:p>
    <w:p w:rsidR="00C05268" w:rsidRDefault="00C05268" w:rsidP="00C05268">
      <w:pPr>
        <w:widowControl/>
        <w:spacing w:before="60" w:line="276"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Účelom návrhu zákona je aby v zariadení školského stravovania, u poskytovateľa zdravotnej starostlivosti, u poskytovateľa sociálnej služby, v centre pre deti a rodiny ako aj na vysokej škole, ak táto zabezpečuje stravovanie pre študentov pripravovali jedlá a nápoje výlučne len z potravín, ktoré sú registrované v registri potravín pre potravinový semafor. Cieľom tohto opatrenia je, aby sa tieto jedlá a nápoje pripravovali z kvalitných a zdravých potravín. </w:t>
      </w:r>
    </w:p>
    <w:p w:rsidR="00C05268" w:rsidRDefault="00C05268" w:rsidP="00C05268">
      <w:pPr>
        <w:widowControl/>
        <w:spacing w:before="60"/>
        <w:jc w:val="both"/>
        <w:rPr>
          <w:rFonts w:ascii="Times New Roman" w:eastAsia="Times New Roman" w:hAnsi="Times New Roman" w:cs="Times New Roman"/>
          <w:color w:val="000000"/>
        </w:rPr>
      </w:pPr>
    </w:p>
    <w:p w:rsidR="00C05268" w:rsidRDefault="00C05268" w:rsidP="00C05268">
      <w:pPr>
        <w:widowControl/>
        <w:spacing w:before="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Prijatie návrhu zákona nebude mať vplyvy na rozpočet verejnej správy, vplyvy na podnikateľské prostredie, vplyvy na informatizáciu spoločnosti, vplyvy na životné prostredie, vplyvy na služby verejnej správy pre občana, sociálne vplyvy a ani vplyvy na manželstvo, rodičovstvo a rodinu.</w:t>
      </w:r>
    </w:p>
    <w:p w:rsidR="00C05268" w:rsidRDefault="00C05268" w:rsidP="00C05268">
      <w:pPr>
        <w:widowControl/>
        <w:jc w:val="both"/>
        <w:rPr>
          <w:rFonts w:ascii="Times New Roman" w:eastAsia="Times New Roman" w:hAnsi="Times New Roman" w:cs="Times New Roman"/>
          <w:color w:val="000000"/>
        </w:rPr>
      </w:pPr>
    </w:p>
    <w:p w:rsidR="00C05268" w:rsidRDefault="00C05268" w:rsidP="00C05268">
      <w:pPr>
        <w:widowControl/>
        <w:ind w:firstLine="360"/>
        <w:jc w:val="both"/>
        <w:rPr>
          <w:rFonts w:ascii="Times New Roman" w:eastAsia="Times New Roman" w:hAnsi="Times New Roman" w:cs="Times New Roman"/>
        </w:rPr>
      </w:pPr>
      <w:r>
        <w:rPr>
          <w:rFonts w:ascii="Times New Roman" w:eastAsia="Times New Roman" w:hAnsi="Times New Roman" w:cs="Times New Roman"/>
          <w:color w:val="000000"/>
        </w:rPr>
        <w:t xml:space="preserve">Návrh zákona je v súlade s Ústavou Slovenskej republiky, ústavnými zákonmi, medzinárodnými zmluvami, ktorými je Slovenská republika viazaná a zákonmi a súčasne je v súlade aj s právom Európskej únie. </w:t>
      </w:r>
    </w:p>
    <w:p w:rsidR="00C05268" w:rsidRDefault="00C05268" w:rsidP="00C05268">
      <w:pPr>
        <w:widowControl/>
        <w:spacing w:before="60"/>
        <w:jc w:val="both"/>
        <w:rPr>
          <w:rFonts w:ascii="Times New Roman" w:eastAsia="Times New Roman" w:hAnsi="Times New Roman" w:cs="Times New Roman"/>
          <w:color w:val="000000"/>
        </w:rPr>
      </w:pPr>
    </w:p>
    <w:p w:rsidR="00C05268" w:rsidRDefault="00C05268" w:rsidP="00C05268">
      <w:pPr>
        <w:widowControl/>
        <w:spacing w:before="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Vzhľadom na predpokladanú dĺžku legislatívneho procesu a dostatočnú </w:t>
      </w:r>
      <w:proofErr w:type="spellStart"/>
      <w:r>
        <w:rPr>
          <w:rFonts w:ascii="Times New Roman" w:eastAsia="Times New Roman" w:hAnsi="Times New Roman" w:cs="Times New Roman"/>
          <w:color w:val="000000"/>
        </w:rPr>
        <w:t>legisvakanciu</w:t>
      </w:r>
      <w:proofErr w:type="spellEnd"/>
      <w:r>
        <w:rPr>
          <w:rFonts w:ascii="Times New Roman" w:eastAsia="Times New Roman" w:hAnsi="Times New Roman" w:cs="Times New Roman"/>
          <w:color w:val="000000"/>
        </w:rPr>
        <w:t xml:space="preserve"> sa navrhuje účinnosť zákona 1.január 2023.</w:t>
      </w:r>
    </w:p>
    <w:p w:rsidR="00C05268" w:rsidRDefault="00C05268" w:rsidP="00C05268">
      <w:pPr>
        <w:widowControl/>
        <w:spacing w:before="60"/>
        <w:ind w:firstLine="708"/>
        <w:jc w:val="both"/>
        <w:rPr>
          <w:rFonts w:ascii="Times New Roman" w:eastAsia="Times New Roman" w:hAnsi="Times New Roman" w:cs="Times New Roman"/>
          <w:b/>
          <w:color w:val="000000"/>
        </w:rPr>
      </w:pPr>
    </w:p>
    <w:p w:rsidR="00C05268" w:rsidRDefault="00C05268" w:rsidP="00C05268">
      <w:pPr>
        <w:widowControl/>
        <w:spacing w:before="60" w:after="60"/>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B. Osobitná časť</w:t>
      </w:r>
    </w:p>
    <w:p w:rsidR="00C05268" w:rsidRDefault="00C05268" w:rsidP="00C05268">
      <w:pPr>
        <w:widowControl/>
        <w:spacing w:before="60" w:after="60"/>
        <w:jc w:val="both"/>
        <w:rPr>
          <w:rFonts w:ascii="Times New Roman" w:eastAsia="Times New Roman" w:hAnsi="Times New Roman" w:cs="Times New Roman"/>
          <w:b/>
          <w:color w:val="000000"/>
        </w:rPr>
      </w:pPr>
    </w:p>
    <w:p w:rsidR="00C05268" w:rsidRDefault="00C05268" w:rsidP="00C05268">
      <w:pPr>
        <w:widowControl/>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w:t>
      </w:r>
    </w:p>
    <w:p w:rsidR="00C05268" w:rsidRDefault="00C05268" w:rsidP="00C05268">
      <w:pPr>
        <w:widowControl/>
        <w:spacing w:before="60" w:after="60"/>
        <w:jc w:val="both"/>
        <w:rPr>
          <w:rFonts w:ascii="Times New Roman" w:eastAsia="Times New Roman" w:hAnsi="Times New Roman" w:cs="Times New Roman"/>
          <w:b/>
          <w:color w:val="000000"/>
        </w:rPr>
      </w:pPr>
    </w:p>
    <w:p w:rsidR="00C05268" w:rsidRDefault="00C05268" w:rsidP="00C05268">
      <w:pPr>
        <w:widowControl/>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1</w:t>
      </w:r>
    </w:p>
    <w:p w:rsidR="00C05268" w:rsidRDefault="00C05268" w:rsidP="00C05268">
      <w:pPr>
        <w:widowControl/>
        <w:spacing w:before="60" w:after="6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Navrhuje sa, aby v zariadení školského stravovania, u poskytovateľa zdravotnej starostlivosti, u poskytovateľa sociálnej služby, v centre pre deti a rodiny ako aj na vysokej škole, ak táto zabezpečuje stravovanie pre študentov pripravovali jedlá a nápoje výlučne len z potravín, ktoré sú registrované v registri potravín pre potravinový semafor. Cieľom tohto opatrenia je, aby sa tieto jedlá a nápoje pripravovali z kvalitných a zdravých potravín.</w:t>
      </w:r>
    </w:p>
    <w:p w:rsidR="00C05268" w:rsidRDefault="00C05268" w:rsidP="00C05268">
      <w:pPr>
        <w:widowControl/>
        <w:spacing w:before="60" w:after="60" w:line="276" w:lineRule="auto"/>
        <w:jc w:val="both"/>
        <w:rPr>
          <w:rFonts w:ascii="Times New Roman" w:eastAsia="Times New Roman" w:hAnsi="Times New Roman" w:cs="Times New Roman"/>
          <w:color w:val="000000"/>
        </w:rPr>
      </w:pPr>
    </w:p>
    <w:p w:rsidR="00C05268" w:rsidRDefault="00C05268" w:rsidP="00C05268">
      <w:pPr>
        <w:widowControl/>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bodom 2 a 3</w:t>
      </w:r>
    </w:p>
    <w:p w:rsidR="00C05268" w:rsidRDefault="00C05268" w:rsidP="00C05268">
      <w:pPr>
        <w:widowControl/>
        <w:spacing w:before="60" w:after="6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nadväznosti na úpravu v bode 1 sa navrhuje ustanoviť orgánu štátnej veterinárnej a potravinovej správy nová kompetencia kontrolovať dodržiavanie povinnosti podľa § 6a ods. 4. Súčasne sa navrhuje ustanoviť sankciu za nesplnenie povinnosti podľa § 6a ods. 4. </w:t>
      </w:r>
    </w:p>
    <w:p w:rsidR="00C05268" w:rsidRDefault="00C05268" w:rsidP="00C05268">
      <w:pPr>
        <w:widowControl/>
        <w:spacing w:before="60" w:after="60" w:line="276" w:lineRule="auto"/>
        <w:jc w:val="both"/>
        <w:rPr>
          <w:rFonts w:ascii="Times New Roman" w:eastAsia="Times New Roman" w:hAnsi="Times New Roman" w:cs="Times New Roman"/>
          <w:color w:val="000000"/>
        </w:rPr>
      </w:pPr>
    </w:p>
    <w:p w:rsidR="00C05268" w:rsidRDefault="00C05268" w:rsidP="00C05268">
      <w:pPr>
        <w:widowControl/>
        <w:spacing w:before="60" w:after="6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4</w:t>
      </w:r>
    </w:p>
    <w:p w:rsidR="00C05268" w:rsidRDefault="00C05268" w:rsidP="00C05268">
      <w:pPr>
        <w:widowControl/>
        <w:spacing w:before="60" w:after="6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Legislatívno-technická úprava v nadväznosti na bod 3.</w:t>
      </w:r>
    </w:p>
    <w:p w:rsidR="00C05268" w:rsidRDefault="00C05268" w:rsidP="00C05268">
      <w:pPr>
        <w:widowControl/>
        <w:spacing w:before="60" w:after="60" w:line="276" w:lineRule="auto"/>
        <w:jc w:val="both"/>
        <w:rPr>
          <w:rFonts w:ascii="Times New Roman" w:eastAsia="Times New Roman" w:hAnsi="Times New Roman" w:cs="Times New Roman"/>
          <w:color w:val="000000"/>
        </w:rPr>
      </w:pPr>
    </w:p>
    <w:p w:rsidR="00C05268" w:rsidRDefault="00C05268" w:rsidP="00C05268">
      <w:pPr>
        <w:widowControl/>
        <w:spacing w:before="60" w:after="6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5</w:t>
      </w:r>
    </w:p>
    <w:p w:rsidR="00C05268" w:rsidRDefault="00C05268" w:rsidP="00C05268">
      <w:pPr>
        <w:widowControl/>
        <w:spacing w:before="60" w:after="6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Navrhuje sa, aby bolo možné pri opakovanom porušení povinností uložiť pokutu až do jej dvojnásobku.</w:t>
      </w:r>
    </w:p>
    <w:p w:rsidR="00C05268" w:rsidRDefault="00C05268" w:rsidP="00C05268">
      <w:pPr>
        <w:widowControl/>
        <w:spacing w:before="60" w:after="60" w:line="276" w:lineRule="auto"/>
        <w:jc w:val="both"/>
        <w:rPr>
          <w:rFonts w:ascii="Times New Roman" w:eastAsia="Times New Roman" w:hAnsi="Times New Roman" w:cs="Times New Roman"/>
          <w:color w:val="000000"/>
        </w:rPr>
      </w:pPr>
    </w:p>
    <w:p w:rsidR="00C05268" w:rsidRDefault="00C05268" w:rsidP="00C05268">
      <w:pPr>
        <w:widowControl/>
        <w:spacing w:before="60" w:after="6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bodu 6</w:t>
      </w:r>
    </w:p>
    <w:p w:rsidR="00C05268" w:rsidRDefault="00C05268" w:rsidP="00C05268">
      <w:pPr>
        <w:widowControl/>
        <w:spacing w:before="60" w:after="6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Prechodné ustanovenie, ktorým sa zabezpečí, že nová povinnosť podľa § 6a ods. 4 sa nebude uplatňovať najneskôr do ... 2023 a tým sa vytvorí dostatočný časový priestor na to, aby sa doterajší dodávatelia prispôsobili novej právnej úprave.</w:t>
      </w:r>
    </w:p>
    <w:p w:rsidR="00C05268" w:rsidRDefault="00C05268" w:rsidP="00C05268">
      <w:pPr>
        <w:widowControl/>
        <w:spacing w:before="60" w:after="60"/>
        <w:jc w:val="both"/>
        <w:rPr>
          <w:rFonts w:ascii="Times New Roman" w:eastAsia="Times New Roman" w:hAnsi="Times New Roman" w:cs="Times New Roman"/>
          <w:color w:val="000000"/>
        </w:rPr>
      </w:pPr>
    </w:p>
    <w:p w:rsidR="00C05268" w:rsidRDefault="00C05268" w:rsidP="00C05268">
      <w:pPr>
        <w:widowControl/>
        <w:spacing w:before="60" w:after="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K Čl. II</w:t>
      </w:r>
    </w:p>
    <w:p w:rsidR="00C05268" w:rsidRDefault="00C05268" w:rsidP="00C05268">
      <w:pPr>
        <w:widowControl/>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Vzhľadom na predpokladanú dĺžku legislatívneho procesu a dostatočnú </w:t>
      </w:r>
      <w:proofErr w:type="spellStart"/>
      <w:r>
        <w:rPr>
          <w:rFonts w:ascii="Times New Roman" w:eastAsia="Times New Roman" w:hAnsi="Times New Roman" w:cs="Times New Roman"/>
          <w:color w:val="000000"/>
        </w:rPr>
        <w:t>legisvakanciu</w:t>
      </w:r>
      <w:proofErr w:type="spellEnd"/>
      <w:r>
        <w:rPr>
          <w:rFonts w:ascii="Times New Roman" w:eastAsia="Times New Roman" w:hAnsi="Times New Roman" w:cs="Times New Roman"/>
          <w:color w:val="000000"/>
        </w:rPr>
        <w:t xml:space="preserve"> sa navrhuje účinnosť zákona 1.január 2023.</w:t>
      </w:r>
    </w:p>
    <w:p w:rsidR="00C05268" w:rsidRDefault="00C05268" w:rsidP="00C05268">
      <w:pPr>
        <w:widowControl/>
        <w:spacing w:before="60" w:after="60"/>
        <w:jc w:val="both"/>
        <w:rPr>
          <w:rFonts w:ascii="Times New Roman" w:eastAsia="Times New Roman" w:hAnsi="Times New Roman" w:cs="Times New Roman"/>
          <w:color w:val="000000"/>
        </w:rPr>
      </w:pPr>
    </w:p>
    <w:p w:rsidR="00C05268" w:rsidRDefault="00C05268" w:rsidP="00C05268">
      <w:pPr>
        <w:spacing w:before="60" w:after="60"/>
        <w:rPr>
          <w:rFonts w:ascii="Times New Roman" w:eastAsia="Times New Roman" w:hAnsi="Times New Roman" w:cs="Times New Roman"/>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C05268" w:rsidRDefault="00C05268" w:rsidP="00C05268">
      <w:pPr>
        <w:widowControl/>
        <w:pBdr>
          <w:top w:val="nil"/>
          <w:left w:val="nil"/>
          <w:bottom w:val="nil"/>
          <w:right w:val="nil"/>
          <w:between w:val="nil"/>
        </w:pBdr>
        <w:spacing w:after="120"/>
        <w:jc w:val="center"/>
        <w:rPr>
          <w:rFonts w:ascii="Times New Roman" w:eastAsia="Times New Roman" w:hAnsi="Times New Roman" w:cs="Times New Roman"/>
          <w:b/>
          <w:smallCaps/>
          <w:color w:val="000000"/>
        </w:rPr>
      </w:pPr>
    </w:p>
    <w:p w:rsidR="0034231E" w:rsidRDefault="0034231E">
      <w:bookmarkStart w:id="0" w:name="_GoBack"/>
      <w:bookmarkEnd w:id="0"/>
    </w:p>
    <w:sectPr w:rsidR="00342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E9A"/>
    <w:multiLevelType w:val="multilevel"/>
    <w:tmpl w:val="7D7C99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68"/>
    <w:rsid w:val="0034231E"/>
    <w:rsid w:val="00C052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DBE5F-54AC-4175-A7E2-EF6EDE39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C05268"/>
    <w:pPr>
      <w:widowControl w:val="0"/>
      <w:spacing w:after="0" w:line="240" w:lineRule="auto"/>
    </w:pPr>
    <w:rPr>
      <w:rFonts w:ascii="Calibri" w:eastAsia="Calibri" w:hAnsi="Calibri" w:cs="Calibri"/>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Vinický, Filip</dc:creator>
  <cp:keywords/>
  <dc:description/>
  <cp:lastModifiedBy>Vinický, Filip</cp:lastModifiedBy>
  <cp:revision>1</cp:revision>
  <dcterms:created xsi:type="dcterms:W3CDTF">2022-08-16T08:12:00Z</dcterms:created>
  <dcterms:modified xsi:type="dcterms:W3CDTF">2022-08-16T08:12:00Z</dcterms:modified>
</cp:coreProperties>
</file>