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18D2D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08E1C56D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585FA46A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4C5ED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68334ABA" w14:textId="77777777" w:rsidR="00487E00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2C6A1B5" w14:textId="77777777" w:rsidR="00487E00" w:rsidRPr="004C5ED5" w:rsidRDefault="00487E00" w:rsidP="00487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36AE3121" w14:textId="77777777" w:rsidR="00330C60" w:rsidRPr="004603CA" w:rsidRDefault="00330C60" w:rsidP="0010184A">
      <w:pPr>
        <w:spacing w:after="2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764C0C32" w14:textId="722A7359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pacing w:val="30"/>
          <w:sz w:val="24"/>
          <w:szCs w:val="24"/>
        </w:rPr>
        <w:t>Návrh</w:t>
      </w:r>
    </w:p>
    <w:p w14:paraId="5E7CDE43" w14:textId="38D30E17" w:rsidR="003409D8" w:rsidRDefault="003409D8" w:rsidP="0010184A">
      <w:pPr>
        <w:spacing w:after="2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13D06725" w14:textId="77777777" w:rsidR="00CC1DF4" w:rsidRPr="004603CA" w:rsidRDefault="00CC1DF4" w:rsidP="0010184A">
      <w:pPr>
        <w:spacing w:after="2"/>
        <w:jc w:val="center"/>
        <w:rPr>
          <w:rFonts w:ascii="Times New Roman" w:hAnsi="Times New Roman" w:cs="Times New Roman"/>
          <w:i/>
          <w:iCs/>
          <w:spacing w:val="30"/>
          <w:sz w:val="24"/>
          <w:szCs w:val="24"/>
        </w:rPr>
      </w:pPr>
    </w:p>
    <w:p w14:paraId="7767932B" w14:textId="77777777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4603CA">
        <w:rPr>
          <w:rFonts w:ascii="Times New Roman" w:hAnsi="Times New Roman" w:cs="Times New Roman"/>
          <w:b/>
          <w:caps/>
          <w:spacing w:val="30"/>
          <w:sz w:val="24"/>
          <w:szCs w:val="24"/>
        </w:rPr>
        <w:t>Ústavný zákon</w:t>
      </w:r>
    </w:p>
    <w:p w14:paraId="5B85C8DD" w14:textId="75198344" w:rsidR="003409D8" w:rsidRDefault="003409D8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CDB5D8" w14:textId="77777777" w:rsidR="00CC1DF4" w:rsidRPr="004603CA" w:rsidRDefault="00CC1DF4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7A405" w14:textId="4E1E8F59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sz w:val="24"/>
          <w:szCs w:val="24"/>
        </w:rPr>
      </w:pPr>
      <w:r w:rsidRPr="004603CA">
        <w:rPr>
          <w:rFonts w:ascii="Times New Roman" w:hAnsi="Times New Roman" w:cs="Times New Roman"/>
          <w:sz w:val="24"/>
          <w:szCs w:val="24"/>
        </w:rPr>
        <w:t>z ... 202</w:t>
      </w:r>
      <w:r w:rsidR="00330C60" w:rsidRPr="004603CA">
        <w:rPr>
          <w:rFonts w:ascii="Times New Roman" w:hAnsi="Times New Roman" w:cs="Times New Roman"/>
          <w:sz w:val="24"/>
          <w:szCs w:val="24"/>
        </w:rPr>
        <w:t>2</w:t>
      </w:r>
    </w:p>
    <w:p w14:paraId="26DC3693" w14:textId="60731620" w:rsidR="003409D8" w:rsidRDefault="003409D8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4A2A4" w14:textId="77777777" w:rsidR="00CC1DF4" w:rsidRPr="004603CA" w:rsidRDefault="00CC1DF4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22D03" w14:textId="77777777" w:rsidR="00C94F41" w:rsidRPr="004603CA" w:rsidRDefault="00C94F41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 xml:space="preserve">o primeranom hmotnom zabezpečení v starobe </w:t>
      </w:r>
    </w:p>
    <w:p w14:paraId="22137640" w14:textId="77F9479C" w:rsidR="00DA6B5E" w:rsidRPr="004603CA" w:rsidRDefault="00DA6B5E" w:rsidP="0010184A">
      <w:pPr>
        <w:rPr>
          <w:rFonts w:ascii="Times New Roman" w:hAnsi="Times New Roman" w:cs="Times New Roman"/>
          <w:sz w:val="24"/>
          <w:szCs w:val="24"/>
        </w:rPr>
      </w:pPr>
    </w:p>
    <w:p w14:paraId="0E70FFBD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>Národná rada Slovenskej republiky, s cieľom</w:t>
      </w:r>
    </w:p>
    <w:p w14:paraId="200FBEDE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1A0FE3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45267250"/>
      <w:r w:rsidRPr="004603CA">
        <w:rPr>
          <w:rFonts w:ascii="Times New Roman" w:hAnsi="Times New Roman" w:cs="Times New Roman"/>
          <w:i/>
          <w:iCs/>
          <w:sz w:val="24"/>
          <w:szCs w:val="24"/>
        </w:rPr>
        <w:t>zabezpečiť výkon základného práva na primerané hmotné zabezpečenie v starobe spôsobom, ktorý prispieva k dôstojnému životu v starobe, je efektívny a zároveň prihliada na dlhodobú udržateľnosť hospodárenia Slovenskej republiky a spravodlivú mieru solidarity medzi generáciami zúčastnených osôb,</w:t>
      </w:r>
    </w:p>
    <w:bookmarkEnd w:id="0"/>
    <w:p w14:paraId="5DE024A5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EABC15" w14:textId="661709C8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zvýšiť transparentnosť </w:t>
      </w:r>
      <w:r w:rsidR="00C94F41"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systému primeraného hmotného zabezpečenia v starobe </w:t>
      </w:r>
      <w:r w:rsidRPr="004603CA">
        <w:rPr>
          <w:rFonts w:ascii="Times New Roman" w:hAnsi="Times New Roman" w:cs="Times New Roman"/>
          <w:i/>
          <w:iCs/>
          <w:sz w:val="24"/>
          <w:szCs w:val="24"/>
        </w:rPr>
        <w:t>a umožniť zúčastneným osobám prijímať informované a kvalifikované rozhodnutie o ich hmotnom zabezpečení v starobe,</w:t>
      </w:r>
    </w:p>
    <w:p w14:paraId="1A3E7249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A5ADA0" w14:textId="77777777" w:rsidR="00C94F41" w:rsidRPr="004603CA" w:rsidRDefault="00C94F41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>zlepšiť stabilitu a predvídateľnosť vývoja systému primeraného hmotného zabezpečenia v starobe v dlhodobom horizonte,</w:t>
      </w:r>
    </w:p>
    <w:p w14:paraId="59717A81" w14:textId="717594B5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FBE520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>prispieť ku diverzifikácii makroekonomického rizika a minimalizácii politického rizika,</w:t>
      </w:r>
    </w:p>
    <w:p w14:paraId="377A8954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2F327DD" w14:textId="5DB1EE00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prispieť k rozloženiu a minimalizácii rizika vplyvov zmien systému primeraného hmotného zabezpečenia na výkon základného práva na primerané hmotné zabezpečenie v starobe, </w:t>
      </w:r>
    </w:p>
    <w:p w14:paraId="754D4D02" w14:textId="77777777" w:rsidR="003409D8" w:rsidRPr="004603CA" w:rsidRDefault="003409D8" w:rsidP="0010184A">
      <w:pPr>
        <w:spacing w:after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902C28" w14:textId="77777777" w:rsidR="003409D8" w:rsidRPr="004603CA" w:rsidRDefault="003409D8" w:rsidP="004603CA">
      <w:pPr>
        <w:spacing w:after="2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03CA">
        <w:rPr>
          <w:rFonts w:ascii="Times New Roman" w:hAnsi="Times New Roman" w:cs="Times New Roman"/>
          <w:i/>
          <w:iCs/>
          <w:sz w:val="24"/>
          <w:szCs w:val="24"/>
        </w:rPr>
        <w:t xml:space="preserve">sa uzniesla na tomto ústavnom zákone: </w:t>
      </w:r>
    </w:p>
    <w:p w14:paraId="29538F10" w14:textId="77777777" w:rsidR="003409D8" w:rsidRPr="004603CA" w:rsidRDefault="003409D8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7242B4" w14:textId="44665169" w:rsidR="003409D8" w:rsidRPr="004603CA" w:rsidRDefault="003409D8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244E078E" w14:textId="7D7AAA06" w:rsidR="00FA5500" w:rsidRPr="004603CA" w:rsidRDefault="00127F0E" w:rsidP="004603C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14:paraId="20EF5DB5" w14:textId="77777777" w:rsidR="00127F0E" w:rsidRPr="004603CA" w:rsidRDefault="00127F0E" w:rsidP="0010184A">
      <w:pPr>
        <w:pStyle w:val="Odsekzoznamu"/>
        <w:spacing w:after="2"/>
        <w:ind w:left="3552" w:firstLine="696"/>
        <w:rPr>
          <w:rFonts w:ascii="Times New Roman" w:hAnsi="Times New Roman" w:cs="Times New Roman"/>
          <w:b/>
          <w:sz w:val="24"/>
          <w:szCs w:val="24"/>
        </w:rPr>
      </w:pPr>
    </w:p>
    <w:p w14:paraId="2C291972" w14:textId="50C3A12F" w:rsidR="00C64F04" w:rsidRPr="004603CA" w:rsidRDefault="00C64F04" w:rsidP="0010184A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Primerané hmotné zabezpečenie v starobe sa vykonáva prostredníctvom priebežne financovaného dôchodkového systému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603CA">
        <w:rPr>
          <w:rFonts w:ascii="Times New Roman" w:hAnsi="Times New Roman" w:cs="Times New Roman"/>
          <w:bCs/>
          <w:sz w:val="24"/>
          <w:szCs w:val="24"/>
        </w:rPr>
        <w:t>systému starobného dôchodkového sporenia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 a dobrovoľných sporení na dôchodok</w:t>
      </w:r>
      <w:r w:rsidRPr="004603CA">
        <w:rPr>
          <w:rFonts w:ascii="Times New Roman" w:hAnsi="Times New Roman" w:cs="Times New Roman"/>
          <w:bCs/>
          <w:sz w:val="24"/>
          <w:szCs w:val="24"/>
        </w:rPr>
        <w:t>. Štát podporuje dobrovoľné sporenie na dôchodok.</w:t>
      </w:r>
    </w:p>
    <w:p w14:paraId="670C8B88" w14:textId="77777777" w:rsidR="00C64F04" w:rsidRPr="004603CA" w:rsidRDefault="00C64F04" w:rsidP="00D61E34">
      <w:pPr>
        <w:pStyle w:val="Odsekzoznamu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34F9FC" w14:textId="0A4336CE" w:rsidR="00F47FBA" w:rsidRPr="004603CA" w:rsidRDefault="00601EC1" w:rsidP="00D61E34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lastRenderedPageBreak/>
        <w:t>S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ystém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primeraného hmotného zabezpečenia </w:t>
      </w:r>
      <w:r w:rsidR="00CE7A7F">
        <w:rPr>
          <w:rFonts w:ascii="Times New Roman" w:hAnsi="Times New Roman" w:cs="Times New Roman"/>
          <w:bCs/>
          <w:sz w:val="24"/>
          <w:szCs w:val="24"/>
        </w:rPr>
        <w:t xml:space="preserve">v starobe </w:t>
      </w:r>
      <w:r w:rsidR="00F47FBA" w:rsidRPr="004603CA">
        <w:rPr>
          <w:rFonts w:ascii="Times New Roman" w:hAnsi="Times New Roman" w:cs="Times New Roman"/>
          <w:bCs/>
          <w:sz w:val="24"/>
          <w:szCs w:val="24"/>
        </w:rPr>
        <w:t xml:space="preserve">je univerzálny systém, založený na jednotných podmienkach pre všetky zúčastnené osoby, bez možnosti odlišnej úpravy pre konkrétne, druhovo určené skupiny zúčastnených osôb, ak takúto úpravu výslovne neumožňuje tento ústavný zákon. </w:t>
      </w:r>
    </w:p>
    <w:p w14:paraId="4DD608DA" w14:textId="77777777" w:rsidR="00F47FBA" w:rsidRPr="004603CA" w:rsidRDefault="00F47FBA" w:rsidP="00F47FBA">
      <w:pPr>
        <w:pStyle w:val="Odsekzoznamu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0E6604DE" w14:textId="31B0F0D3" w:rsidR="00C64F04" w:rsidRPr="004603CA" w:rsidRDefault="00C64F04" w:rsidP="0010184A">
      <w:pPr>
        <w:pStyle w:val="Odsekzoznamu"/>
        <w:numPr>
          <w:ilvl w:val="0"/>
          <w:numId w:val="5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Základné právo na primerané hmotné zabezpečenie v  starobe príslušníkov ozbrojených síl, ozbrojených zborov, bezpečnostných zborov a záchranných zborov sa vykonáva prostredníctvom systému výsluhového zabezpečenia. Na výkon základného práva podľa prvej vety a organizáciu systému výsluhového zabezpečenia sa tento ústavný zákon nevzťahuje.</w:t>
      </w:r>
    </w:p>
    <w:p w14:paraId="47E36A94" w14:textId="77777777" w:rsidR="00F47B6F" w:rsidRPr="004603CA" w:rsidRDefault="00F47B6F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3C924F57" w14:textId="03D732A6" w:rsidR="00F47B6F" w:rsidRPr="004603CA" w:rsidRDefault="00F47B6F" w:rsidP="0010184A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Účasť na systéme primeraného hmotného zabezpečenia v starobe je spojená s úhradou platby spojenej s účasťou, s výnimkami, ktoré ustanoví zákon. Základ pre výpočet platby spojenej s účasťou na priebežn</w:t>
      </w:r>
      <w:r w:rsidR="00CE7A7F">
        <w:rPr>
          <w:rFonts w:ascii="Times New Roman" w:hAnsi="Times New Roman" w:cs="Times New Roman"/>
          <w:bCs/>
          <w:sz w:val="24"/>
          <w:szCs w:val="24"/>
        </w:rPr>
        <w:t xml:space="preserve">e financovanom dôchodkovom systéme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a s účasťou na systéme </w:t>
      </w:r>
      <w:r w:rsidR="009D0F83">
        <w:rPr>
          <w:rFonts w:ascii="Times New Roman" w:hAnsi="Times New Roman" w:cs="Times New Roman"/>
          <w:bCs/>
          <w:sz w:val="24"/>
          <w:szCs w:val="24"/>
        </w:rPr>
        <w:t xml:space="preserve">starobného dôchodkového sporenia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musí byť rovnaký.  </w:t>
      </w:r>
    </w:p>
    <w:p w14:paraId="0E83A1CF" w14:textId="77777777" w:rsidR="00C64F04" w:rsidRPr="004603CA" w:rsidRDefault="00C64F04" w:rsidP="0010184A">
      <w:pPr>
        <w:pStyle w:val="Odsekzoznamu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4420C" w14:textId="0200662F" w:rsidR="00C94F41" w:rsidRPr="004603CA" w:rsidRDefault="00533B58" w:rsidP="0010184A">
      <w:pPr>
        <w:pStyle w:val="Odsekzoznamu"/>
        <w:numPr>
          <w:ilvl w:val="0"/>
          <w:numId w:val="5"/>
        </w:numPr>
        <w:spacing w:after="2"/>
        <w:jc w:val="both"/>
        <w:rPr>
          <w:rFonts w:ascii="Times New Roman" w:hAnsi="Times New Roman" w:cs="Times New Roman"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Zákonná úprava systému primeraného hmotného zabezpečenia v starobe musí rešpektovať zásady dlhodobej finančnej udržateľnosti. </w:t>
      </w:r>
      <w:r w:rsidR="003409D8" w:rsidRPr="004603CA">
        <w:rPr>
          <w:rFonts w:ascii="Times New Roman" w:hAnsi="Times New Roman" w:cs="Times New Roman"/>
          <w:bCs/>
          <w:sz w:val="24"/>
          <w:szCs w:val="24"/>
        </w:rPr>
        <w:t>Zákon ustanoví automatický mechanizmus korekcie, ktorý sa uplatní, ak existuje vysoké riziko dlhodobej finančnej udržateľnosti priebežne financovaného dôchodkového systému.</w:t>
      </w:r>
    </w:p>
    <w:p w14:paraId="5407FE3B" w14:textId="62F2E2F8" w:rsidR="00FA5500" w:rsidRDefault="00FA5500" w:rsidP="0010184A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AD6646A" w14:textId="77777777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793E9F08" w14:textId="0F794D39" w:rsidR="00885675" w:rsidRPr="004603CA" w:rsidRDefault="00885675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Priebežne financovaný dôchodkový systém</w:t>
      </w:r>
    </w:p>
    <w:p w14:paraId="19CEF6B3" w14:textId="77777777" w:rsidR="00FA5500" w:rsidRPr="004603CA" w:rsidRDefault="00FA5500" w:rsidP="0010184A">
      <w:pPr>
        <w:pStyle w:val="Odsekzoznamu"/>
        <w:spacing w:after="2"/>
        <w:ind w:left="3552" w:firstLine="696"/>
        <w:rPr>
          <w:rFonts w:ascii="Times New Roman" w:hAnsi="Times New Roman" w:cs="Times New Roman"/>
          <w:b/>
          <w:sz w:val="24"/>
          <w:szCs w:val="24"/>
        </w:rPr>
      </w:pPr>
    </w:p>
    <w:p w14:paraId="11120507" w14:textId="01088B04" w:rsidR="00C64F04" w:rsidRPr="004603CA" w:rsidRDefault="00C64F04" w:rsidP="006D0E56">
      <w:pPr>
        <w:pStyle w:val="Odsekzoznamu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Priebežne financovaný dôchodkový systém vykonáva </w:t>
      </w:r>
      <w:r w:rsidR="006D0E56" w:rsidRPr="004603CA">
        <w:rPr>
          <w:rFonts w:ascii="Times New Roman" w:hAnsi="Times New Roman" w:cs="Times New Roman"/>
          <w:bCs/>
          <w:sz w:val="24"/>
          <w:szCs w:val="24"/>
        </w:rPr>
        <w:t>verejnoprávna inštitúcia</w:t>
      </w:r>
      <w:r w:rsidRPr="004603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4DF7EC7" w14:textId="77777777" w:rsidR="00FA5500" w:rsidRPr="004603CA" w:rsidRDefault="00FA5500" w:rsidP="0010184A">
      <w:pPr>
        <w:pStyle w:val="Odsekzoznamu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E1374D" w14:textId="3E6A6E18" w:rsidR="00FA5500" w:rsidRPr="004603CA" w:rsidRDefault="00764BEB" w:rsidP="0010184A">
      <w:pPr>
        <w:pStyle w:val="Odsekzoznamu"/>
        <w:numPr>
          <w:ilvl w:val="0"/>
          <w:numId w:val="17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Dávky</w:t>
      </w:r>
      <w:r w:rsidR="00FA5500" w:rsidRPr="004603CA">
        <w:rPr>
          <w:rFonts w:ascii="Times New Roman" w:hAnsi="Times New Roman" w:cs="Times New Roman"/>
          <w:bCs/>
          <w:sz w:val="24"/>
          <w:szCs w:val="24"/>
        </w:rPr>
        <w:t xml:space="preserve"> z priebežne financovaného dôchodkového systému sa v jednom kalendárnom roku</w:t>
      </w:r>
      <w:r w:rsidR="00FA5500" w:rsidRPr="004603CA" w:rsidDel="00771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500" w:rsidRPr="004603CA">
        <w:rPr>
          <w:rFonts w:ascii="Times New Roman" w:hAnsi="Times New Roman" w:cs="Times New Roman"/>
          <w:bCs/>
          <w:sz w:val="24"/>
          <w:szCs w:val="24"/>
        </w:rPr>
        <w:t>poskytuj</w:t>
      </w:r>
      <w:r w:rsidR="00641AFD" w:rsidRPr="004603CA">
        <w:rPr>
          <w:rFonts w:ascii="Times New Roman" w:hAnsi="Times New Roman" w:cs="Times New Roman"/>
          <w:bCs/>
          <w:sz w:val="24"/>
          <w:szCs w:val="24"/>
        </w:rPr>
        <w:t>ú</w:t>
      </w:r>
      <w:r w:rsidR="00FA5500" w:rsidRPr="004603CA">
        <w:rPr>
          <w:rFonts w:ascii="Times New Roman" w:hAnsi="Times New Roman" w:cs="Times New Roman"/>
          <w:bCs/>
          <w:sz w:val="24"/>
          <w:szCs w:val="24"/>
        </w:rPr>
        <w:t xml:space="preserve"> najviac v hodnote dvanástich starobných dôchodkov.</w:t>
      </w:r>
    </w:p>
    <w:p w14:paraId="60B9BEF7" w14:textId="77777777" w:rsidR="00FA5500" w:rsidRPr="004603CA" w:rsidRDefault="00FA5500" w:rsidP="0010184A">
      <w:pPr>
        <w:pStyle w:val="Odsekzoznamu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F9B289" w14:textId="2F3F76E9" w:rsidR="00FA5500" w:rsidRPr="004603CA" w:rsidRDefault="00937DEF" w:rsidP="00937DEF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Dôchodkové nároky z priebežne financovaného dôchodkového systému spravodlivo zohľadňujú dobu účasti a sumu uhradených platieb do priebežne financovaného dôchodkového systému. </w:t>
      </w:r>
      <w:r w:rsidR="00FA5500" w:rsidRPr="004603CA">
        <w:rPr>
          <w:rFonts w:ascii="Times New Roman" w:hAnsi="Times New Roman" w:cs="Times New Roman"/>
          <w:bCs/>
          <w:sz w:val="24"/>
          <w:szCs w:val="24"/>
        </w:rPr>
        <w:t>Zákon ustanoví, čo sa považuje za dobu účasti na priebežne financovanom dôchodkovom systéme a môže ustanoviť kvalitatívne podmienky spojené s dobou účasti na priebežne financovanom dôchodkovom systéme alebo jej časťou.</w:t>
      </w:r>
    </w:p>
    <w:p w14:paraId="0CE85EBA" w14:textId="77777777" w:rsidR="004003B4" w:rsidRPr="004603CA" w:rsidRDefault="004003B4" w:rsidP="00556480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30C1911A" w14:textId="33DFCC44" w:rsidR="004003B4" w:rsidRPr="004603CA" w:rsidRDefault="00556480" w:rsidP="00681FE9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Doba starostlivosti o dieťa počas zákonom ustanovenej doby po jeho narodení sa považuje za dobu účasti na priebežne financovanom dôchodkovom systéme podľa odseku 3 so sumou uhradených platieb zo základu pre výpočet platieb </w:t>
      </w:r>
      <w:r w:rsidR="001D025D" w:rsidRPr="004603CA">
        <w:rPr>
          <w:rFonts w:ascii="Times New Roman" w:hAnsi="Times New Roman" w:cs="Times New Roman"/>
          <w:bCs/>
          <w:sz w:val="24"/>
          <w:szCs w:val="24"/>
        </w:rPr>
        <w:t>primerane zodpovedajúcich</w:t>
      </w:r>
      <w:r w:rsidR="00681FE9"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03CA">
        <w:rPr>
          <w:rFonts w:ascii="Times New Roman" w:hAnsi="Times New Roman" w:cs="Times New Roman"/>
          <w:bCs/>
          <w:sz w:val="24"/>
          <w:szCs w:val="24"/>
        </w:rPr>
        <w:t>príjmu platiteľa v čase predchádzajúcom dobe starostlivosti o</w:t>
      </w:r>
      <w:r w:rsidR="005C2778" w:rsidRPr="004603CA">
        <w:rPr>
          <w:rFonts w:ascii="Times New Roman" w:hAnsi="Times New Roman" w:cs="Times New Roman"/>
          <w:bCs/>
          <w:sz w:val="24"/>
          <w:szCs w:val="24"/>
        </w:rPr>
        <w:t> </w:t>
      </w:r>
      <w:r w:rsidRPr="004603CA">
        <w:rPr>
          <w:rFonts w:ascii="Times New Roman" w:hAnsi="Times New Roman" w:cs="Times New Roman"/>
          <w:bCs/>
          <w:sz w:val="24"/>
          <w:szCs w:val="24"/>
        </w:rPr>
        <w:t>dieťa. Podrobnosti ustanoví zákon.</w:t>
      </w:r>
    </w:p>
    <w:p w14:paraId="13A6518B" w14:textId="77777777" w:rsidR="00FA5500" w:rsidRPr="004603CA" w:rsidRDefault="00FA5500" w:rsidP="0010184A">
      <w:pPr>
        <w:pStyle w:val="Odsekzoznamu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0179DE" w14:textId="5F361775" w:rsidR="00FA5500" w:rsidRPr="004603CA" w:rsidRDefault="00FA5500" w:rsidP="0010184A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Vek, s dosiahnutím ktorého je spojený vznik nároku na starobný dôchodok (ďalej len „dôchodkový vek“) z priebežne financovaného dôchodkového systému sa každoročne automaticky mení podľa v</w:t>
      </w:r>
      <w:r w:rsidR="00263CF0" w:rsidRPr="004603CA">
        <w:rPr>
          <w:rFonts w:ascii="Times New Roman" w:hAnsi="Times New Roman" w:cs="Times New Roman"/>
          <w:bCs/>
          <w:sz w:val="24"/>
          <w:szCs w:val="24"/>
        </w:rPr>
        <w:t>ývoj</w:t>
      </w:r>
      <w:r w:rsidRPr="004603CA">
        <w:rPr>
          <w:rFonts w:ascii="Times New Roman" w:hAnsi="Times New Roman" w:cs="Times New Roman"/>
          <w:bCs/>
          <w:sz w:val="24"/>
          <w:szCs w:val="24"/>
        </w:rPr>
        <w:t>a strednej dĺžky života</w:t>
      </w:r>
      <w:r w:rsidR="005A415C" w:rsidRPr="004603CA">
        <w:rPr>
          <w:rFonts w:ascii="Times New Roman" w:hAnsi="Times New Roman" w:cs="Times New Roman"/>
          <w:bCs/>
          <w:sz w:val="24"/>
          <w:szCs w:val="24"/>
        </w:rPr>
        <w:t xml:space="preserve">, a to </w:t>
      </w:r>
      <w:r w:rsidR="001D025D" w:rsidRPr="004603CA">
        <w:rPr>
          <w:rFonts w:ascii="Times New Roman" w:hAnsi="Times New Roman" w:cs="Times New Roman"/>
          <w:bCs/>
          <w:sz w:val="24"/>
          <w:szCs w:val="24"/>
        </w:rPr>
        <w:t>najmenej</w:t>
      </w:r>
      <w:r w:rsidR="005A415C" w:rsidRPr="004603CA">
        <w:rPr>
          <w:rFonts w:ascii="Times New Roman" w:hAnsi="Times New Roman" w:cs="Times New Roman"/>
          <w:bCs/>
          <w:sz w:val="24"/>
          <w:szCs w:val="24"/>
        </w:rPr>
        <w:t xml:space="preserve"> v rozsahu </w:t>
      </w:r>
      <w:r w:rsidR="00195E8C" w:rsidRPr="004603CA">
        <w:rPr>
          <w:rFonts w:ascii="Times New Roman" w:hAnsi="Times New Roman" w:cs="Times New Roman"/>
          <w:bCs/>
          <w:sz w:val="24"/>
          <w:szCs w:val="24"/>
        </w:rPr>
        <w:t>80</w:t>
      </w:r>
      <w:r w:rsidR="005A415C" w:rsidRPr="004603CA">
        <w:rPr>
          <w:rFonts w:ascii="Times New Roman" w:hAnsi="Times New Roman" w:cs="Times New Roman"/>
          <w:bCs/>
          <w:sz w:val="24"/>
          <w:szCs w:val="24"/>
        </w:rPr>
        <w:t xml:space="preserve"> percent zmeny.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5A8AF8" w14:textId="77777777" w:rsidR="00FA5500" w:rsidRPr="004603CA" w:rsidRDefault="00FA5500" w:rsidP="0010184A">
      <w:pPr>
        <w:pStyle w:val="Odsekzoznamu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D0A0F6" w14:textId="77777777" w:rsidR="00D61E34" w:rsidRPr="004603CA" w:rsidRDefault="00263CF0" w:rsidP="00D61E34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Výška dôchodku priznaného pred dosiahnutím dôchodkového veku alebo priznaného po dosiahnutí dôchodkového veku </w:t>
      </w:r>
      <w:r w:rsidR="00FA5500" w:rsidRPr="004603CA">
        <w:rPr>
          <w:rFonts w:ascii="Times New Roman" w:hAnsi="Times New Roman" w:cs="Times New Roman"/>
          <w:bCs/>
          <w:sz w:val="24"/>
          <w:szCs w:val="24"/>
        </w:rPr>
        <w:t>sa zákonom ustanoví tak, aby celková suma predpokladaných doživotne poskytnutých starobných dôchodkov z priebežne financovaného dôchodkového systému bola rovnaká bez ohľadu na to, kedy nárok na starobný dôchodok vznikne alebo je uplatnený.</w:t>
      </w:r>
    </w:p>
    <w:p w14:paraId="38BBC513" w14:textId="77777777" w:rsidR="00D61E34" w:rsidRPr="004603CA" w:rsidRDefault="00D61E34" w:rsidP="00D61E3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2D62723E" w14:textId="05F456EB" w:rsidR="00A83C35" w:rsidRPr="004603CA" w:rsidRDefault="00B10A49" w:rsidP="00D61E34">
      <w:pPr>
        <w:pStyle w:val="Odsekzoznamu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Suma poskytovaného starobného dôchodku z priebežne financovaného dôchodkového systému sa poberateľovi raz ročne zvyšuje o zákonom ustanovené percento tak, aby sa zvyšovala najmenej rovnako, ako sa zvyšujú životné náklady domácností osôb, ktorým je poskytovaný starobný dôchodok z priebežne financovaného dôchodkového systému, vyjadrené vývojom spotrebiteľských cien (ďalej len "dôchodcovská inflácia"), najviac však o mieru rastu celkového objemu platieb spojených s účasťou na priebežne financovanom dôchodkovom systéme. Ak je dôchodcovská inflácia vyššia ako miera rastu celkového objemu platieb spojených s účasťou na priebežne financovanom dôchodkovom systéme, starobné dôchodky sa zvýšia o </w:t>
      </w:r>
      <w:r w:rsidR="005C2778" w:rsidRPr="004603CA">
        <w:rPr>
          <w:rFonts w:ascii="Times New Roman" w:hAnsi="Times New Roman" w:cs="Times New Roman"/>
          <w:bCs/>
          <w:sz w:val="24"/>
          <w:szCs w:val="24"/>
        </w:rPr>
        <w:t>mieru rastu celkového objemu platieb spojených s účasťou na priebežne financovanom dôchodkovom systéme</w:t>
      </w:r>
      <w:r w:rsidRPr="004603CA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A9E9E2" w14:textId="77777777" w:rsidR="00D61E34" w:rsidRPr="004603CA" w:rsidRDefault="00D61E34" w:rsidP="00D61E3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65987361" w14:textId="09F1E8E7" w:rsidR="00041035" w:rsidRPr="004603CA" w:rsidRDefault="00A83C35" w:rsidP="0010184A">
      <w:pPr>
        <w:pStyle w:val="Odsekzoznamu"/>
        <w:numPr>
          <w:ilvl w:val="0"/>
          <w:numId w:val="17"/>
        </w:numPr>
        <w:spacing w:after="2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Poskytovať zúčastnenej osobe po dosiahnutí ustanovenej doby účasti dôchodok aj pred vznikom nároku na starobný dôchodok z priebežne financovaného dôchodkového systému je možné len, ak suma tohto plnenia dosahuje zákonom ustanovenú hodnotu a je ho možné poskytovať len do okamihu vzniku nároku na</w:t>
      </w:r>
      <w:r w:rsidR="00A75BF7" w:rsidRPr="004603CA">
        <w:rPr>
          <w:rFonts w:ascii="Times New Roman" w:hAnsi="Times New Roman" w:cs="Times New Roman"/>
          <w:bCs/>
          <w:sz w:val="24"/>
          <w:szCs w:val="24"/>
        </w:rPr>
        <w:t xml:space="preserve"> starobný dôchodok.</w:t>
      </w:r>
    </w:p>
    <w:p w14:paraId="09671A70" w14:textId="645AD9E0" w:rsidR="00424FD9" w:rsidRDefault="00424FD9" w:rsidP="0010184A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777451" w14:textId="77777777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5D16F9C6" w14:textId="77777777" w:rsidR="00424FD9" w:rsidRPr="004603CA" w:rsidRDefault="00424FD9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3CA">
        <w:rPr>
          <w:rFonts w:ascii="Times New Roman" w:hAnsi="Times New Roman" w:cs="Times New Roman"/>
          <w:b/>
          <w:sz w:val="24"/>
          <w:szCs w:val="24"/>
        </w:rPr>
        <w:t>Starobné dôchodkové sporenie</w:t>
      </w:r>
    </w:p>
    <w:p w14:paraId="485AC3D1" w14:textId="77777777" w:rsidR="00424FD9" w:rsidRPr="004603CA" w:rsidRDefault="00424FD9" w:rsidP="0010184A">
      <w:pPr>
        <w:spacing w:after="2"/>
        <w:rPr>
          <w:rFonts w:ascii="Times New Roman" w:hAnsi="Times New Roman" w:cs="Times New Roman"/>
          <w:bCs/>
          <w:sz w:val="24"/>
          <w:szCs w:val="24"/>
        </w:rPr>
      </w:pPr>
    </w:p>
    <w:p w14:paraId="02CD69CA" w14:textId="5DA8A8D2" w:rsidR="0020147F" w:rsidRPr="004603CA" w:rsidRDefault="00424FD9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Starobné dôchodkové sporenie je organizované ako príspevkovo definovaný kapitalizačný systém, ktorého cieľom je najmä dlhodobé zhodnocovanie </w:t>
      </w:r>
      <w:r w:rsidRPr="004603C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povinných platieb uhradených na starobné </w:t>
      </w:r>
      <w:r w:rsidRPr="004603CA">
        <w:rPr>
          <w:rFonts w:ascii="Times New Roman" w:hAnsi="Times New Roman" w:cs="Times New Roman"/>
          <w:bCs/>
          <w:sz w:val="24"/>
          <w:szCs w:val="24"/>
        </w:rPr>
        <w:t>dôchodkové sporenie.</w:t>
      </w:r>
    </w:p>
    <w:p w14:paraId="2A617B53" w14:textId="77777777" w:rsidR="00EF78DC" w:rsidRPr="004603CA" w:rsidRDefault="00EF78DC" w:rsidP="0010184A">
      <w:pPr>
        <w:pStyle w:val="Odsekzoznamu"/>
        <w:spacing w:after="2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F43011" w14:textId="78C4DC5E" w:rsidR="0020147F" w:rsidRPr="004603CA" w:rsidRDefault="0020147F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Systém starobného dôchodkového sporenia vykonávajú súkromné podnikateľské subjekty. </w:t>
      </w:r>
      <w:r w:rsidR="00041035" w:rsidRPr="004603CA">
        <w:rPr>
          <w:rFonts w:ascii="Times New Roman" w:hAnsi="Times New Roman" w:cs="Times New Roman"/>
          <w:bCs/>
          <w:sz w:val="24"/>
          <w:szCs w:val="24"/>
        </w:rPr>
        <w:t xml:space="preserve">Subjekty vykonávajúce starobné dôchodkové sporenie, podliehajú dohľadu Národnej banky Slovenska. </w:t>
      </w:r>
    </w:p>
    <w:p w14:paraId="42BF9012" w14:textId="77777777" w:rsidR="00EF78DC" w:rsidRPr="004603CA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04AD609A" w14:textId="0BB0C566" w:rsidR="00EF78DC" w:rsidRPr="004603CA" w:rsidRDefault="00EF78DC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>Platby uhradené sporiteľmi na starobné dôchodkové sporenie sú ich súkromným vlastníctvom.</w:t>
      </w:r>
    </w:p>
    <w:p w14:paraId="47F7B4AC" w14:textId="77777777" w:rsidR="00EF78DC" w:rsidRPr="004603CA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714DC577" w14:textId="2A43233B" w:rsidR="0020147F" w:rsidRPr="004603CA" w:rsidRDefault="0020147F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Účasť na starobnom dôchodkovom sporení vzniká </w:t>
      </w:r>
      <w:r w:rsidR="006E2682" w:rsidRPr="004603CA">
        <w:rPr>
          <w:rFonts w:ascii="Times New Roman" w:hAnsi="Times New Roman" w:cs="Times New Roman"/>
          <w:bCs/>
          <w:sz w:val="24"/>
          <w:szCs w:val="24"/>
        </w:rPr>
        <w:t xml:space="preserve">najneskôr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v okamihu vzniku </w:t>
      </w:r>
      <w:r w:rsidR="00937DEF" w:rsidRPr="004603CA">
        <w:rPr>
          <w:rFonts w:ascii="Times New Roman" w:hAnsi="Times New Roman" w:cs="Times New Roman"/>
          <w:bCs/>
          <w:sz w:val="24"/>
          <w:szCs w:val="24"/>
        </w:rPr>
        <w:t xml:space="preserve">prvej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účasti na priebežne financovanom dôchodkovom systéme, ak tento okamih nastal najmenej 30 rokov pred zákonom ustanoveným okamihom vzniku nároku na starobný dôchodok z priebežne financovaného dôchodkového systému. </w:t>
      </w:r>
    </w:p>
    <w:p w14:paraId="4BB1F9EF" w14:textId="77777777" w:rsidR="00EF78DC" w:rsidRPr="004603CA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5ABC019F" w14:textId="1C1EF3E9" w:rsidR="008436F8" w:rsidRPr="004603CA" w:rsidRDefault="008436F8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Zánik </w:t>
      </w:r>
      <w:r w:rsidR="004603CA">
        <w:rPr>
          <w:rFonts w:ascii="Times New Roman" w:hAnsi="Times New Roman" w:cs="Times New Roman"/>
          <w:bCs/>
          <w:sz w:val="24"/>
          <w:szCs w:val="24"/>
        </w:rPr>
        <w:t>právneho postavenia sporiteľa v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 starobnom dôchodkovom sporení je podmienený jednostranným právnym úkonom zúčastnenej osoby. Zúčastnená osoba môže vykonať právny úkon vedúci k zániku </w:t>
      </w:r>
      <w:r w:rsidR="004603CA">
        <w:rPr>
          <w:rFonts w:ascii="Times New Roman" w:hAnsi="Times New Roman" w:cs="Times New Roman"/>
          <w:bCs/>
          <w:sz w:val="24"/>
          <w:szCs w:val="24"/>
        </w:rPr>
        <w:t>právneho postavenia sporiteľa</w:t>
      </w:r>
      <w:r w:rsidR="004603CA"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3CA">
        <w:rPr>
          <w:rFonts w:ascii="Times New Roman" w:hAnsi="Times New Roman" w:cs="Times New Roman"/>
          <w:bCs/>
          <w:sz w:val="24"/>
          <w:szCs w:val="24"/>
        </w:rPr>
        <w:t>v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 starobnom dôchodkovom sporení len v zákonom ustanovenej lehote, ktorá nesmie byť dlhšia než dva roky odo dňa </w:t>
      </w:r>
      <w:r w:rsidR="00BB08E2" w:rsidRPr="004603CA">
        <w:rPr>
          <w:rFonts w:ascii="Times New Roman" w:hAnsi="Times New Roman" w:cs="Times New Roman"/>
          <w:bCs/>
          <w:sz w:val="24"/>
          <w:szCs w:val="24"/>
        </w:rPr>
        <w:t>vzniku prvej povinnej</w:t>
      </w:r>
      <w:r w:rsidR="006E2682" w:rsidRPr="004603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03CA">
        <w:rPr>
          <w:rFonts w:ascii="Times New Roman" w:hAnsi="Times New Roman" w:cs="Times New Roman"/>
          <w:bCs/>
          <w:sz w:val="24"/>
          <w:szCs w:val="24"/>
        </w:rPr>
        <w:t>účasti na starobnom dôchodkovom sporení.</w:t>
      </w:r>
    </w:p>
    <w:p w14:paraId="0D290DC5" w14:textId="77777777" w:rsidR="005C2778" w:rsidRPr="004603CA" w:rsidRDefault="005C2778" w:rsidP="005C2778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63522D41" w14:textId="53934F2F" w:rsidR="00EF78DC" w:rsidRPr="004603CA" w:rsidRDefault="00407C00" w:rsidP="00D61E34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vzniku účasti na starobnom dôchodkovom sporení má jednotlivec právo na automatickú účasť v predvolenej investičnej stratégii, ktorá má z dlhodobého hľadiska potenciál dosiahnuť čo možno najvyššie zhodnotenie pri rešpektovaní životného cyklu jednotlivca, s možnosťou zmeny aktívnym vyjadrením vôle účastníka na starobnom dôchodkovom sporení. Predvolená sporiaca stratégia zahŕňa pasívne spravované investície prostredníctvom diverzifikovaného portfólia aktív. </w:t>
      </w:r>
    </w:p>
    <w:p w14:paraId="35942550" w14:textId="77777777" w:rsidR="00D61E34" w:rsidRPr="004603CA" w:rsidRDefault="00D61E34" w:rsidP="00D61E34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1C234713" w14:textId="079939AE" w:rsidR="003D0BCE" w:rsidRPr="00370F6B" w:rsidRDefault="00A26D03" w:rsidP="0010184A">
      <w:pPr>
        <w:pStyle w:val="Odsekzoznamu"/>
        <w:numPr>
          <w:ilvl w:val="0"/>
          <w:numId w:val="19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CA">
        <w:rPr>
          <w:rFonts w:ascii="Times New Roman" w:hAnsi="Times New Roman" w:cs="Times New Roman"/>
          <w:bCs/>
          <w:sz w:val="24"/>
          <w:szCs w:val="24"/>
        </w:rPr>
        <w:t xml:space="preserve">Podiel sumy platby spojenej s účasťou </w:t>
      </w:r>
      <w:r w:rsidR="00E41254" w:rsidRPr="004603CA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3D0BCE" w:rsidRPr="004603CA">
        <w:rPr>
          <w:rFonts w:ascii="Times New Roman" w:hAnsi="Times New Roman" w:cs="Times New Roman"/>
          <w:bCs/>
          <w:sz w:val="24"/>
          <w:szCs w:val="24"/>
        </w:rPr>
        <w:t xml:space="preserve">starobnom dôchodkovom sporení </w:t>
      </w:r>
      <w:r w:rsidRPr="004603CA">
        <w:rPr>
          <w:rFonts w:ascii="Times New Roman" w:hAnsi="Times New Roman" w:cs="Times New Roman"/>
          <w:bCs/>
          <w:sz w:val="24"/>
          <w:szCs w:val="24"/>
        </w:rPr>
        <w:t xml:space="preserve">na sume platby spojenej s účasťou na systéme primeraného hmotného zabezpečenia v starobe je najmenej jedna štvrtina </w:t>
      </w:r>
      <w:r w:rsidR="003D0BCE" w:rsidRPr="004603CA">
        <w:rPr>
          <w:rFonts w:ascii="Times New Roman" w:hAnsi="Times New Roman" w:cs="Times New Roman"/>
          <w:bCs/>
          <w:sz w:val="24"/>
          <w:szCs w:val="24"/>
        </w:rPr>
        <w:t>z celkovej efektívnej sadzby priebežne financovaného dôchodkového systému</w:t>
      </w:r>
      <w:r w:rsidR="00D23A19">
        <w:rPr>
          <w:rFonts w:ascii="Times New Roman" w:hAnsi="Times New Roman" w:cs="Times New Roman"/>
          <w:bCs/>
          <w:sz w:val="24"/>
          <w:szCs w:val="24"/>
        </w:rPr>
        <w:t xml:space="preserve"> (ďalej len „efektívna sadzba“)</w:t>
      </w:r>
      <w:r w:rsidR="003D0BCE" w:rsidRPr="00370F6B">
        <w:rPr>
          <w:rFonts w:ascii="Times New Roman" w:hAnsi="Times New Roman" w:cs="Times New Roman"/>
          <w:bCs/>
          <w:sz w:val="24"/>
          <w:szCs w:val="24"/>
        </w:rPr>
        <w:t>. Efektívna sadzba zohľadňuje celkové náklady na výplatu dávok z priebežne financovaného dôchodkového systému, spolu s platbami zo systému sociálneho zabezpečenia a inými mimoriadnymi platbami vyplácanými z prostriedkov verejných financií skupine osôb definovanej dosiahnutím dôchodkového veku.</w:t>
      </w:r>
    </w:p>
    <w:p w14:paraId="1EC5DA51" w14:textId="77777777" w:rsidR="00EF78DC" w:rsidRPr="00370F6B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36B9F110" w14:textId="674C9953" w:rsidR="00EF78DC" w:rsidRPr="00370F6B" w:rsidRDefault="006A7022" w:rsidP="0010184A">
      <w:pPr>
        <w:pStyle w:val="Odsekzoznamu"/>
        <w:numPr>
          <w:ilvl w:val="0"/>
          <w:numId w:val="19"/>
        </w:numPr>
        <w:spacing w:after="120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6B">
        <w:rPr>
          <w:rFonts w:ascii="Times New Roman" w:hAnsi="Times New Roman" w:cs="Times New Roman"/>
          <w:noProof/>
          <w:sz w:val="24"/>
          <w:szCs w:val="24"/>
        </w:rPr>
        <w:t xml:space="preserve">Najvyššiu prípustnú sumu odplát, </w:t>
      </w:r>
      <w:r w:rsidR="006E2682" w:rsidRPr="00370F6B">
        <w:rPr>
          <w:rFonts w:ascii="Times New Roman" w:hAnsi="Times New Roman" w:cs="Times New Roman"/>
          <w:noProof/>
          <w:sz w:val="24"/>
          <w:szCs w:val="24"/>
        </w:rPr>
        <w:t>nákladov</w:t>
      </w:r>
      <w:r w:rsidRPr="00370F6B">
        <w:rPr>
          <w:rFonts w:ascii="Times New Roman" w:hAnsi="Times New Roman" w:cs="Times New Roman"/>
          <w:noProof/>
          <w:sz w:val="24"/>
          <w:szCs w:val="24"/>
        </w:rPr>
        <w:t xml:space="preserve"> a poplatkov</w:t>
      </w:r>
      <w:r w:rsidR="006E2682" w:rsidRPr="00370F6B">
        <w:rPr>
          <w:rFonts w:ascii="Times New Roman" w:hAnsi="Times New Roman" w:cs="Times New Roman"/>
          <w:noProof/>
          <w:sz w:val="24"/>
          <w:szCs w:val="24"/>
        </w:rPr>
        <w:t>, o ktorú môže subjekt vykonávajúci starobné dôchodkové sporenie znížiť hodnotu majetku účastníkov systému starobného dôchodkového sporenia ustanoví zákon</w:t>
      </w:r>
      <w:r w:rsidR="005C2778" w:rsidRPr="00370F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53908F" w14:textId="3E1F0AD6" w:rsidR="00EF78DC" w:rsidRDefault="00EF78DC" w:rsidP="0010184A">
      <w:pPr>
        <w:pStyle w:val="Odsekzoznamu"/>
        <w:rPr>
          <w:rFonts w:ascii="Times New Roman" w:hAnsi="Times New Roman" w:cs="Times New Roman"/>
          <w:bCs/>
          <w:sz w:val="24"/>
          <w:szCs w:val="24"/>
        </w:rPr>
      </w:pPr>
    </w:p>
    <w:p w14:paraId="4D45C2EE" w14:textId="77777777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46B57098" w14:textId="63824C33" w:rsidR="00EF78DC" w:rsidRDefault="00EF78DC" w:rsidP="0010184A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F6B">
        <w:rPr>
          <w:rFonts w:ascii="Times New Roman" w:hAnsi="Times New Roman" w:cs="Times New Roman"/>
          <w:b/>
          <w:bCs/>
          <w:sz w:val="24"/>
          <w:szCs w:val="24"/>
        </w:rPr>
        <w:t>Výplatná fáza dôchodkového sporenia</w:t>
      </w:r>
    </w:p>
    <w:p w14:paraId="18B21952" w14:textId="77777777" w:rsidR="00127F0E" w:rsidRPr="00370F6B" w:rsidRDefault="00127F0E" w:rsidP="0010184A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398327" w14:textId="6037E927" w:rsidR="00A608D0" w:rsidRPr="00370F6B" w:rsidRDefault="0017106B" w:rsidP="0017106B">
      <w:pPr>
        <w:pStyle w:val="Odsekzoznamu"/>
        <w:numPr>
          <w:ilvl w:val="0"/>
          <w:numId w:val="20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6B">
        <w:rPr>
          <w:rFonts w:ascii="Times New Roman" w:hAnsi="Times New Roman" w:cs="Times New Roman"/>
          <w:bCs/>
          <w:sz w:val="24"/>
          <w:szCs w:val="24"/>
        </w:rPr>
        <w:t>S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>tarobn</w:t>
      </w:r>
      <w:r w:rsidRPr="00370F6B">
        <w:rPr>
          <w:rFonts w:ascii="Times New Roman" w:hAnsi="Times New Roman" w:cs="Times New Roman"/>
          <w:bCs/>
          <w:sz w:val="24"/>
          <w:szCs w:val="24"/>
        </w:rPr>
        <w:t>ý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 xml:space="preserve"> dôchod</w:t>
      </w:r>
      <w:r w:rsidRPr="00370F6B">
        <w:rPr>
          <w:rFonts w:ascii="Times New Roman" w:hAnsi="Times New Roman" w:cs="Times New Roman"/>
          <w:bCs/>
          <w:sz w:val="24"/>
          <w:szCs w:val="24"/>
        </w:rPr>
        <w:t>o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 xml:space="preserve">k zo starobného dôchodkového sporenia </w:t>
      </w:r>
      <w:r w:rsidRPr="00370F6B">
        <w:rPr>
          <w:rFonts w:ascii="Times New Roman" w:hAnsi="Times New Roman" w:cs="Times New Roman"/>
          <w:bCs/>
          <w:sz w:val="24"/>
          <w:szCs w:val="24"/>
        </w:rPr>
        <w:t xml:space="preserve">sa poskytuje formou dlhodobého poskytovania, najmenej po dobu rovnajúcu sa strednej dĺžke života v momente vzniku nároku na starobný dôchodok zo starobného dôchodkového sporenia. </w:t>
      </w:r>
      <w:r w:rsidR="008D62D5" w:rsidRPr="00370F6B">
        <w:rPr>
          <w:rFonts w:ascii="Times New Roman" w:hAnsi="Times New Roman" w:cs="Times New Roman"/>
          <w:bCs/>
          <w:sz w:val="24"/>
          <w:szCs w:val="24"/>
        </w:rPr>
        <w:t>I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>nou formou je možné čerpať starobný dôchodok zo starobného dôchodkového sporeni</w:t>
      </w:r>
      <w:r w:rsidR="00A608D0" w:rsidRPr="00370F6B">
        <w:rPr>
          <w:rFonts w:ascii="Times New Roman" w:hAnsi="Times New Roman" w:cs="Times New Roman"/>
          <w:bCs/>
          <w:sz w:val="24"/>
          <w:szCs w:val="24"/>
        </w:rPr>
        <w:t>a iba v prípadoch podľa odseku 2</w:t>
      </w:r>
      <w:r w:rsidR="00EF78DC" w:rsidRPr="00370F6B">
        <w:rPr>
          <w:rFonts w:ascii="Times New Roman" w:hAnsi="Times New Roman" w:cs="Times New Roman"/>
          <w:bCs/>
          <w:sz w:val="24"/>
          <w:szCs w:val="24"/>
        </w:rPr>
        <w:t>, za podmienok ustanovených zákonom.</w:t>
      </w:r>
    </w:p>
    <w:p w14:paraId="0F57C41C" w14:textId="77777777" w:rsidR="00A608D0" w:rsidRPr="00370F6B" w:rsidRDefault="00A608D0" w:rsidP="0010184A">
      <w:pPr>
        <w:pStyle w:val="Odsekzoznamu"/>
        <w:spacing w:after="2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2A6564" w14:textId="0AF72D94" w:rsidR="00A608D0" w:rsidRPr="00370F6B" w:rsidRDefault="00A608D0" w:rsidP="0010184A">
      <w:pPr>
        <w:pStyle w:val="Odsekzoznamu"/>
        <w:numPr>
          <w:ilvl w:val="0"/>
          <w:numId w:val="20"/>
        </w:numPr>
        <w:spacing w:after="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Starobný dôchodok zo starobného  dôchodkového sporenia je možné poskytnúť jednorazovo v celej hodnote nasporenej sumy alebo v jej časti len, ak </w:t>
      </w:r>
    </w:p>
    <w:p w14:paraId="5480A955" w14:textId="77777777" w:rsidR="00A608D0" w:rsidRPr="00370F6B" w:rsidRDefault="00A608D0" w:rsidP="0010184A">
      <w:pPr>
        <w:pStyle w:val="Odsekzoznamu"/>
        <w:numPr>
          <w:ilvl w:val="0"/>
          <w:numId w:val="22"/>
        </w:numPr>
        <w:spacing w:after="2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vzhľadom na nízku hodnotu nasporenej sumy celkom zjavne nie je doživotným poskytovaním možné dosiahnuť primerané hmotné zabezpečenie v starobe, alebo </w:t>
      </w:r>
    </w:p>
    <w:p w14:paraId="66ED1365" w14:textId="7795A03E" w:rsidR="00A608D0" w:rsidRPr="00370F6B" w:rsidRDefault="00A608D0" w:rsidP="0010184A">
      <w:pPr>
        <w:pStyle w:val="Odsekzoznamu"/>
        <w:numPr>
          <w:ilvl w:val="0"/>
          <w:numId w:val="22"/>
        </w:numPr>
        <w:spacing w:after="2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 o jednorazové poskytnutie osobe v život ohrozujúcej situácii, kedy by doživotné poskytovanie nebolo spravodlivé požadovať, alebo</w:t>
      </w:r>
    </w:p>
    <w:p w14:paraId="1E9D31CF" w14:textId="276E4053" w:rsidR="007C0D85" w:rsidRPr="00370F6B" w:rsidRDefault="00A608D0" w:rsidP="00BF0766">
      <w:pPr>
        <w:pStyle w:val="Odsekzoznamu"/>
        <w:numPr>
          <w:ilvl w:val="0"/>
          <w:numId w:val="22"/>
        </w:numPr>
        <w:spacing w:after="2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súčet dôchodku z </w:t>
      </w:r>
      <w:r w:rsidRPr="00370F6B">
        <w:rPr>
          <w:rFonts w:ascii="Times New Roman" w:hAnsi="Times New Roman" w:cs="Times New Roman"/>
          <w:bCs/>
          <w:sz w:val="24"/>
          <w:szCs w:val="24"/>
        </w:rPr>
        <w:t>priebežne financovaného dôchodkového systému</w:t>
      </w:r>
      <w:r w:rsidR="003212DB" w:rsidRPr="00370F6B">
        <w:rPr>
          <w:rFonts w:ascii="Times New Roman" w:hAnsi="Times New Roman" w:cs="Times New Roman"/>
          <w:bCs/>
          <w:sz w:val="24"/>
          <w:szCs w:val="24"/>
        </w:rPr>
        <w:t>, systémov výsluhového zabezpečenia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doživotného finančného plnenia zakúpeného z dôchodkových úspor zo starobného dôchodkového sporenia prevýši minimálnu hodnotu definovanú zákonom. </w:t>
      </w:r>
    </w:p>
    <w:p w14:paraId="3952A359" w14:textId="77777777" w:rsidR="00127F0E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00BC8" w14:textId="761C5E18" w:rsidR="00127F0E" w:rsidRPr="001557D5" w:rsidRDefault="00127F0E" w:rsidP="00127F0E">
      <w:pPr>
        <w:pStyle w:val="Odsekzoznamu"/>
        <w:spacing w:after="2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Čl. 5</w:t>
      </w:r>
    </w:p>
    <w:p w14:paraId="188A88E8" w14:textId="4A0A6F38" w:rsidR="001E78A0" w:rsidRDefault="001E78A0" w:rsidP="0010184A">
      <w:pPr>
        <w:spacing w:after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Informovanosť</w:t>
      </w:r>
    </w:p>
    <w:p w14:paraId="0D599E86" w14:textId="77777777" w:rsidR="00127F0E" w:rsidRPr="00370F6B" w:rsidRDefault="00127F0E" w:rsidP="0010184A">
      <w:pPr>
        <w:spacing w:after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0575CA3" w14:textId="4A8BEC65" w:rsidR="00511B3D" w:rsidRPr="00370F6B" w:rsidRDefault="00511B3D" w:rsidP="0010184A">
      <w:pPr>
        <w:pStyle w:val="Odsekzoznamu"/>
        <w:numPr>
          <w:ilvl w:val="0"/>
          <w:numId w:val="2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0F6B">
        <w:rPr>
          <w:rFonts w:ascii="Times New Roman" w:hAnsi="Times New Roman" w:cs="Times New Roman"/>
          <w:sz w:val="24"/>
          <w:szCs w:val="24"/>
        </w:rPr>
        <w:t xml:space="preserve">Osoba zúčastnená na systéme primeraného hmotného zabezpečenia v starobe alebo na dobrovoľnom sporení na účely hmotného zabezpečenia v starobe má právo na </w:t>
      </w:r>
      <w:r w:rsidR="008A54CB" w:rsidRPr="00370F6B">
        <w:rPr>
          <w:rFonts w:ascii="Times New Roman" w:hAnsi="Times New Roman" w:cs="Times New Roman"/>
          <w:sz w:val="24"/>
          <w:szCs w:val="24"/>
        </w:rPr>
        <w:t xml:space="preserve">pravidelné </w:t>
      </w:r>
      <w:r w:rsidRPr="00370F6B">
        <w:rPr>
          <w:rFonts w:ascii="Times New Roman" w:hAnsi="Times New Roman" w:cs="Times New Roman"/>
          <w:sz w:val="24"/>
          <w:szCs w:val="24"/>
        </w:rPr>
        <w:lastRenderedPageBreak/>
        <w:t>informácie týkajúce sa predpokladaného stavu a vývoja jej hmotného zabezpečenia v starobe, s cieľom umožniť dlhodobo plánovať a prijímať rozhodnutia na dosiahnutie takého hmotného zabezpečenia v starobe, ktoré najviac zodpovedá možnostiam a potrebám zúčastnenej osoby.</w:t>
      </w:r>
      <w:r w:rsidR="009907AC" w:rsidRPr="00370F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39AF2" w14:textId="77777777" w:rsidR="009907AC" w:rsidRPr="00370F6B" w:rsidRDefault="009907AC" w:rsidP="0010184A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AE7113" w14:textId="6292D196" w:rsidR="00511B3D" w:rsidRPr="00370F6B" w:rsidRDefault="00511B3D" w:rsidP="0010184A">
      <w:pPr>
        <w:pStyle w:val="Odsekzoznamu"/>
        <w:numPr>
          <w:ilvl w:val="0"/>
          <w:numId w:val="2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Informácie týkajúce sa predpokladaného stavu a vývoja hmotného zabezpečenia v starobe obdrží osoba zúčastnená na starobnom dôchodkovom systéme automaticky minimálne raz ročne</w:t>
      </w:r>
      <w:r w:rsidR="009907AC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907AC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prvýkrát 30 rokov pred dovŕšením </w:t>
      </w:r>
      <w:r w:rsid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predpokladaného </w:t>
      </w:r>
      <w:r w:rsidR="009907AC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dôchodkového veku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nepretržite na webovom sídle. </w:t>
      </w:r>
    </w:p>
    <w:p w14:paraId="6717E70D" w14:textId="15D31A05" w:rsidR="00127F0E" w:rsidRPr="00370F6B" w:rsidRDefault="00127F0E" w:rsidP="00370F6B">
      <w:pPr>
        <w:tabs>
          <w:tab w:val="left" w:pos="2067"/>
        </w:tabs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6B"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6C633145" w14:textId="64E48AC8" w:rsidR="00511B3D" w:rsidRDefault="00511B3D" w:rsidP="00127F0E">
      <w:pPr>
        <w:tabs>
          <w:tab w:val="left" w:pos="2067"/>
        </w:tabs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6B">
        <w:rPr>
          <w:rFonts w:ascii="Times New Roman" w:hAnsi="Times New Roman" w:cs="Times New Roman"/>
          <w:b/>
          <w:sz w:val="24"/>
          <w:szCs w:val="24"/>
        </w:rPr>
        <w:t>Spoločné ustanovenia</w:t>
      </w:r>
    </w:p>
    <w:p w14:paraId="2EAD0235" w14:textId="77777777" w:rsidR="00127F0E" w:rsidRPr="00370F6B" w:rsidRDefault="00127F0E" w:rsidP="00127F0E">
      <w:pPr>
        <w:tabs>
          <w:tab w:val="left" w:pos="2067"/>
        </w:tabs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FA501" w14:textId="2BAC16B2" w:rsidR="00511B3D" w:rsidRPr="00370F6B" w:rsidRDefault="00511B3D" w:rsidP="00B131B5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Rada pre rozpočtovú zodpovednosť každoročne vypracúva a zverejňuje správu o </w:t>
      </w:r>
      <w:r w:rsidR="00C10006"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adekvátnosti, finančnej stabilite a dlhodobej udržateľnosti systému primeraného hmotného zabezpečenia v starobe a zverejňuje ukazovatele adekvátnosti a udržateľnosti systému primeraného hmotného zabezpečenia v starobe a</w:t>
      </w:r>
      <w:r w:rsidR="00D23A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C10006"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dobrovoľn</w:t>
      </w:r>
      <w:r w:rsidR="00D23A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ých sporení na dôchodok. </w:t>
      </w:r>
    </w:p>
    <w:p w14:paraId="5129BF34" w14:textId="77777777" w:rsidR="00C10006" w:rsidRPr="00370F6B" w:rsidRDefault="00C10006" w:rsidP="00C10006">
      <w:pPr>
        <w:pStyle w:val="Odsekzoznamu"/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08C7A212" w14:textId="03EF8422" w:rsidR="00511B3D" w:rsidRPr="00370F6B" w:rsidRDefault="00511B3D" w:rsidP="0010184A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legislatívnych návrhoch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týkajúcich sa </w:t>
      </w:r>
      <w:r w:rsidR="0010184A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systému primeraného hmotného zabezpečenia </w:t>
      </w:r>
      <w:r w:rsidR="00542FA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  <w:r w:rsidR="0010184A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v starobe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 Rada pre rozpočtovú zodpovednosť právo vystúpiť v Národnej rade S</w:t>
      </w:r>
      <w:r w:rsidR="00127F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lovenskej republiky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pred ich prerokovaním v druhom čítaní a odprezentovať svoje stanovisko.</w:t>
      </w:r>
    </w:p>
    <w:p w14:paraId="6DA14183" w14:textId="77777777" w:rsidR="00511B3D" w:rsidRPr="00370F6B" w:rsidRDefault="00511B3D" w:rsidP="0010184A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ACF8B3" w14:textId="53C3721C" w:rsidR="00511B3D" w:rsidRPr="00370F6B" w:rsidRDefault="00511B3D" w:rsidP="0010184A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Efektívnu sadzbu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na účely čl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3 ods. 7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nasledujúci kalendárny rok </w:t>
      </w:r>
      <w:r w:rsidR="00AA4073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vypočíta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Rada pre rozpočtovú zodpovednosť každoročne k 1.</w:t>
      </w:r>
      <w:r w:rsidR="00822D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októbru 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v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ýdavkov 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čl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A2048F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3 ods. 7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 roku</w:t>
      </w:r>
      <w:r w:rsidR="008A54CB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predchádzajúcom určeniu efektívnej sadzby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C63BFFB" w14:textId="77777777" w:rsidR="003212DB" w:rsidRPr="00370F6B" w:rsidRDefault="003212DB" w:rsidP="003212DB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1984707" w14:textId="7C94C89B" w:rsidR="003212DB" w:rsidRPr="00370F6B" w:rsidRDefault="003212DB" w:rsidP="003212DB">
      <w:pPr>
        <w:pStyle w:val="Odsekzoznamu"/>
        <w:numPr>
          <w:ilvl w:val="0"/>
          <w:numId w:val="24"/>
        </w:numPr>
        <w:spacing w:after="2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Minimálna hodnota doživotných dôchodkov </w:t>
      </w:r>
      <w:r w:rsidR="005B3F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účely </w:t>
      </w:r>
      <w:r w:rsidR="00542FA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l. 4 ods</w:t>
      </w:r>
      <w:r w:rsidR="005B3F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 písm</w:t>
      </w:r>
      <w:r w:rsidR="005B3F5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370F6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c) nemôže byť vyššia ako priemerná výška vyplácaných dôchodkov za predchádzajúci kalendárny rok z priebežne financovaného dôchodkového systému. </w:t>
      </w:r>
    </w:p>
    <w:p w14:paraId="304BEE8B" w14:textId="77777777" w:rsidR="00127F0E" w:rsidRDefault="00127F0E" w:rsidP="00127F0E">
      <w:pPr>
        <w:pStyle w:val="Odsekzoznamu"/>
        <w:spacing w:after="2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005E9D" w14:textId="2871C980" w:rsidR="00127F0E" w:rsidRPr="00370F6B" w:rsidRDefault="00127F0E" w:rsidP="00370F6B">
      <w:pPr>
        <w:spacing w:after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7</w:t>
      </w:r>
    </w:p>
    <w:p w14:paraId="7EEFD718" w14:textId="77181813" w:rsidR="00A75BF7" w:rsidRDefault="00A75BF7" w:rsidP="0010184A">
      <w:pPr>
        <w:spacing w:after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Prechodné ustanovenia</w:t>
      </w:r>
    </w:p>
    <w:p w14:paraId="726087D0" w14:textId="77777777" w:rsidR="00127F0E" w:rsidRPr="00370F6B" w:rsidRDefault="00127F0E" w:rsidP="0010184A">
      <w:pPr>
        <w:spacing w:after="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3B77988" w14:textId="42F7974D" w:rsidR="00FD27BA" w:rsidRPr="00370F6B" w:rsidRDefault="009907AC" w:rsidP="0010184A">
      <w:pPr>
        <w:pStyle w:val="Odsekzoznamu"/>
        <w:numPr>
          <w:ilvl w:val="0"/>
          <w:numId w:val="25"/>
        </w:num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ústavný zákon sa vzťahuje aj na nároky zo základného práva na primerané hmotné zabezpečenie v starobe, ktoré vznikli pred dňom účinnosti tohto ústavného zákona, ak to nie je v neprospech oprávnených osôb.</w:t>
      </w:r>
    </w:p>
    <w:p w14:paraId="2F7431ED" w14:textId="77777777" w:rsidR="0010184A" w:rsidRPr="00370F6B" w:rsidRDefault="0010184A" w:rsidP="0010184A">
      <w:pPr>
        <w:pStyle w:val="Odsekzoznamu"/>
        <w:spacing w:after="2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90409B3" w14:textId="7745D1D1" w:rsidR="00A75BF7" w:rsidRPr="00370F6B" w:rsidRDefault="00A75BF7" w:rsidP="0010184A">
      <w:pPr>
        <w:pStyle w:val="Odsekzoznamu"/>
        <w:numPr>
          <w:ilvl w:val="0"/>
          <w:numId w:val="25"/>
        </w:num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Podmienka odpracovanej doby</w:t>
      </w:r>
      <w:r w:rsidR="00987548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účasti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na účely čl</w:t>
      </w:r>
      <w:r w:rsidR="00F81E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5C2778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2 ods. 8</w:t>
      </w:r>
      <w:r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ustanoví k účinnosti tohto ústavného zákona s platnosťou na rok 2023 na 40 rokov.</w:t>
      </w:r>
      <w:r w:rsidR="00BB08E2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Podmienka odpracovanej doby účasti podľa pr</w:t>
      </w:r>
      <w:r w:rsidR="00A75281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vej vety sa upravuje automatickým</w:t>
      </w:r>
      <w:r w:rsidR="00BB08E2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mechanizmom podľa čl</w:t>
      </w:r>
      <w:r w:rsidR="00BE225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B08E2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 ods. </w:t>
      </w:r>
      <w:r w:rsidR="005C2778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BB08E2" w:rsidRPr="00370F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405A48FE" w14:textId="64228081" w:rsidR="0010184A" w:rsidRPr="00370F6B" w:rsidRDefault="0010184A" w:rsidP="0010184A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CAE9F30" w14:textId="12640CF9" w:rsidR="00A75281" w:rsidRPr="00A17784" w:rsidRDefault="00B10A49" w:rsidP="00137080">
      <w:pPr>
        <w:pStyle w:val="Odsekzoznamu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Pre sporiteľa v</w:t>
      </w:r>
      <w:r w:rsidR="005F69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starobnom dôchodkovom sporení, ktorého majetok bol </w:t>
      </w:r>
      <w:r w:rsidR="006A702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 zákona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 30. aprílu 2013 presunutý do dlhopisového garantovaného dôchodkového fondu 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po tomto dátume nevykonal prestup do inej dôchodkovej správcovskej spoločnosti, prestup do iného dôchodkového fondu spravovaného tou istou dôchodkovou správcovskou spoločnosťou 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alebo nepožiadal o zmenu pomeru sporenia v jednotlivých dôchodkových fondoch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sa odo dňa účinnosti </w:t>
      </w:r>
      <w:r w:rsidR="006A702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tohto ústavného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ustanovuje:</w:t>
      </w:r>
    </w:p>
    <w:p w14:paraId="3C974E07" w14:textId="77777777" w:rsidR="00F65A59" w:rsidRPr="00A17784" w:rsidRDefault="00F65A59" w:rsidP="00F65A59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59A18C" w14:textId="66378E75" w:rsidR="00F65A59" w:rsidRPr="00A17784" w:rsidRDefault="00137080" w:rsidP="00F81E2E">
      <w:pPr>
        <w:pStyle w:val="Odsekzoznamu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novo uhradené povinné príspevky sporiteľa dôchodková správcovská spoločnosť prevádza na bežný účet dôchodkového fondu s najvyššou rizikovo-výnosovou triedou a zároveň pripisuje na osobný dôchodkový účet sporiteľa taký počet dôchodkových jednotiek, ktorý zodpovedá podielu prevedenej sumy a aktuálnej hodnoty dôchodkovej jednotky tohto dôchodkového fondu zo dňa, ktorý predchádza dňu prevodu</w:t>
      </w:r>
      <w:r w:rsidR="00D15AF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; t</w:t>
      </w:r>
      <w:r w:rsidR="006A702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ým nie sú dotknuté ustanovenia zákona upravujúce povinné rozdelenie čistej hodnoty majetku v dôchodkovom fonde v závislosti od veku sporiteľa</w:t>
      </w:r>
      <w:r w:rsidR="00D15AF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B03A418" w14:textId="6AC8D284" w:rsidR="00F65A59" w:rsidRPr="00A17784" w:rsidRDefault="00F65A59" w:rsidP="00137080">
      <w:pPr>
        <w:pStyle w:val="Odsekzoznamu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podiel 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čistej hodnoty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majetku sporiteľa v systéme starobného dôchodkového sporenia</w:t>
      </w:r>
      <w:r w:rsidR="00E747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vyjadrený v percentách ako </w:t>
      </w:r>
      <w:r w:rsidR="007A02D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hodnota 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100 </w:t>
      </w:r>
      <w:r w:rsidR="007A02D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znížená o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vek sporiteľa</w:t>
      </w:r>
      <w:r w:rsidR="007A02D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vyjadrený v rokoch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dosiahnutý k dátumu účinnosti tohto zákona</w:t>
      </w:r>
      <w:r w:rsidR="007A02D2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dôchodková správcovská spoločnosť prevedie na bežný účet dôchodkového fondu s najvyššou rizikovo-výnosovou triedou a zároveň pripisuje na osobný dôchodkový účet sporiteľa taký počet dôchodkových jednotiek, ktorý zodpovedá podielu prevedenej sumy a aktuálnej hodnoty dôchodkovej jednotky tohto dôchodkového fondu zo dňa, ktorý predchádza dňu prevodu</w:t>
      </w:r>
      <w:r w:rsidR="00E747B3">
        <w:rPr>
          <w:rFonts w:ascii="Times New Roman" w:eastAsia="Times New Roman" w:hAnsi="Times New Roman" w:cs="Times New Roman"/>
          <w:sz w:val="24"/>
          <w:szCs w:val="24"/>
          <w:lang w:eastAsia="sk-SK"/>
        </w:rPr>
        <w:t>; tento p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resun dôchodková správcovská spoločnosť vykoná postupne aj bez súhlasu sporiteľa v objeme jednej dvanástiny podielu podľa prvej vety každý kalendárny mesiac v ktorýkoľvek kalendárny deň, až kým rozloženie čistej hodnoty majetku sporiteľa v jednotlivých dôchodkových fondoch nedosiahne pomer určený predvolenou sporiacou stratégiou podľa osobitného predpisu</w:t>
      </w:r>
      <w:r w:rsidR="00C46BBA">
        <w:rPr>
          <w:rFonts w:ascii="Times New Roman" w:eastAsia="Times New Roman" w:hAnsi="Times New Roman" w:cs="Times New Roman"/>
          <w:sz w:val="24"/>
          <w:szCs w:val="24"/>
          <w:lang w:eastAsia="sk-SK"/>
        </w:rPr>
        <w:t>, pričom p</w:t>
      </w:r>
      <w:r w:rsidR="00C46BBA" w:rsidRPr="001557D5">
        <w:rPr>
          <w:rFonts w:ascii="Times New Roman" w:eastAsia="Times New Roman" w:hAnsi="Times New Roman" w:cs="Times New Roman"/>
          <w:sz w:val="24"/>
          <w:szCs w:val="24"/>
          <w:lang w:eastAsia="sk-SK"/>
        </w:rPr>
        <w:t>rvý presun sa uskutoční v mesiaci február 2023</w:t>
      </w:r>
      <w:r w:rsidR="00C46BBA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46BBA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osledný presun môže zodpovedať inej hodnote ako jedna dvanástina podielu podľa prvej vety, ak je to nevyhnutné na </w:t>
      </w:r>
      <w:r w:rsidR="00FB2E8E">
        <w:rPr>
          <w:rFonts w:ascii="Times New Roman" w:eastAsia="Times New Roman" w:hAnsi="Times New Roman" w:cs="Times New Roman"/>
          <w:sz w:val="24"/>
          <w:szCs w:val="24"/>
          <w:lang w:eastAsia="sk-SK"/>
        </w:rPr>
        <w:t>dosiahnutie zákonom určeného podielu čistej hodnoty majetku v príslušnom dôchodkovom fonde</w:t>
      </w:r>
      <w:r w:rsidR="00C2526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podľa tohto ustanovenia</w:t>
      </w:r>
      <w:r w:rsidR="00FB2E8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3BAD9488" w14:textId="35410232" w:rsidR="00137080" w:rsidRPr="00A17784" w:rsidRDefault="00E747B3" w:rsidP="00137080">
      <w:pPr>
        <w:pStyle w:val="Odsekzoznamu"/>
        <w:numPr>
          <w:ilvl w:val="1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137080" w:rsidRPr="00A17784">
        <w:rPr>
          <w:rFonts w:ascii="Times New Roman" w:eastAsia="Times New Roman" w:hAnsi="Times New Roman" w:cs="Times New Roman"/>
          <w:sz w:val="24"/>
          <w:szCs w:val="24"/>
          <w:lang w:eastAsia="sk-SK"/>
        </w:rPr>
        <w:t>k sporiteľ, ktorého povinné príspevky majú byť prevádzané na bežný účet dôchodkového fondu s najvyššou rizikovo-výnosovou triedou, nemá zriadený osobný dôchodkový účet priradený k takémuto dôchodkovému fondu, je dôchodková správcovská spoločnosť povinná mu tento osobný dôchodkový účet zriadiť.</w:t>
      </w:r>
    </w:p>
    <w:p w14:paraId="6A7A23F2" w14:textId="5C25D7A3" w:rsidR="00FD27BA" w:rsidRDefault="00FD27BA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784">
        <w:rPr>
          <w:rFonts w:ascii="Times New Roman" w:hAnsi="Times New Roman" w:cs="Times New Roman"/>
          <w:b/>
          <w:sz w:val="24"/>
          <w:szCs w:val="24"/>
        </w:rPr>
        <w:t>Čl. 8</w:t>
      </w:r>
    </w:p>
    <w:p w14:paraId="42C57874" w14:textId="77777777" w:rsidR="00127F0E" w:rsidRPr="001557D5" w:rsidRDefault="00127F0E" w:rsidP="00127F0E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7D5"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32CE70BE" w14:textId="77777777" w:rsidR="00127F0E" w:rsidRPr="00A17784" w:rsidRDefault="00127F0E" w:rsidP="0010184A">
      <w:pPr>
        <w:spacing w:after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ECBEB2" w14:textId="4C52D7A6" w:rsidR="006A497D" w:rsidRPr="006A497D" w:rsidRDefault="00FD27BA" w:rsidP="006A497D">
      <w:pPr>
        <w:spacing w:after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A497D">
        <w:rPr>
          <w:rFonts w:ascii="Times New Roman" w:hAnsi="Times New Roman" w:cs="Times New Roman"/>
          <w:sz w:val="24"/>
          <w:szCs w:val="24"/>
        </w:rPr>
        <w:t xml:space="preserve">Tento ústavný zákon nadobúda účinnosť 1. </w:t>
      </w:r>
      <w:r w:rsidR="00286F08" w:rsidRPr="006A497D">
        <w:rPr>
          <w:rFonts w:ascii="Times New Roman" w:hAnsi="Times New Roman" w:cs="Times New Roman"/>
          <w:sz w:val="24"/>
          <w:szCs w:val="24"/>
        </w:rPr>
        <w:t xml:space="preserve">januára </w:t>
      </w:r>
      <w:r w:rsidRPr="006A497D">
        <w:rPr>
          <w:rFonts w:ascii="Times New Roman" w:hAnsi="Times New Roman" w:cs="Times New Roman"/>
          <w:sz w:val="24"/>
          <w:szCs w:val="24"/>
        </w:rPr>
        <w:t>202</w:t>
      </w:r>
      <w:r w:rsidR="00286F08" w:rsidRPr="006A497D">
        <w:rPr>
          <w:rFonts w:ascii="Times New Roman" w:hAnsi="Times New Roman" w:cs="Times New Roman"/>
          <w:sz w:val="24"/>
          <w:szCs w:val="24"/>
        </w:rPr>
        <w:t>3</w:t>
      </w:r>
      <w:r w:rsidR="006A497D" w:rsidRPr="006A497D">
        <w:rPr>
          <w:rFonts w:ascii="Times New Roman" w:hAnsi="Times New Roman" w:cs="Times New Roman"/>
          <w:sz w:val="24"/>
          <w:szCs w:val="24"/>
        </w:rPr>
        <w:t xml:space="preserve"> okrem 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1 ods. 5, čl. 2 ods. 3 a 4, čl. 5</w:t>
      </w:r>
      <w:r w:rsidR="001B30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6 ods. 3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nadobúdajú 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januára 2024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čl. 3 ods. 7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nadobúda účinnosť </w:t>
      </w:r>
      <w:r w:rsidR="006A497D" w:rsidRPr="006A497D"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januára 2025.</w:t>
      </w:r>
    </w:p>
    <w:p w14:paraId="2CAF17E3" w14:textId="015C8A09" w:rsidR="00FD27BA" w:rsidRPr="00A17784" w:rsidRDefault="00FD27BA" w:rsidP="00330C60">
      <w:pPr>
        <w:spacing w:after="2"/>
        <w:rPr>
          <w:rFonts w:ascii="Times New Roman" w:hAnsi="Times New Roman" w:cs="Times New Roman"/>
          <w:sz w:val="24"/>
          <w:szCs w:val="24"/>
        </w:rPr>
      </w:pPr>
    </w:p>
    <w:p w14:paraId="6B503D3E" w14:textId="77777777" w:rsidR="00FD27BA" w:rsidRPr="00A17784" w:rsidRDefault="00FD27BA" w:rsidP="0010184A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FD27BA" w:rsidRPr="00A17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AD2C" w14:textId="77777777" w:rsidR="00DD08EB" w:rsidRDefault="00DD08EB" w:rsidP="00A75281">
      <w:pPr>
        <w:spacing w:after="0" w:line="240" w:lineRule="auto"/>
      </w:pPr>
      <w:r>
        <w:separator/>
      </w:r>
    </w:p>
  </w:endnote>
  <w:endnote w:type="continuationSeparator" w:id="0">
    <w:p w14:paraId="2FE4FE5A" w14:textId="77777777" w:rsidR="00DD08EB" w:rsidRDefault="00DD08EB" w:rsidP="00A7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0F6BF" w14:textId="77777777" w:rsidR="00DD08EB" w:rsidRDefault="00DD08EB" w:rsidP="00A75281">
      <w:pPr>
        <w:spacing w:after="0" w:line="240" w:lineRule="auto"/>
      </w:pPr>
      <w:r>
        <w:separator/>
      </w:r>
    </w:p>
  </w:footnote>
  <w:footnote w:type="continuationSeparator" w:id="0">
    <w:p w14:paraId="3792968F" w14:textId="77777777" w:rsidR="00DD08EB" w:rsidRDefault="00DD08EB" w:rsidP="00A75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061"/>
    <w:multiLevelType w:val="hybridMultilevel"/>
    <w:tmpl w:val="BC2A0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356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5BC"/>
    <w:multiLevelType w:val="hybridMultilevel"/>
    <w:tmpl w:val="21F05BB2"/>
    <w:lvl w:ilvl="0" w:tplc="F072D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DFE"/>
    <w:multiLevelType w:val="hybridMultilevel"/>
    <w:tmpl w:val="0A5CB1AE"/>
    <w:lvl w:ilvl="0" w:tplc="CE4E35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D5551"/>
    <w:multiLevelType w:val="hybridMultilevel"/>
    <w:tmpl w:val="F87C39F6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6ACB"/>
    <w:multiLevelType w:val="hybridMultilevel"/>
    <w:tmpl w:val="7576BF08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E6D7E"/>
    <w:multiLevelType w:val="hybridMultilevel"/>
    <w:tmpl w:val="A2D2F124"/>
    <w:lvl w:ilvl="0" w:tplc="B8EAA2BA">
      <w:start w:val="1"/>
      <w:numFmt w:val="decimal"/>
      <w:lvlText w:val="(%1)"/>
      <w:lvlJc w:val="left"/>
      <w:pPr>
        <w:ind w:left="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2" w:hanging="360"/>
      </w:pPr>
    </w:lvl>
    <w:lvl w:ilvl="2" w:tplc="0409001B" w:tentative="1">
      <w:start w:val="1"/>
      <w:numFmt w:val="lowerRoman"/>
      <w:lvlText w:val="%3."/>
      <w:lvlJc w:val="right"/>
      <w:pPr>
        <w:ind w:left="1462" w:hanging="180"/>
      </w:pPr>
    </w:lvl>
    <w:lvl w:ilvl="3" w:tplc="0409000F" w:tentative="1">
      <w:start w:val="1"/>
      <w:numFmt w:val="decimal"/>
      <w:lvlText w:val="%4."/>
      <w:lvlJc w:val="left"/>
      <w:pPr>
        <w:ind w:left="2182" w:hanging="360"/>
      </w:pPr>
    </w:lvl>
    <w:lvl w:ilvl="4" w:tplc="04090019" w:tentative="1">
      <w:start w:val="1"/>
      <w:numFmt w:val="lowerLetter"/>
      <w:lvlText w:val="%5."/>
      <w:lvlJc w:val="left"/>
      <w:pPr>
        <w:ind w:left="2902" w:hanging="360"/>
      </w:pPr>
    </w:lvl>
    <w:lvl w:ilvl="5" w:tplc="0409001B" w:tentative="1">
      <w:start w:val="1"/>
      <w:numFmt w:val="lowerRoman"/>
      <w:lvlText w:val="%6."/>
      <w:lvlJc w:val="right"/>
      <w:pPr>
        <w:ind w:left="3622" w:hanging="180"/>
      </w:pPr>
    </w:lvl>
    <w:lvl w:ilvl="6" w:tplc="0409000F" w:tentative="1">
      <w:start w:val="1"/>
      <w:numFmt w:val="decimal"/>
      <w:lvlText w:val="%7."/>
      <w:lvlJc w:val="left"/>
      <w:pPr>
        <w:ind w:left="4342" w:hanging="360"/>
      </w:pPr>
    </w:lvl>
    <w:lvl w:ilvl="7" w:tplc="04090019" w:tentative="1">
      <w:start w:val="1"/>
      <w:numFmt w:val="lowerLetter"/>
      <w:lvlText w:val="%8."/>
      <w:lvlJc w:val="left"/>
      <w:pPr>
        <w:ind w:left="5062" w:hanging="360"/>
      </w:pPr>
    </w:lvl>
    <w:lvl w:ilvl="8" w:tplc="04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6" w15:restartNumberingAfterBreak="0">
    <w:nsid w:val="1C145E07"/>
    <w:multiLevelType w:val="hybridMultilevel"/>
    <w:tmpl w:val="27B83BF8"/>
    <w:lvl w:ilvl="0" w:tplc="CE4E3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61BC"/>
    <w:multiLevelType w:val="hybridMultilevel"/>
    <w:tmpl w:val="7BF270F0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477C"/>
    <w:multiLevelType w:val="multilevel"/>
    <w:tmpl w:val="4AD89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45ED5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04784D"/>
    <w:multiLevelType w:val="hybridMultilevel"/>
    <w:tmpl w:val="DAA8D968"/>
    <w:lvl w:ilvl="0" w:tplc="42866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6FC265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F574B9"/>
    <w:multiLevelType w:val="hybridMultilevel"/>
    <w:tmpl w:val="531E3B18"/>
    <w:lvl w:ilvl="0" w:tplc="93466C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77A7C"/>
    <w:multiLevelType w:val="multilevel"/>
    <w:tmpl w:val="70E2F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37164A"/>
    <w:multiLevelType w:val="hybridMultilevel"/>
    <w:tmpl w:val="43A2F86E"/>
    <w:lvl w:ilvl="0" w:tplc="280826D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184E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8F0667"/>
    <w:multiLevelType w:val="hybridMultilevel"/>
    <w:tmpl w:val="B4689B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C946E1"/>
    <w:multiLevelType w:val="hybridMultilevel"/>
    <w:tmpl w:val="9AB4719A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E3BB4"/>
    <w:multiLevelType w:val="hybridMultilevel"/>
    <w:tmpl w:val="2698E41E"/>
    <w:lvl w:ilvl="0" w:tplc="B8EAA2B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60F97"/>
    <w:multiLevelType w:val="hybridMultilevel"/>
    <w:tmpl w:val="7BF270F0"/>
    <w:lvl w:ilvl="0" w:tplc="B8EAA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76EBB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3A1316"/>
    <w:multiLevelType w:val="hybridMultilevel"/>
    <w:tmpl w:val="AAA62D76"/>
    <w:lvl w:ilvl="0" w:tplc="CE4E35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441FD"/>
    <w:multiLevelType w:val="hybridMultilevel"/>
    <w:tmpl w:val="A97685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3649">
    <w:abstractNumId w:val="0"/>
  </w:num>
  <w:num w:numId="2" w16cid:durableId="891886301">
    <w:abstractNumId w:val="6"/>
  </w:num>
  <w:num w:numId="3" w16cid:durableId="1489328242">
    <w:abstractNumId w:val="21"/>
  </w:num>
  <w:num w:numId="4" w16cid:durableId="1449622607">
    <w:abstractNumId w:val="3"/>
  </w:num>
  <w:num w:numId="5" w16cid:durableId="1597979467">
    <w:abstractNumId w:val="20"/>
  </w:num>
  <w:num w:numId="6" w16cid:durableId="2095128975">
    <w:abstractNumId w:val="18"/>
  </w:num>
  <w:num w:numId="7" w16cid:durableId="502624543">
    <w:abstractNumId w:val="2"/>
  </w:num>
  <w:num w:numId="8" w16cid:durableId="77750774">
    <w:abstractNumId w:val="7"/>
  </w:num>
  <w:num w:numId="9" w16cid:durableId="364018059">
    <w:abstractNumId w:val="4"/>
  </w:num>
  <w:num w:numId="10" w16cid:durableId="1560896497">
    <w:abstractNumId w:val="20"/>
    <w:lvlOverride w:ilvl="0">
      <w:lvl w:ilvl="0" w:tplc="CE4E356E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 w16cid:durableId="1234776750">
    <w:abstractNumId w:val="20"/>
    <w:lvlOverride w:ilvl="0">
      <w:lvl w:ilvl="0" w:tplc="CE4E356E">
        <w:start w:val="1"/>
        <w:numFmt w:val="decimal"/>
        <w:suff w:val="nothing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516389588">
    <w:abstractNumId w:val="20"/>
    <w:lvlOverride w:ilvl="0">
      <w:lvl w:ilvl="0" w:tplc="CE4E356E">
        <w:start w:val="1"/>
        <w:numFmt w:val="decimal"/>
        <w:suff w:val="space"/>
        <w:lvlText w:val="(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473521463">
    <w:abstractNumId w:val="8"/>
  </w:num>
  <w:num w:numId="14" w16cid:durableId="10761129">
    <w:abstractNumId w:val="12"/>
    <w:lvlOverride w:ilvl="0">
      <w:lvl w:ilvl="0">
        <w:numFmt w:val="decimal"/>
        <w:lvlText w:val="%1."/>
        <w:lvlJc w:val="left"/>
      </w:lvl>
    </w:lvlOverride>
  </w:num>
  <w:num w:numId="15" w16cid:durableId="552887050">
    <w:abstractNumId w:val="11"/>
  </w:num>
  <w:num w:numId="16" w16cid:durableId="1980108360">
    <w:abstractNumId w:val="1"/>
  </w:num>
  <w:num w:numId="17" w16cid:durableId="136655004">
    <w:abstractNumId w:val="14"/>
  </w:num>
  <w:num w:numId="18" w16cid:durableId="1178423970">
    <w:abstractNumId w:val="17"/>
  </w:num>
  <w:num w:numId="19" w16cid:durableId="58527542">
    <w:abstractNumId w:val="19"/>
  </w:num>
  <w:num w:numId="20" w16cid:durableId="492187757">
    <w:abstractNumId w:val="9"/>
  </w:num>
  <w:num w:numId="21" w16cid:durableId="811874947">
    <w:abstractNumId w:val="5"/>
  </w:num>
  <w:num w:numId="22" w16cid:durableId="831069717">
    <w:abstractNumId w:val="15"/>
  </w:num>
  <w:num w:numId="23" w16cid:durableId="554510328">
    <w:abstractNumId w:val="13"/>
  </w:num>
  <w:num w:numId="24" w16cid:durableId="1184397146">
    <w:abstractNumId w:val="16"/>
  </w:num>
  <w:num w:numId="25" w16cid:durableId="29916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C0"/>
    <w:rsid w:val="00012622"/>
    <w:rsid w:val="00036830"/>
    <w:rsid w:val="00041035"/>
    <w:rsid w:val="0005566D"/>
    <w:rsid w:val="0008434D"/>
    <w:rsid w:val="0010184A"/>
    <w:rsid w:val="00101929"/>
    <w:rsid w:val="00127F0E"/>
    <w:rsid w:val="00134DE9"/>
    <w:rsid w:val="00137080"/>
    <w:rsid w:val="0015465F"/>
    <w:rsid w:val="0017106B"/>
    <w:rsid w:val="00195E8C"/>
    <w:rsid w:val="001B30FD"/>
    <w:rsid w:val="001C2A11"/>
    <w:rsid w:val="001D025D"/>
    <w:rsid w:val="001E5F4D"/>
    <w:rsid w:val="001E78A0"/>
    <w:rsid w:val="0020147F"/>
    <w:rsid w:val="00232726"/>
    <w:rsid w:val="00243742"/>
    <w:rsid w:val="00247FF6"/>
    <w:rsid w:val="00255B85"/>
    <w:rsid w:val="00263CF0"/>
    <w:rsid w:val="00286F08"/>
    <w:rsid w:val="00294993"/>
    <w:rsid w:val="0029672F"/>
    <w:rsid w:val="002A7B21"/>
    <w:rsid w:val="002D0DC0"/>
    <w:rsid w:val="002D664F"/>
    <w:rsid w:val="003212DB"/>
    <w:rsid w:val="00323C05"/>
    <w:rsid w:val="00330C60"/>
    <w:rsid w:val="003409D8"/>
    <w:rsid w:val="0035624F"/>
    <w:rsid w:val="003651FB"/>
    <w:rsid w:val="00370F6B"/>
    <w:rsid w:val="003C3CD3"/>
    <w:rsid w:val="003D0BCE"/>
    <w:rsid w:val="004003B4"/>
    <w:rsid w:val="00407C00"/>
    <w:rsid w:val="00414ED5"/>
    <w:rsid w:val="00424FD9"/>
    <w:rsid w:val="0045727E"/>
    <w:rsid w:val="004603CA"/>
    <w:rsid w:val="00487E00"/>
    <w:rsid w:val="004A353E"/>
    <w:rsid w:val="004A4798"/>
    <w:rsid w:val="004B7AC8"/>
    <w:rsid w:val="004C57F7"/>
    <w:rsid w:val="00511B3D"/>
    <w:rsid w:val="00533B58"/>
    <w:rsid w:val="00542FA0"/>
    <w:rsid w:val="00556480"/>
    <w:rsid w:val="00566780"/>
    <w:rsid w:val="005A415C"/>
    <w:rsid w:val="005B3F5F"/>
    <w:rsid w:val="005C2778"/>
    <w:rsid w:val="005D2775"/>
    <w:rsid w:val="005F69BC"/>
    <w:rsid w:val="00601EC1"/>
    <w:rsid w:val="0062373C"/>
    <w:rsid w:val="00641AFD"/>
    <w:rsid w:val="00652471"/>
    <w:rsid w:val="00662728"/>
    <w:rsid w:val="00681FE9"/>
    <w:rsid w:val="006A497D"/>
    <w:rsid w:val="006A7022"/>
    <w:rsid w:val="006C04DC"/>
    <w:rsid w:val="006D0E56"/>
    <w:rsid w:val="006D2205"/>
    <w:rsid w:val="006D4843"/>
    <w:rsid w:val="006E2682"/>
    <w:rsid w:val="00751D55"/>
    <w:rsid w:val="0075292A"/>
    <w:rsid w:val="00764BEB"/>
    <w:rsid w:val="0078599D"/>
    <w:rsid w:val="007867DB"/>
    <w:rsid w:val="007A02D2"/>
    <w:rsid w:val="007C0D85"/>
    <w:rsid w:val="007D04B1"/>
    <w:rsid w:val="00810713"/>
    <w:rsid w:val="00822D9F"/>
    <w:rsid w:val="008436F8"/>
    <w:rsid w:val="00855501"/>
    <w:rsid w:val="008734F9"/>
    <w:rsid w:val="00885675"/>
    <w:rsid w:val="00895EA3"/>
    <w:rsid w:val="008A54CB"/>
    <w:rsid w:val="008D62D5"/>
    <w:rsid w:val="00913F3A"/>
    <w:rsid w:val="00937DEF"/>
    <w:rsid w:val="00951789"/>
    <w:rsid w:val="009536E8"/>
    <w:rsid w:val="00981C60"/>
    <w:rsid w:val="00987548"/>
    <w:rsid w:val="009907AC"/>
    <w:rsid w:val="009B65A2"/>
    <w:rsid w:val="009C48EF"/>
    <w:rsid w:val="009D0F83"/>
    <w:rsid w:val="00A0700C"/>
    <w:rsid w:val="00A17784"/>
    <w:rsid w:val="00A2048F"/>
    <w:rsid w:val="00A21AAD"/>
    <w:rsid w:val="00A26D03"/>
    <w:rsid w:val="00A608D0"/>
    <w:rsid w:val="00A73122"/>
    <w:rsid w:val="00A75281"/>
    <w:rsid w:val="00A75BF7"/>
    <w:rsid w:val="00A83C35"/>
    <w:rsid w:val="00AA4073"/>
    <w:rsid w:val="00AE715C"/>
    <w:rsid w:val="00B039D3"/>
    <w:rsid w:val="00B10A49"/>
    <w:rsid w:val="00B405BE"/>
    <w:rsid w:val="00B67AC4"/>
    <w:rsid w:val="00BB08E2"/>
    <w:rsid w:val="00BB5DC2"/>
    <w:rsid w:val="00BE2256"/>
    <w:rsid w:val="00C10006"/>
    <w:rsid w:val="00C25268"/>
    <w:rsid w:val="00C34EEE"/>
    <w:rsid w:val="00C46BBA"/>
    <w:rsid w:val="00C47296"/>
    <w:rsid w:val="00C64F04"/>
    <w:rsid w:val="00C85E36"/>
    <w:rsid w:val="00C94F41"/>
    <w:rsid w:val="00CC1DF4"/>
    <w:rsid w:val="00CE7A7F"/>
    <w:rsid w:val="00D04437"/>
    <w:rsid w:val="00D15AF0"/>
    <w:rsid w:val="00D23A19"/>
    <w:rsid w:val="00D32E3A"/>
    <w:rsid w:val="00D379FF"/>
    <w:rsid w:val="00D61E34"/>
    <w:rsid w:val="00DA6B5E"/>
    <w:rsid w:val="00DC0413"/>
    <w:rsid w:val="00DD08EB"/>
    <w:rsid w:val="00DD5A7F"/>
    <w:rsid w:val="00E026D9"/>
    <w:rsid w:val="00E3764F"/>
    <w:rsid w:val="00E41254"/>
    <w:rsid w:val="00E54BF9"/>
    <w:rsid w:val="00E747B3"/>
    <w:rsid w:val="00EB6030"/>
    <w:rsid w:val="00EF78DC"/>
    <w:rsid w:val="00F3176D"/>
    <w:rsid w:val="00F47B6F"/>
    <w:rsid w:val="00F47FBA"/>
    <w:rsid w:val="00F62E7D"/>
    <w:rsid w:val="00F65A59"/>
    <w:rsid w:val="00F81E2E"/>
    <w:rsid w:val="00FA5500"/>
    <w:rsid w:val="00FB2E8E"/>
    <w:rsid w:val="00FB5137"/>
    <w:rsid w:val="00F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6BE9"/>
  <w15:chartTrackingRefBased/>
  <w15:docId w15:val="{67264923-89B7-4935-9D6F-CB2CFF22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6B5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B6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65A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65A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6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65A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B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B65A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913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528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528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5281"/>
    <w:rPr>
      <w:vertAlign w:val="superscript"/>
    </w:rPr>
  </w:style>
  <w:style w:type="paragraph" w:styleId="Revzia">
    <w:name w:val="Revision"/>
    <w:hidden/>
    <w:uiPriority w:val="99"/>
    <w:semiHidden/>
    <w:rsid w:val="005D2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3ED8-1258-475A-BB99-A45974A4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Moravcik</dc:creator>
  <cp:keywords/>
  <dc:description/>
  <cp:lastModifiedBy>Andrej Pitonak</cp:lastModifiedBy>
  <cp:revision>4</cp:revision>
  <dcterms:created xsi:type="dcterms:W3CDTF">2022-07-10T15:55:00Z</dcterms:created>
  <dcterms:modified xsi:type="dcterms:W3CDTF">2022-07-10T17:06:00Z</dcterms:modified>
</cp:coreProperties>
</file>