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3798" w:rsidRPr="00813798" w:rsidP="00813798">
      <w:pPr>
        <w:spacing w:after="0"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3798">
        <w:rPr>
          <w:rFonts w:ascii="Times New Roman" w:hAnsi="Times New Roman"/>
          <w:b/>
          <w:bCs/>
          <w:sz w:val="24"/>
          <w:szCs w:val="24"/>
        </w:rPr>
        <w:t>Dôvodová správa</w:t>
      </w:r>
    </w:p>
    <w:p w:rsidR="00813798" w:rsidRPr="00813798" w:rsidP="00813798">
      <w:pPr>
        <w:spacing w:after="0"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13798" w:rsidRPr="00813798" w:rsidP="00813798">
      <w:pPr>
        <w:spacing w:after="0"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13798" w:rsidRPr="00813798" w:rsidP="00A92F4A">
      <w:pPr>
        <w:spacing w:after="0" w:line="340" w:lineRule="exac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13798">
        <w:rPr>
          <w:rFonts w:ascii="Times New Roman" w:hAnsi="Times New Roman"/>
          <w:b/>
          <w:bCs/>
          <w:sz w:val="24"/>
          <w:szCs w:val="24"/>
          <w:u w:val="single"/>
        </w:rPr>
        <w:t>Všeobecná časť</w:t>
      </w:r>
    </w:p>
    <w:p w:rsidR="00813798" w:rsidRPr="00813798" w:rsidP="00A92F4A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p w:rsidR="00813798" w:rsidRPr="005D108C" w:rsidP="00A92F4A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813798">
        <w:rPr>
          <w:rFonts w:ascii="Times New Roman" w:hAnsi="Times New Roman"/>
          <w:sz w:val="24"/>
          <w:szCs w:val="24"/>
        </w:rPr>
        <w:t>Ústavný súd Slovenskej republiky (ďalej len „ústavný súd“) nálezom č. k. PL. ÚS 42/2015-105 z 12. októbra 2016 (uverejneným v</w:t>
      </w:r>
      <w:r>
        <w:rPr>
          <w:rFonts w:ascii="Times New Roman" w:hAnsi="Times New Roman"/>
          <w:sz w:val="24"/>
          <w:szCs w:val="24"/>
        </w:rPr>
        <w:t> </w:t>
      </w:r>
      <w:r w:rsidRPr="00813798">
        <w:rPr>
          <w:rFonts w:ascii="Times New Roman" w:hAnsi="Times New Roman"/>
          <w:sz w:val="24"/>
          <w:szCs w:val="24"/>
        </w:rPr>
        <w:t>Zbierke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3798">
        <w:rPr>
          <w:rFonts w:ascii="Times New Roman" w:hAnsi="Times New Roman"/>
          <w:sz w:val="24"/>
          <w:szCs w:val="24"/>
        </w:rPr>
        <w:t xml:space="preserve">zákonov Slovenskej republiky pod č. 293/2016 Z. z.) rozhodol, že </w:t>
      </w:r>
      <w:r w:rsidRPr="00813798">
        <w:rPr>
          <w:rFonts w:ascii="Times New Roman" w:hAnsi="Times New Roman"/>
          <w:i/>
          <w:iCs/>
          <w:sz w:val="24"/>
          <w:szCs w:val="24"/>
        </w:rPr>
        <w:t xml:space="preserve">«Ustanovenia § 10 ods. </w:t>
      </w:r>
      <w:r w:rsidRPr="00813798"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13798">
        <w:rPr>
          <w:rFonts w:ascii="Times New Roman" w:hAnsi="Times New Roman"/>
          <w:i/>
          <w:iCs/>
          <w:sz w:val="24"/>
          <w:szCs w:val="24"/>
        </w:rPr>
        <w:t xml:space="preserve">druhá, tretia a štvrtá veta, § 10 ods. </w:t>
      </w:r>
      <w:r w:rsidRPr="005D108C">
        <w:rPr>
          <w:rFonts w:ascii="Times New Roman" w:hAnsi="Times New Roman"/>
          <w:i/>
          <w:iCs/>
          <w:sz w:val="24"/>
          <w:szCs w:val="24"/>
        </w:rPr>
        <w:t>9, § 10 ods. 10 prvá a tretia veta a § 10 ods. 12 prvá, druhá a štvrtá veta zákona č. 657/2004 Z. z. o tepelnej energetike v znení neskorších predpisov v rozsahu, v akom sa v týchto ustanoveniach používa slovo „jednorazová“ v slovnom spojení „primeraná jednorazová náhrada“, nie sú v súlade s čl. 20 ods. 4 Ústavy Slovenskej republiky a s čl. 1 Dodatkového protokolu k Dohovoru o ochrane ľudských práva základných slobôd»</w:t>
      </w:r>
      <w:r w:rsidRPr="005D108C">
        <w:rPr>
          <w:rFonts w:ascii="Times New Roman" w:hAnsi="Times New Roman"/>
          <w:sz w:val="24"/>
          <w:szCs w:val="24"/>
        </w:rPr>
        <w:t xml:space="preserve">, t. j. prijal všeobecne záväzný právny názor k ústavnosti len tej časti napadnutých ustanovení, ktorá sa týkala </w:t>
      </w:r>
      <w:r w:rsidRPr="005D108C">
        <w:rPr>
          <w:rFonts w:ascii="Times New Roman" w:hAnsi="Times New Roman"/>
          <w:i/>
          <w:iCs/>
          <w:sz w:val="24"/>
          <w:szCs w:val="24"/>
        </w:rPr>
        <w:t>„primeranej jednorazovej náhrady“</w:t>
      </w:r>
      <w:r w:rsidRPr="005D108C">
        <w:rPr>
          <w:rFonts w:ascii="Times New Roman" w:hAnsi="Times New Roman"/>
          <w:sz w:val="24"/>
          <w:szCs w:val="24"/>
        </w:rPr>
        <w:t>.</w:t>
      </w:r>
    </w:p>
    <w:p w:rsidR="00813798" w:rsidRPr="005D108C" w:rsidP="00A92F4A">
      <w:pPr>
        <w:spacing w:after="0" w:line="340" w:lineRule="exact"/>
        <w:ind w:firstLine="539"/>
        <w:jc w:val="both"/>
        <w:rPr>
          <w:rFonts w:ascii="TimesNewRomanPSMT" w:hAnsi="TimesNewRomanPSMT" w:cs="TimesNewRomanPSMT"/>
          <w:sz w:val="24"/>
          <w:szCs w:val="24"/>
        </w:rPr>
      </w:pPr>
      <w:r w:rsidRPr="005D108C" w:rsidR="005D108C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5D108C" w:rsidRPr="005D108C" w:rsidP="00A92F4A">
      <w:pPr>
        <w:pStyle w:val="Style2"/>
        <w:widowControl/>
        <w:tabs>
          <w:tab w:val="left" w:pos="998"/>
        </w:tabs>
        <w:spacing w:line="340" w:lineRule="exact"/>
        <w:ind w:firstLine="0"/>
        <w:rPr>
          <w:rStyle w:val="FontStyle11"/>
          <w:sz w:val="24"/>
          <w:szCs w:val="24"/>
        </w:rPr>
      </w:pPr>
      <w:r w:rsidRPr="005D108C">
        <w:rPr>
          <w:rStyle w:val="FontStyle11"/>
          <w:sz w:val="24"/>
          <w:szCs w:val="24"/>
        </w:rPr>
        <w:tab/>
        <w:t xml:space="preserve">Citované </w:t>
      </w:r>
      <w:r>
        <w:rPr>
          <w:rStyle w:val="FontStyle11"/>
          <w:sz w:val="24"/>
          <w:szCs w:val="24"/>
        </w:rPr>
        <w:t>r</w:t>
      </w:r>
      <w:r w:rsidRPr="005D108C">
        <w:rPr>
          <w:rStyle w:val="FontStyle11"/>
          <w:sz w:val="24"/>
          <w:szCs w:val="24"/>
        </w:rPr>
        <w:t xml:space="preserve">ozhodnutie ÚS SR </w:t>
      </w:r>
      <w:r w:rsidR="001D2882">
        <w:rPr>
          <w:rStyle w:val="FontStyle11"/>
          <w:sz w:val="24"/>
          <w:szCs w:val="24"/>
        </w:rPr>
        <w:t xml:space="preserve">sp. zn. </w:t>
      </w:r>
      <w:r w:rsidRPr="005D108C" w:rsidR="00BC425E">
        <w:rPr>
          <w:rStyle w:val="FontStyle11"/>
          <w:sz w:val="24"/>
          <w:szCs w:val="24"/>
        </w:rPr>
        <w:t>PL.</w:t>
      </w:r>
      <w:r w:rsidR="00BC425E">
        <w:rPr>
          <w:rStyle w:val="FontStyle11"/>
          <w:sz w:val="24"/>
          <w:szCs w:val="24"/>
        </w:rPr>
        <w:t xml:space="preserve"> </w:t>
      </w:r>
      <w:r w:rsidRPr="005D108C">
        <w:rPr>
          <w:rStyle w:val="FontStyle11"/>
          <w:sz w:val="24"/>
          <w:szCs w:val="24"/>
        </w:rPr>
        <w:t>ÚS 42/2015 je podľa môjho názoru aplikovateľné</w:t>
      </w:r>
      <w:r>
        <w:rPr>
          <w:rStyle w:val="FontStyle11"/>
          <w:sz w:val="24"/>
          <w:szCs w:val="24"/>
        </w:rPr>
        <w:t xml:space="preserve"> aj na obmedzenie v zmysle § </w:t>
      </w:r>
      <w:r w:rsidR="001D2882">
        <w:rPr>
          <w:rStyle w:val="FontStyle11"/>
          <w:sz w:val="24"/>
          <w:szCs w:val="24"/>
        </w:rPr>
        <w:t>4</w:t>
      </w:r>
      <w:r>
        <w:rPr>
          <w:rStyle w:val="FontStyle11"/>
          <w:sz w:val="24"/>
          <w:szCs w:val="24"/>
        </w:rPr>
        <w:t xml:space="preserve"> ods. </w:t>
      </w:r>
      <w:r w:rsidR="001D2882">
        <w:rPr>
          <w:rStyle w:val="FontStyle11"/>
          <w:sz w:val="24"/>
          <w:szCs w:val="24"/>
        </w:rPr>
        <w:t>1 zákona č. 66/2009</w:t>
      </w:r>
      <w:r>
        <w:rPr>
          <w:rStyle w:val="FontStyle11"/>
          <w:sz w:val="24"/>
          <w:szCs w:val="24"/>
        </w:rPr>
        <w:t xml:space="preserve"> Z. z., keďže t</w:t>
      </w:r>
      <w:r>
        <w:rPr>
          <w:rStyle w:val="FontStyle11"/>
          <w:sz w:val="24"/>
          <w:szCs w:val="24"/>
        </w:rPr>
        <w:t>oto rozhodnutie ú</w:t>
      </w:r>
      <w:r w:rsidRPr="005D108C">
        <w:rPr>
          <w:rStyle w:val="FontStyle11"/>
          <w:sz w:val="24"/>
          <w:szCs w:val="24"/>
        </w:rPr>
        <w:t>stavného súdu meritórne posudzuje otázku náhrady za obmedzenie vlastníckeho práva, vrátane obmedzenia vzniknutého zriadeným vecným bremenom. Nie je právne významné, že výrok rozhodnutia sa t</w:t>
      </w:r>
      <w:r w:rsidR="001D2882">
        <w:rPr>
          <w:rStyle w:val="FontStyle11"/>
          <w:sz w:val="24"/>
          <w:szCs w:val="24"/>
        </w:rPr>
        <w:t>ýka iného zákona ako zákona č. 66/2009</w:t>
      </w:r>
      <w:r w:rsidRPr="005D108C">
        <w:rPr>
          <w:rStyle w:val="FontStyle11"/>
          <w:sz w:val="24"/>
          <w:szCs w:val="24"/>
        </w:rPr>
        <w:t xml:space="preserve"> Z.</w:t>
      </w:r>
      <w:r>
        <w:rPr>
          <w:rStyle w:val="FontStyle11"/>
          <w:sz w:val="24"/>
          <w:szCs w:val="24"/>
        </w:rPr>
        <w:t xml:space="preserve"> </w:t>
      </w:r>
      <w:r w:rsidRPr="005D108C">
        <w:rPr>
          <w:rStyle w:val="FontStyle11"/>
          <w:sz w:val="24"/>
          <w:szCs w:val="24"/>
        </w:rPr>
        <w:t xml:space="preserve">z., odôvodnenie je formulované ako všeobecné a priamo z neho vyplýva, že otázku ústavnosti jednorazovej náhrady na obmedzenie vlastníckeho práva rieši </w:t>
      </w:r>
      <w:r>
        <w:rPr>
          <w:rStyle w:val="FontStyle11"/>
          <w:sz w:val="24"/>
          <w:szCs w:val="24"/>
        </w:rPr>
        <w:t>ústavný súd</w:t>
      </w:r>
      <w:r w:rsidRPr="005D108C">
        <w:rPr>
          <w:rStyle w:val="FontStyle11"/>
          <w:sz w:val="24"/>
          <w:szCs w:val="24"/>
        </w:rPr>
        <w:t xml:space="preserve"> meritórne prvýkrát v uvedenom kon</w:t>
      </w:r>
      <w:r>
        <w:rPr>
          <w:rStyle w:val="FontStyle11"/>
          <w:sz w:val="24"/>
          <w:szCs w:val="24"/>
        </w:rPr>
        <w:t>aní</w:t>
      </w:r>
      <w:r w:rsidRPr="005D108C">
        <w:rPr>
          <w:rStyle w:val="FontStyle11"/>
          <w:sz w:val="24"/>
          <w:szCs w:val="24"/>
        </w:rPr>
        <w:t>. Podľa rozhodnutia právne názory ústavného súdu na meritórne otázky ústavnosti získajú záväznosť pro futuro vtedy, ak sa ústavný súd k nim vyjadrí v merite sporu.</w:t>
      </w:r>
    </w:p>
    <w:p w:rsidR="005D108C" w:rsidRPr="005D108C" w:rsidP="00A92F4A">
      <w:pPr>
        <w:pStyle w:val="Style17"/>
        <w:widowControl/>
        <w:tabs>
          <w:tab w:val="left" w:pos="1085"/>
        </w:tabs>
        <w:spacing w:line="340" w:lineRule="exact"/>
        <w:ind w:firstLine="0"/>
        <w:rPr>
          <w:rStyle w:val="FontStyle23"/>
        </w:rPr>
      </w:pPr>
    </w:p>
    <w:p w:rsidR="005D108C" w:rsidRPr="00B35E9A" w:rsidP="00A92F4A">
      <w:pPr>
        <w:pStyle w:val="Style2"/>
        <w:widowControl/>
        <w:tabs>
          <w:tab w:val="left" w:pos="998"/>
        </w:tabs>
        <w:spacing w:line="340" w:lineRule="exact"/>
        <w:ind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</w:r>
      <w:r w:rsidRPr="005D108C">
        <w:rPr>
          <w:rStyle w:val="FontStyle11"/>
          <w:sz w:val="24"/>
          <w:szCs w:val="24"/>
        </w:rPr>
        <w:t>Z rozhodnutia vyplýva, že na rozdiel od primeranej náhrady, ktorá sa pri vyvlastnení poskytuje spravidla jednorazovo, pri nútenom obmedzení možno uvažovať o pravidelných platbách primeranej náhrady počas trvania núteného obmedzenia. Týka sa to predovšetkým takých obmedzení práv vlastníka, v ktorých prípade možno dôvodne očakávať trvanie obmedzujúceho zásahu po dlhý čas. V danom prípade v</w:t>
      </w:r>
      <w:r>
        <w:rPr>
          <w:rStyle w:val="FontStyle11"/>
          <w:sz w:val="24"/>
          <w:szCs w:val="24"/>
        </w:rPr>
        <w:t>ecné bremeno obmedzu</w:t>
      </w:r>
      <w:r>
        <w:rPr>
          <w:rStyle w:val="FontStyle11"/>
          <w:sz w:val="24"/>
          <w:szCs w:val="24"/>
        </w:rPr>
        <w:t xml:space="preserve">je vlastníkov pozemkov </w:t>
      </w:r>
      <w:r w:rsidRPr="005D108C">
        <w:rPr>
          <w:rStyle w:val="FontStyle11"/>
          <w:sz w:val="24"/>
          <w:szCs w:val="24"/>
        </w:rPr>
        <w:t>od 1.</w:t>
      </w:r>
      <w:r w:rsidR="001D2882">
        <w:rPr>
          <w:rStyle w:val="FontStyle11"/>
          <w:sz w:val="24"/>
          <w:szCs w:val="24"/>
        </w:rPr>
        <w:t>7</w:t>
      </w:r>
      <w:r w:rsidRPr="005D108C">
        <w:rPr>
          <w:rStyle w:val="FontStyle11"/>
          <w:sz w:val="24"/>
          <w:szCs w:val="24"/>
        </w:rPr>
        <w:t>.</w:t>
      </w:r>
      <w:r w:rsidR="001D2882">
        <w:rPr>
          <w:rStyle w:val="FontStyle11"/>
          <w:sz w:val="24"/>
          <w:szCs w:val="24"/>
        </w:rPr>
        <w:t>2009</w:t>
      </w:r>
      <w:r w:rsidRPr="005D108C">
        <w:rPr>
          <w:rStyle w:val="FontStyle11"/>
          <w:sz w:val="24"/>
          <w:szCs w:val="24"/>
        </w:rPr>
        <w:t xml:space="preserve">, teda už cca </w:t>
      </w:r>
      <w:r w:rsidR="001D2882">
        <w:rPr>
          <w:rStyle w:val="FontStyle11"/>
          <w:sz w:val="24"/>
          <w:szCs w:val="24"/>
        </w:rPr>
        <w:t>13</w:t>
      </w:r>
      <w:r w:rsidRPr="005D108C">
        <w:rPr>
          <w:rStyle w:val="FontStyle11"/>
          <w:sz w:val="24"/>
          <w:szCs w:val="24"/>
        </w:rPr>
        <w:t xml:space="preserve"> rokov a bude ho obmedzovať </w:t>
      </w:r>
      <w:r w:rsidR="001D2882">
        <w:rPr>
          <w:rStyle w:val="FontStyle11"/>
          <w:sz w:val="24"/>
          <w:szCs w:val="24"/>
        </w:rPr>
        <w:t xml:space="preserve">až do vykonania pozemkových úprav v príslušnom katastrálnom území, </w:t>
      </w:r>
      <w:r w:rsidRPr="005D108C">
        <w:rPr>
          <w:rStyle w:val="FontStyle11"/>
          <w:sz w:val="24"/>
          <w:szCs w:val="24"/>
        </w:rPr>
        <w:t xml:space="preserve">a teda sa podľa môjho názoru jedná o „dlhý čas“ v zmysle uvedeného rozhodnutia </w:t>
      </w:r>
      <w:r>
        <w:rPr>
          <w:rStyle w:val="FontStyle11"/>
          <w:sz w:val="24"/>
          <w:szCs w:val="24"/>
        </w:rPr>
        <w:t>ústavného súdu</w:t>
      </w:r>
      <w:r w:rsidRPr="005D108C">
        <w:rPr>
          <w:rStyle w:val="FontStyle11"/>
          <w:sz w:val="24"/>
          <w:szCs w:val="24"/>
        </w:rPr>
        <w:t>. Uvedené rozhodnu</w:t>
      </w:r>
      <w:r w:rsidRPr="005D108C">
        <w:rPr>
          <w:rStyle w:val="FontStyle11"/>
          <w:sz w:val="24"/>
          <w:szCs w:val="24"/>
        </w:rPr>
        <w:t xml:space="preserve">tie </w:t>
      </w:r>
      <w:r>
        <w:rPr>
          <w:rStyle w:val="FontStyle11"/>
          <w:sz w:val="24"/>
          <w:szCs w:val="24"/>
        </w:rPr>
        <w:t>ústavného súdu</w:t>
      </w:r>
      <w:r w:rsidRPr="005D108C">
        <w:rPr>
          <w:rStyle w:val="FontStyle11"/>
          <w:sz w:val="24"/>
          <w:szCs w:val="24"/>
        </w:rPr>
        <w:t xml:space="preserve"> podľa môjho názoru je potrebné vykladať tak, že vo všetkých prípadoch dlhodobého </w:t>
      </w:r>
      <w:r w:rsidRPr="00B35E9A">
        <w:rPr>
          <w:rStyle w:val="FontStyle11"/>
          <w:sz w:val="24"/>
          <w:szCs w:val="24"/>
        </w:rPr>
        <w:t>obmedzenia vlastníckeho práva patrí takémuto vlastníkovi opakujúca sa náhrada za obmedzenie vlastníckeho práva.</w:t>
      </w:r>
    </w:p>
    <w:p w:rsidR="005D108C" w:rsidRPr="00B35E9A" w:rsidP="00A92F4A">
      <w:pPr>
        <w:pStyle w:val="Style2"/>
        <w:widowControl/>
        <w:tabs>
          <w:tab w:val="left" w:pos="998"/>
        </w:tabs>
        <w:spacing w:line="340" w:lineRule="exact"/>
        <w:ind w:firstLine="0"/>
        <w:rPr>
          <w:rStyle w:val="FontStyle11"/>
          <w:i/>
          <w:sz w:val="24"/>
          <w:szCs w:val="24"/>
        </w:rPr>
      </w:pPr>
    </w:p>
    <w:p w:rsidR="00B35E9A" w:rsidP="00A92F4A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Ústavný súd ďalej viedol, že </w:t>
      </w:r>
      <w:r w:rsidRPr="00B35E9A">
        <w:rPr>
          <w:rFonts w:ascii="Times New Roman" w:hAnsi="Times New Roman"/>
          <w:sz w:val="24"/>
          <w:szCs w:val="24"/>
        </w:rPr>
        <w:t xml:space="preserve"> súlade s čl. 20 ústavy vykonaný zásah do práva pokojne užívať svoj majetok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E9A">
        <w:rPr>
          <w:rFonts w:ascii="Times New Roman" w:hAnsi="Times New Roman"/>
          <w:sz w:val="24"/>
          <w:szCs w:val="24"/>
        </w:rPr>
        <w:t>musí zachovávať spravodlivú rovnováhu medzi potrebami verejného záujmu na obmedzení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E9A">
        <w:rPr>
          <w:rFonts w:ascii="Times New Roman" w:hAnsi="Times New Roman"/>
          <w:sz w:val="24"/>
          <w:szCs w:val="24"/>
        </w:rPr>
        <w:t>vlastníctva a požiadavkami ochrany základného práva jednotlivca vlastniť majetok a</w:t>
      </w:r>
      <w:r>
        <w:rPr>
          <w:rFonts w:ascii="Times New Roman" w:hAnsi="Times New Roman"/>
          <w:sz w:val="24"/>
          <w:szCs w:val="24"/>
        </w:rPr>
        <w:t> </w:t>
      </w:r>
      <w:r w:rsidRPr="00B35E9A">
        <w:rPr>
          <w:rFonts w:ascii="Times New Roman" w:hAnsi="Times New Roman"/>
          <w:sz w:val="24"/>
          <w:szCs w:val="24"/>
        </w:rPr>
        <w:t>čerpať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E9A">
        <w:rPr>
          <w:rFonts w:ascii="Times New Roman" w:hAnsi="Times New Roman"/>
          <w:sz w:val="24"/>
          <w:szCs w:val="24"/>
        </w:rPr>
        <w:t>z neho majetkový pro</w:t>
      </w:r>
      <w:r w:rsidRPr="00B35E9A">
        <w:rPr>
          <w:rFonts w:ascii="Times New Roman" w:hAnsi="Times New Roman"/>
          <w:sz w:val="24"/>
          <w:szCs w:val="24"/>
        </w:rPr>
        <w:t>spech. Podmienky, za akých sa náhrada poskytuje, majú zásadný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E9A">
        <w:rPr>
          <w:rFonts w:ascii="Times New Roman" w:hAnsi="Times New Roman"/>
          <w:sz w:val="24"/>
          <w:szCs w:val="24"/>
        </w:rPr>
        <w:t>význam pre nastolenie spravodlivej rovnováhy, ktorá sa musí rešpektovať pri určení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E9A">
        <w:rPr>
          <w:rFonts w:ascii="Times New Roman" w:hAnsi="Times New Roman"/>
          <w:sz w:val="24"/>
          <w:szCs w:val="24"/>
        </w:rPr>
        <w:t>obmedzujúceho opatrenia tak, aby vlastník nekládol na obmedzovaného vlastníka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E9A">
        <w:rPr>
          <w:rFonts w:ascii="Times New Roman" w:hAnsi="Times New Roman"/>
          <w:sz w:val="24"/>
          <w:szCs w:val="24"/>
        </w:rPr>
        <w:t xml:space="preserve">neprimeranú záťaž. Obmedzenie vlastníckych práv vlastníka sa musí udiať spôsobom, ktorý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E9A">
        <w:rPr>
          <w:rFonts w:ascii="Times New Roman" w:hAnsi="Times New Roman"/>
          <w:sz w:val="24"/>
          <w:szCs w:val="24"/>
        </w:rPr>
        <w:t>je v rozumnom pomere k povahe a hodnote obmedzujúcich opatrení. Neposkytnutie náhrady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E9A">
        <w:rPr>
          <w:rFonts w:ascii="Times New Roman" w:hAnsi="Times New Roman"/>
          <w:sz w:val="24"/>
          <w:szCs w:val="24"/>
        </w:rPr>
        <w:t>alebo poskytnutie náhrady, ktorá nie je primeraná povahe a rozsahu zásahov do vlastníctva,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E9A">
        <w:rPr>
          <w:rFonts w:ascii="Times New Roman" w:hAnsi="Times New Roman"/>
          <w:sz w:val="24"/>
          <w:szCs w:val="24"/>
        </w:rPr>
        <w:t>je v rozpore s princípm</w:t>
      </w:r>
      <w:r w:rsidRPr="00B35E9A">
        <w:rPr>
          <w:rFonts w:ascii="Times New Roman" w:hAnsi="Times New Roman"/>
          <w:sz w:val="24"/>
          <w:szCs w:val="24"/>
        </w:rPr>
        <w:t>i materiálneho právneho štátu. Pri obmedzovaní práv vlastníka nie 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E9A">
        <w:rPr>
          <w:rFonts w:ascii="Times New Roman" w:hAnsi="Times New Roman"/>
          <w:sz w:val="24"/>
          <w:szCs w:val="24"/>
        </w:rPr>
        <w:t>možné robiť rozdiely podľa povahy verejného záujmu, kvôli ktorému sa právne postavenie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E9A">
        <w:rPr>
          <w:rFonts w:ascii="Times New Roman" w:hAnsi="Times New Roman"/>
          <w:sz w:val="24"/>
          <w:szCs w:val="24"/>
        </w:rPr>
        <w:t>vlastníka obmedzuje. Na určenie výšky náhrady, ktorá je primeraná, je rozhodujúce zistenie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E9A">
        <w:rPr>
          <w:rFonts w:ascii="Times New Roman" w:hAnsi="Times New Roman"/>
          <w:sz w:val="24"/>
          <w:szCs w:val="24"/>
        </w:rPr>
        <w:t>ročného úžitku, ktorý sa viaže k tej časti nehnuteľnosti, v ktorej sa vlastníctvo obmedzuje.</w:t>
      </w:r>
    </w:p>
    <w:p w:rsidR="00B35E9A" w:rsidRPr="00B35E9A" w:rsidP="00A92F4A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Style w:val="FontStyle11"/>
          <w:i/>
          <w:sz w:val="24"/>
          <w:szCs w:val="24"/>
        </w:rPr>
      </w:pPr>
    </w:p>
    <w:p w:rsidR="00813798" w:rsidP="00A92F4A">
      <w:pPr>
        <w:spacing w:after="0" w:line="340" w:lineRule="exact"/>
        <w:ind w:firstLine="539"/>
        <w:jc w:val="both"/>
        <w:rPr>
          <w:rFonts w:ascii="Times New Roman" w:hAnsi="Times New Roman"/>
          <w:sz w:val="24"/>
          <w:szCs w:val="24"/>
        </w:rPr>
      </w:pPr>
      <w:r w:rsidRPr="00B35E9A">
        <w:rPr>
          <w:rFonts w:ascii="Times New Roman" w:hAnsi="Times New Roman"/>
          <w:sz w:val="24"/>
          <w:szCs w:val="24"/>
        </w:rPr>
        <w:t xml:space="preserve">Predkladaný návrh zákona </w:t>
      </w:r>
      <w:r w:rsidRPr="00B35E9A" w:rsidR="005D108C">
        <w:rPr>
          <w:rFonts w:ascii="Times New Roman" w:hAnsi="Times New Roman"/>
          <w:sz w:val="24"/>
          <w:szCs w:val="24"/>
        </w:rPr>
        <w:t>dopĺňa do zákona ustanovenie</w:t>
      </w:r>
      <w:r w:rsidRPr="00B35E9A">
        <w:rPr>
          <w:rFonts w:ascii="Times New Roman" w:hAnsi="Times New Roman"/>
          <w:sz w:val="24"/>
          <w:szCs w:val="24"/>
        </w:rPr>
        <w:t xml:space="preserve">, pri </w:t>
      </w:r>
      <w:r w:rsidR="00473D38">
        <w:rPr>
          <w:rFonts w:ascii="Times New Roman" w:hAnsi="Times New Roman"/>
          <w:sz w:val="24"/>
          <w:szCs w:val="24"/>
        </w:rPr>
        <w:t xml:space="preserve">absencii ktorých dochádza k svojvoľnému výkladu ústavy, ktorý je v rozpore so závermi prijatými ústavným súdom práve v rozhodnutí </w:t>
      </w:r>
      <w:r w:rsidRPr="005D108C" w:rsidR="00473D38">
        <w:rPr>
          <w:rStyle w:val="FontStyle11"/>
          <w:sz w:val="24"/>
          <w:szCs w:val="24"/>
        </w:rPr>
        <w:t xml:space="preserve">ÚS SR </w:t>
      </w:r>
      <w:r w:rsidR="001D2882">
        <w:rPr>
          <w:rStyle w:val="FontStyle11"/>
          <w:sz w:val="24"/>
          <w:szCs w:val="24"/>
        </w:rPr>
        <w:t xml:space="preserve">sp. zn. </w:t>
      </w:r>
      <w:r w:rsidRPr="005D108C" w:rsidR="00473D38">
        <w:rPr>
          <w:rStyle w:val="FontStyle11"/>
          <w:sz w:val="24"/>
          <w:szCs w:val="24"/>
        </w:rPr>
        <w:t>PL. ÚS 42/2015</w:t>
      </w:r>
      <w:r w:rsidR="00473D38">
        <w:rPr>
          <w:rStyle w:val="FontStyle11"/>
          <w:sz w:val="24"/>
          <w:szCs w:val="24"/>
        </w:rPr>
        <w:t xml:space="preserve">. </w:t>
      </w:r>
      <w:r w:rsidRPr="00B35E9A">
        <w:rPr>
          <w:rFonts w:ascii="Times New Roman" w:hAnsi="Times New Roman"/>
          <w:sz w:val="24"/>
          <w:szCs w:val="24"/>
        </w:rPr>
        <w:t xml:space="preserve">Návrh predpokladá </w:t>
      </w:r>
      <w:r w:rsidRPr="00B35E9A" w:rsidR="005D108C">
        <w:rPr>
          <w:rFonts w:ascii="Times New Roman" w:hAnsi="Times New Roman"/>
          <w:sz w:val="24"/>
          <w:szCs w:val="24"/>
        </w:rPr>
        <w:t>jasne a </w:t>
      </w:r>
      <w:r w:rsidR="00B35E9A">
        <w:rPr>
          <w:rFonts w:ascii="Times New Roman" w:hAnsi="Times New Roman"/>
          <w:sz w:val="24"/>
          <w:szCs w:val="24"/>
        </w:rPr>
        <w:t>zrozumiteľné</w:t>
      </w:r>
      <w:r w:rsidRPr="00B35E9A" w:rsidR="005D108C">
        <w:rPr>
          <w:rFonts w:ascii="Times New Roman" w:hAnsi="Times New Roman"/>
          <w:sz w:val="24"/>
          <w:szCs w:val="24"/>
        </w:rPr>
        <w:t xml:space="preserve"> </w:t>
      </w:r>
      <w:r w:rsidR="00B35E9A">
        <w:rPr>
          <w:rFonts w:ascii="Times New Roman" w:hAnsi="Times New Roman"/>
          <w:sz w:val="24"/>
          <w:szCs w:val="24"/>
        </w:rPr>
        <w:t>oprávnenia</w:t>
      </w:r>
      <w:r w:rsidRPr="00B35E9A" w:rsidR="005D108C">
        <w:rPr>
          <w:rFonts w:ascii="Times New Roman" w:hAnsi="Times New Roman"/>
          <w:sz w:val="24"/>
          <w:szCs w:val="24"/>
        </w:rPr>
        <w:t xml:space="preserve"> vlastníkov zastavaných pozemkov na </w:t>
      </w:r>
      <w:r w:rsidRPr="00B35E9A" w:rsidR="00B35E9A">
        <w:rPr>
          <w:rFonts w:ascii="Times New Roman" w:hAnsi="Times New Roman"/>
          <w:sz w:val="24"/>
          <w:szCs w:val="24"/>
        </w:rPr>
        <w:t>formu</w:t>
      </w:r>
      <w:r w:rsidR="00B35E9A">
        <w:rPr>
          <w:rFonts w:ascii="Times New Roman" w:hAnsi="Times New Roman"/>
          <w:sz w:val="24"/>
          <w:szCs w:val="24"/>
        </w:rPr>
        <w:t xml:space="preserve">, </w:t>
      </w:r>
      <w:r w:rsidRPr="00B35E9A" w:rsidR="00B35E9A">
        <w:rPr>
          <w:rFonts w:ascii="Times New Roman" w:hAnsi="Times New Roman"/>
          <w:sz w:val="24"/>
          <w:szCs w:val="24"/>
        </w:rPr>
        <w:t xml:space="preserve">spôsob </w:t>
      </w:r>
      <w:r w:rsidR="00B35E9A">
        <w:rPr>
          <w:rFonts w:ascii="Times New Roman" w:hAnsi="Times New Roman"/>
          <w:sz w:val="24"/>
          <w:szCs w:val="24"/>
        </w:rPr>
        <w:t xml:space="preserve">a dobu náhrady za obmedzenie ich vlastníckych práv, </w:t>
      </w:r>
      <w:r w:rsidRPr="00B35E9A">
        <w:rPr>
          <w:rFonts w:ascii="Times New Roman" w:hAnsi="Times New Roman"/>
          <w:sz w:val="24"/>
          <w:szCs w:val="24"/>
        </w:rPr>
        <w:t xml:space="preserve">ktoré </w:t>
      </w:r>
      <w:r w:rsidR="00B35E9A">
        <w:rPr>
          <w:rFonts w:ascii="Times New Roman" w:hAnsi="Times New Roman"/>
          <w:sz w:val="24"/>
          <w:szCs w:val="24"/>
        </w:rPr>
        <w:t xml:space="preserve">doposiaľ neprimerane znevýhodňovali vlastníkov stavieb </w:t>
      </w:r>
      <w:r w:rsidRPr="00B35E9A">
        <w:rPr>
          <w:rFonts w:ascii="Times New Roman" w:hAnsi="Times New Roman"/>
          <w:sz w:val="24"/>
          <w:szCs w:val="24"/>
        </w:rPr>
        <w:t xml:space="preserve">v uplatňovaní práv </w:t>
      </w:r>
      <w:r w:rsidR="00473D38">
        <w:rPr>
          <w:rFonts w:ascii="Times New Roman" w:hAnsi="Times New Roman"/>
          <w:sz w:val="24"/>
          <w:szCs w:val="24"/>
        </w:rPr>
        <w:t xml:space="preserve">vlastníkov pozemkov </w:t>
      </w:r>
      <w:r w:rsidRPr="00B35E9A">
        <w:rPr>
          <w:rFonts w:ascii="Times New Roman" w:hAnsi="Times New Roman"/>
          <w:sz w:val="24"/>
          <w:szCs w:val="24"/>
        </w:rPr>
        <w:t>v porovnaní s</w:t>
      </w:r>
      <w:r w:rsidR="001D2882">
        <w:rPr>
          <w:rFonts w:ascii="Times New Roman" w:hAnsi="Times New Roman"/>
          <w:sz w:val="24"/>
          <w:szCs w:val="24"/>
        </w:rPr>
        <w:t>o</w:t>
      </w:r>
      <w:r w:rsidRPr="00B35E9A">
        <w:rPr>
          <w:rFonts w:ascii="Times New Roman" w:hAnsi="Times New Roman"/>
          <w:sz w:val="24"/>
          <w:szCs w:val="24"/>
        </w:rPr>
        <w:t> všeobe</w:t>
      </w:r>
      <w:r w:rsidR="00B35E9A">
        <w:rPr>
          <w:rFonts w:ascii="Times New Roman" w:hAnsi="Times New Roman"/>
          <w:sz w:val="24"/>
          <w:szCs w:val="24"/>
        </w:rPr>
        <w:t xml:space="preserve">cnou právnou úpravou.  </w:t>
      </w:r>
    </w:p>
    <w:p w:rsidR="007774D8" w:rsidP="00A92F4A">
      <w:pPr>
        <w:spacing w:after="0" w:line="340" w:lineRule="exact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7774D8" w:rsidRPr="00820DF1" w:rsidP="007774D8">
      <w:pPr>
        <w:jc w:val="both"/>
        <w:rPr>
          <w:rFonts w:ascii="Times New Roman" w:hAnsi="Times New Roman"/>
          <w:sz w:val="24"/>
          <w:szCs w:val="24"/>
        </w:rPr>
      </w:pPr>
      <w:r w:rsidRPr="00820DF1">
        <w:rPr>
          <w:rFonts w:ascii="Times New Roman" w:hAnsi="Times New Roman"/>
          <w:sz w:val="24"/>
          <w:szCs w:val="24"/>
        </w:rPr>
        <w:t xml:space="preserve">V súčasnosti je prax taká, že za obmedzenie vlastníckych práv, napr. pri modernizácií železníc, vlastníkom pôdy bola poskytovaná jednorazová náhrada za obmedzenie práva užívať,  určená znaleckým posudkom z pred 4 resp. 5 rokov , t.j. spoločnosti konajúce za štátne orgány , ktoré majú na starosti vyporiadanie pozemkov pod stavbu,  dajú vyhotoviť znalecký posudok na určenie výšky ceny obmedzenia na začiatku realizácie vyporiadacieho konania napr. v roku 2016 , a tento znalecký posudok, používajú aj pri poskytovaní náhrady za obmedzenie aj v roku 2022. </w:t>
      </w:r>
    </w:p>
    <w:p w:rsidR="007774D8" w:rsidRPr="00820DF1" w:rsidP="007774D8">
      <w:pPr>
        <w:jc w:val="both"/>
        <w:rPr>
          <w:rFonts w:ascii="Times New Roman" w:hAnsi="Times New Roman"/>
          <w:sz w:val="24"/>
          <w:szCs w:val="24"/>
        </w:rPr>
      </w:pPr>
      <w:r w:rsidRPr="00820DF1">
        <w:rPr>
          <w:rFonts w:ascii="Times New Roman" w:hAnsi="Times New Roman"/>
          <w:sz w:val="24"/>
          <w:szCs w:val="24"/>
        </w:rPr>
        <w:t xml:space="preserve">Obmedzenie vlastníka, môže trvať aj niekoľko rokov, preto ak vlastník má strpieť toto obdobie výstavby a vyporiadania pozemkov pod stavbami , je spravodlivé a správne aby dostal za toto obmedzenie primeranú náhradu, ktorá náhrada bude v adekvátnej výške ,daného roka. </w:t>
      </w:r>
    </w:p>
    <w:p w:rsidR="00813798" w:rsidRPr="00813798" w:rsidP="00A92F4A">
      <w:pPr>
        <w:spacing w:after="0" w:line="340" w:lineRule="exact"/>
        <w:ind w:firstLine="539"/>
        <w:jc w:val="both"/>
        <w:rPr>
          <w:rFonts w:ascii="Times New Roman" w:hAnsi="Times New Roman"/>
          <w:sz w:val="24"/>
          <w:szCs w:val="24"/>
        </w:rPr>
      </w:pPr>
      <w:r w:rsidRPr="00B35E9A">
        <w:rPr>
          <w:rFonts w:ascii="Times New Roman" w:hAnsi="Times New Roman"/>
          <w:sz w:val="24"/>
          <w:szCs w:val="24"/>
        </w:rPr>
        <w:t>Návrh zákona bude mať</w:t>
      </w:r>
      <w:r w:rsidRPr="00813798">
        <w:rPr>
          <w:rFonts w:ascii="Times New Roman" w:hAnsi="Times New Roman"/>
          <w:sz w:val="24"/>
          <w:szCs w:val="24"/>
        </w:rPr>
        <w:t xml:space="preserve"> negatívny dopad na verejné rozpočty vzhľadom na potrebu poskytnutia kompenzácie tým vlastníkov pozemkov, ktorých vlastnícke a iné práva boli obmedzené doterajšou právnou úpravou v rozpore s</w:t>
      </w:r>
      <w:r w:rsidR="00473D38">
        <w:rPr>
          <w:rFonts w:ascii="Times New Roman" w:hAnsi="Times New Roman"/>
          <w:sz w:val="24"/>
          <w:szCs w:val="24"/>
        </w:rPr>
        <w:t xml:space="preserve"> ústavou. </w:t>
      </w:r>
      <w:r w:rsidRPr="00813798">
        <w:rPr>
          <w:rFonts w:ascii="Times New Roman" w:hAnsi="Times New Roman"/>
          <w:sz w:val="24"/>
          <w:szCs w:val="24"/>
        </w:rPr>
        <w:t xml:space="preserve">Návrh zákona neprináša nárok na pracovné sily a nemá vplyv na zamestnanosť a tvorbu pracovných miest, na životné prostredie, ani na podnikateľské prostredie. </w:t>
      </w:r>
    </w:p>
    <w:p w:rsidR="00813798" w:rsidRPr="00813798" w:rsidP="00A92F4A">
      <w:pPr>
        <w:pStyle w:val="BodyText2"/>
        <w:spacing w:line="340" w:lineRule="exact"/>
        <w:ind w:firstLine="539"/>
        <w:jc w:val="both"/>
        <w:rPr>
          <w:rFonts w:eastAsia="MS Mincho"/>
        </w:rPr>
      </w:pPr>
    </w:p>
    <w:p w:rsidR="00813798" w:rsidRPr="00813798" w:rsidP="00A92F4A">
      <w:pPr>
        <w:pStyle w:val="BodyText2"/>
        <w:spacing w:line="340" w:lineRule="exact"/>
        <w:ind w:firstLine="539"/>
        <w:jc w:val="both"/>
        <w:rPr>
          <w:rFonts w:eastAsia="MS Mincho"/>
        </w:rPr>
      </w:pPr>
      <w:r w:rsidRPr="00813798">
        <w:rPr>
          <w:rFonts w:eastAsia="MS Mincho"/>
        </w:rPr>
        <w:tab/>
        <w:t xml:space="preserve">Návrh zákona je v  súlade s  Ústavou Slovenskej republiky, jej zákonmi a medzinárodnými zmluvami, ktorými je Slovenská republika viazaná. </w:t>
      </w:r>
    </w:p>
    <w:p w:rsidR="00813798" w:rsidRPr="00813798" w:rsidP="00A92F4A">
      <w:pPr>
        <w:spacing w:after="0" w:line="340" w:lineRule="exac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13798" w:rsidRPr="00813798" w:rsidP="00A92F4A">
      <w:pPr>
        <w:spacing w:after="0" w:line="340" w:lineRule="exact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13798">
        <w:rPr>
          <w:rFonts w:ascii="Times New Roman" w:hAnsi="Times New Roman"/>
          <w:sz w:val="24"/>
          <w:szCs w:val="24"/>
          <w:highlight w:val="yellow"/>
        </w:rPr>
        <w:br w:type="page"/>
      </w:r>
    </w:p>
    <w:p w:rsidR="00813798" w:rsidRPr="00813798" w:rsidP="00A92F4A">
      <w:pPr>
        <w:spacing w:after="0" w:line="340" w:lineRule="exac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13798">
        <w:rPr>
          <w:rFonts w:ascii="Times New Roman" w:hAnsi="Times New Roman"/>
          <w:b/>
          <w:bCs/>
          <w:sz w:val="24"/>
          <w:szCs w:val="24"/>
          <w:u w:val="single"/>
        </w:rPr>
        <w:t>Osobitná časť</w:t>
      </w:r>
    </w:p>
    <w:p w:rsidR="00813798" w:rsidRPr="00813798" w:rsidP="00A92F4A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p w:rsidR="00813798" w:rsidRPr="00813798" w:rsidP="00A92F4A">
      <w:pPr>
        <w:spacing w:after="0" w:line="340" w:lineRule="exact"/>
        <w:jc w:val="both"/>
        <w:rPr>
          <w:rFonts w:ascii="Times New Roman" w:hAnsi="Times New Roman"/>
          <w:sz w:val="24"/>
          <w:szCs w:val="24"/>
          <w:u w:val="single"/>
        </w:rPr>
      </w:pPr>
      <w:r w:rsidRPr="00813798">
        <w:rPr>
          <w:rFonts w:ascii="Times New Roman" w:hAnsi="Times New Roman"/>
          <w:sz w:val="24"/>
          <w:szCs w:val="24"/>
          <w:u w:val="single"/>
        </w:rPr>
        <w:t xml:space="preserve">K čl. </w:t>
      </w:r>
      <w:r w:rsidR="00473D38">
        <w:rPr>
          <w:rFonts w:ascii="Times New Roman" w:hAnsi="Times New Roman"/>
          <w:sz w:val="24"/>
          <w:szCs w:val="24"/>
          <w:u w:val="single"/>
        </w:rPr>
        <w:t>I</w:t>
      </w:r>
    </w:p>
    <w:p w:rsidR="00813798" w:rsidRPr="00813798" w:rsidP="00A92F4A">
      <w:pPr>
        <w:spacing w:after="0" w:line="340" w:lineRule="exact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473D38" w:rsidRPr="00B35E9A" w:rsidP="00A92F4A">
      <w:pPr>
        <w:spacing w:after="0" w:line="340" w:lineRule="exact"/>
        <w:ind w:firstLine="539"/>
        <w:jc w:val="both"/>
        <w:rPr>
          <w:rFonts w:ascii="Times New Roman" w:hAnsi="Times New Roman"/>
          <w:sz w:val="24"/>
          <w:szCs w:val="24"/>
        </w:rPr>
      </w:pPr>
      <w:r w:rsidRPr="00813798" w:rsidR="00813798">
        <w:rPr>
          <w:rFonts w:ascii="Times New Roman" w:hAnsi="Times New Roman"/>
          <w:sz w:val="24"/>
          <w:szCs w:val="24"/>
        </w:rPr>
        <w:t xml:space="preserve">Navrhuje sa </w:t>
      </w:r>
      <w:r>
        <w:rPr>
          <w:rFonts w:ascii="Times New Roman" w:hAnsi="Times New Roman"/>
          <w:sz w:val="24"/>
          <w:szCs w:val="24"/>
        </w:rPr>
        <w:t xml:space="preserve">doplniť ustanovenie, podľa ktorého sa určuje forma, </w:t>
      </w:r>
      <w:r w:rsidRPr="00B35E9A">
        <w:rPr>
          <w:rFonts w:ascii="Times New Roman" w:hAnsi="Times New Roman"/>
          <w:sz w:val="24"/>
          <w:szCs w:val="24"/>
        </w:rPr>
        <w:t xml:space="preserve">spôsob </w:t>
      </w:r>
      <w:r>
        <w:rPr>
          <w:rFonts w:ascii="Times New Roman" w:hAnsi="Times New Roman"/>
          <w:sz w:val="24"/>
          <w:szCs w:val="24"/>
        </w:rPr>
        <w:t>a</w:t>
      </w:r>
      <w:r w:rsidR="00A92F4A">
        <w:rPr>
          <w:rFonts w:ascii="Times New Roman" w:hAnsi="Times New Roman"/>
          <w:sz w:val="24"/>
          <w:szCs w:val="24"/>
        </w:rPr>
        <w:t xml:space="preserve"> obdobie </w:t>
      </w:r>
      <w:r>
        <w:rPr>
          <w:rFonts w:ascii="Times New Roman" w:hAnsi="Times New Roman"/>
          <w:sz w:val="24"/>
          <w:szCs w:val="24"/>
        </w:rPr>
        <w:t>náhrady za obmedzenie vlastníckych práv</w:t>
      </w:r>
      <w:r w:rsidR="00A92F4A">
        <w:rPr>
          <w:rFonts w:ascii="Times New Roman" w:hAnsi="Times New Roman"/>
          <w:sz w:val="24"/>
          <w:szCs w:val="24"/>
        </w:rPr>
        <w:t xml:space="preserve"> dotknutých vlastníkov pozemkov</w:t>
      </w:r>
      <w:r>
        <w:rPr>
          <w:rFonts w:ascii="Times New Roman" w:hAnsi="Times New Roman"/>
          <w:sz w:val="24"/>
          <w:szCs w:val="24"/>
        </w:rPr>
        <w:t xml:space="preserve">, </w:t>
      </w:r>
      <w:r w:rsidR="00A92F4A">
        <w:rPr>
          <w:rFonts w:ascii="Times New Roman" w:hAnsi="Times New Roman"/>
          <w:sz w:val="24"/>
          <w:szCs w:val="24"/>
        </w:rPr>
        <w:t>keďže doterajšie nejasné znenie, tým že jasne neurčovalo spôsob poskytnutia náhrady za nútené obmedzenie bolo vykladané tak, že neprimerane z</w:t>
      </w:r>
      <w:r>
        <w:rPr>
          <w:rFonts w:ascii="Times New Roman" w:hAnsi="Times New Roman"/>
          <w:sz w:val="24"/>
          <w:szCs w:val="24"/>
        </w:rPr>
        <w:t>výhodňoval</w:t>
      </w:r>
      <w:r w:rsidR="00A92F4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vlastníkov stavieb </w:t>
      </w:r>
      <w:r w:rsidR="00A92F4A">
        <w:rPr>
          <w:rFonts w:ascii="Times New Roman" w:hAnsi="Times New Roman"/>
          <w:sz w:val="24"/>
          <w:szCs w:val="24"/>
        </w:rPr>
        <w:t xml:space="preserve">pri </w:t>
      </w:r>
      <w:r w:rsidRPr="00B35E9A">
        <w:rPr>
          <w:rFonts w:ascii="Times New Roman" w:hAnsi="Times New Roman"/>
          <w:sz w:val="24"/>
          <w:szCs w:val="24"/>
        </w:rPr>
        <w:t xml:space="preserve">uplatňovaní práv </w:t>
      </w:r>
      <w:r>
        <w:rPr>
          <w:rFonts w:ascii="Times New Roman" w:hAnsi="Times New Roman"/>
          <w:sz w:val="24"/>
          <w:szCs w:val="24"/>
        </w:rPr>
        <w:t>vlastníkov pozemkov</w:t>
      </w:r>
      <w:r w:rsidR="00A92F4A">
        <w:rPr>
          <w:rFonts w:ascii="Times New Roman" w:hAnsi="Times New Roman"/>
          <w:sz w:val="24"/>
          <w:szCs w:val="24"/>
        </w:rPr>
        <w:t xml:space="preserve">, ktorým tak ostalo len „holé vlastníctvo“ a za ich obmedzenie im nebola poskytovaná žiadna náhrada.  </w:t>
      </w:r>
    </w:p>
    <w:p w:rsidR="00473D38" w:rsidP="00A92F4A">
      <w:pPr>
        <w:spacing w:after="0" w:line="3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798" w:rsidRPr="00813798" w:rsidP="00A92F4A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p w:rsidR="00813798" w:rsidRPr="00813798" w:rsidP="00A92F4A">
      <w:pPr>
        <w:spacing w:after="0" w:line="340" w:lineRule="exact"/>
        <w:jc w:val="both"/>
        <w:rPr>
          <w:rFonts w:ascii="Times New Roman" w:hAnsi="Times New Roman"/>
          <w:sz w:val="24"/>
          <w:szCs w:val="24"/>
          <w:u w:val="single"/>
        </w:rPr>
      </w:pPr>
      <w:r w:rsidRPr="00813798">
        <w:rPr>
          <w:rFonts w:ascii="Times New Roman" w:hAnsi="Times New Roman"/>
          <w:sz w:val="24"/>
          <w:szCs w:val="24"/>
          <w:u w:val="single"/>
        </w:rPr>
        <w:t>K čl. II</w:t>
      </w:r>
    </w:p>
    <w:p w:rsidR="00813798" w:rsidRPr="00813798" w:rsidP="00A92F4A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p w:rsidR="00813798" w:rsidRPr="00813798" w:rsidP="00A92F4A">
      <w:pPr>
        <w:spacing w:after="0" w:line="34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813798">
        <w:rPr>
          <w:rFonts w:ascii="Times New Roman" w:hAnsi="Times New Roman"/>
          <w:sz w:val="24"/>
          <w:szCs w:val="24"/>
        </w:rPr>
        <w:t xml:space="preserve">Navrhuje sa stanoviť účinnosť zákona dňom zverejnenia v Zbierke zákonov Slovenskej republiky. </w:t>
      </w:r>
    </w:p>
    <w:p w:rsidR="00813798" w:rsidRPr="00813798" w:rsidP="00A92F4A">
      <w:pPr>
        <w:spacing w:after="0" w:line="3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798" w:rsidRPr="00813798" w:rsidP="00A92F4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Sect="005D207D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A58CA"/>
    <w:multiLevelType w:val="hybridMultilevel"/>
    <w:tmpl w:val="C61EFF7C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F05"/>
    <w:rsid w:val="00141F05"/>
    <w:rsid w:val="001D2882"/>
    <w:rsid w:val="00373250"/>
    <w:rsid w:val="00473D38"/>
    <w:rsid w:val="004E05AF"/>
    <w:rsid w:val="005B14F4"/>
    <w:rsid w:val="005D108C"/>
    <w:rsid w:val="005D207D"/>
    <w:rsid w:val="006056BC"/>
    <w:rsid w:val="00625FB9"/>
    <w:rsid w:val="007774D8"/>
    <w:rsid w:val="00813798"/>
    <w:rsid w:val="00820DF1"/>
    <w:rsid w:val="00944075"/>
    <w:rsid w:val="00A92F4A"/>
    <w:rsid w:val="00B11023"/>
    <w:rsid w:val="00B35E9A"/>
    <w:rsid w:val="00BC425E"/>
    <w:rsid w:val="00C95CB6"/>
    <w:rsid w:val="00D2548A"/>
    <w:rsid w:val="00DA077E"/>
    <w:rsid w:val="00DD1ED1"/>
    <w:rsid w:val="00E5431D"/>
    <w:rsid w:val="00E80966"/>
    <w:rsid w:val="00FB05F2"/>
    <w:rsid w:val="00FB32F7"/>
    <w:rsid w:val="00FD0C1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FB32F7"/>
    <w:pPr>
      <w:spacing w:after="200" w:line="276" w:lineRule="auto"/>
    </w:pPr>
    <w:rPr>
      <w:sz w:val="22"/>
      <w:szCs w:val="22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5AF"/>
    <w:pPr>
      <w:ind w:left="720"/>
      <w:contextualSpacing/>
    </w:pPr>
  </w:style>
  <w:style w:type="paragraph" w:styleId="BodyText2">
    <w:name w:val="Body Text 2"/>
    <w:basedOn w:val="Normal"/>
    <w:link w:val="Zkladntext2Char"/>
    <w:uiPriority w:val="99"/>
    <w:rsid w:val="00813798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ý text 2 Char"/>
    <w:link w:val="BodyText2"/>
    <w:uiPriority w:val="99"/>
    <w:rsid w:val="00813798"/>
    <w:rPr>
      <w:rFonts w:ascii="Times New Roman" w:hAnsi="Times New Roman"/>
      <w:sz w:val="24"/>
      <w:szCs w:val="24"/>
      <w:lang w:eastAsia="cs-CZ"/>
    </w:rPr>
  </w:style>
  <w:style w:type="character" w:customStyle="1" w:styleId="FontStyle23">
    <w:name w:val="Font Style23"/>
    <w:uiPriority w:val="99"/>
    <w:rsid w:val="005D108C"/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Normal"/>
    <w:uiPriority w:val="99"/>
    <w:rsid w:val="005D108C"/>
    <w:pPr>
      <w:widowControl w:val="0"/>
      <w:autoSpaceDE w:val="0"/>
      <w:autoSpaceDN w:val="0"/>
      <w:adjustRightInd w:val="0"/>
      <w:spacing w:after="0" w:line="276" w:lineRule="exact"/>
      <w:ind w:firstLine="725"/>
      <w:jc w:val="both"/>
    </w:pPr>
    <w:rPr>
      <w:rFonts w:ascii="Georgia" w:hAnsi="Georgia"/>
      <w:sz w:val="24"/>
      <w:szCs w:val="24"/>
    </w:rPr>
  </w:style>
  <w:style w:type="character" w:customStyle="1" w:styleId="FontStyle11">
    <w:name w:val="Font Style11"/>
    <w:uiPriority w:val="99"/>
    <w:rsid w:val="005D108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5D108C"/>
    <w:pPr>
      <w:widowControl w:val="0"/>
      <w:autoSpaceDE w:val="0"/>
      <w:autoSpaceDN w:val="0"/>
      <w:adjustRightInd w:val="0"/>
      <w:spacing w:after="0" w:line="278" w:lineRule="exact"/>
      <w:ind w:firstLine="734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Moravčík</dc:creator>
  <cp:lastModifiedBy>Taraba, Tomáš (asistent)</cp:lastModifiedBy>
  <cp:revision>8</cp:revision>
  <cp:lastPrinted>2022-04-21T21:33:00Z</cp:lastPrinted>
  <dcterms:created xsi:type="dcterms:W3CDTF">2022-03-01T21:06:00Z</dcterms:created>
  <dcterms:modified xsi:type="dcterms:W3CDTF">2022-06-30T07:56:00Z</dcterms:modified>
</cp:coreProperties>
</file>