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5D" w:rsidRDefault="005B1A5D" w:rsidP="005B1A5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5B1A5D" w:rsidRDefault="005B1A5D" w:rsidP="005B1A5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5B1A5D" w:rsidRDefault="005B1A5D" w:rsidP="005B1A5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5B1A5D" w:rsidRDefault="005B1A5D" w:rsidP="005B1A5D">
      <w:pPr>
        <w:rPr>
          <w:b/>
          <w:bCs/>
          <w:i/>
          <w:szCs w:val="24"/>
        </w:rPr>
      </w:pPr>
    </w:p>
    <w:p w:rsidR="005B1A5D" w:rsidRPr="00B9454D" w:rsidRDefault="005B1A5D" w:rsidP="005B1A5D">
      <w:pPr>
        <w:rPr>
          <w:b/>
          <w:bCs/>
          <w:i/>
          <w:szCs w:val="24"/>
        </w:rPr>
      </w:pPr>
    </w:p>
    <w:p w:rsidR="005B1A5D" w:rsidRDefault="005B1A5D" w:rsidP="005B1A5D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54. schôdza výboru                                                                                                     </w:t>
      </w:r>
    </w:p>
    <w:p w:rsidR="005B1A5D" w:rsidRPr="0031756F" w:rsidRDefault="005B1A5D" w:rsidP="005B1A5D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CRD-508/2022</w:t>
      </w:r>
    </w:p>
    <w:p w:rsidR="005B1A5D" w:rsidRDefault="005B1A5D" w:rsidP="005B1A5D">
      <w:pPr>
        <w:rPr>
          <w:b/>
          <w:szCs w:val="24"/>
        </w:rPr>
      </w:pPr>
    </w:p>
    <w:p w:rsidR="00AD06C5" w:rsidRDefault="00AD06C5" w:rsidP="005B1A5D">
      <w:pPr>
        <w:rPr>
          <w:b/>
          <w:szCs w:val="24"/>
        </w:rPr>
      </w:pPr>
    </w:p>
    <w:p w:rsidR="00AD06C5" w:rsidRDefault="00AD06C5" w:rsidP="005B1A5D">
      <w:pPr>
        <w:rPr>
          <w:b/>
          <w:szCs w:val="24"/>
        </w:rPr>
      </w:pPr>
    </w:p>
    <w:p w:rsidR="005B1A5D" w:rsidRDefault="005B1A5D" w:rsidP="005B1A5D">
      <w:pPr>
        <w:rPr>
          <w:b/>
          <w:szCs w:val="24"/>
        </w:rPr>
      </w:pPr>
    </w:p>
    <w:p w:rsidR="005B1A5D" w:rsidRDefault="00842B37" w:rsidP="005B1A5D">
      <w:pPr>
        <w:jc w:val="center"/>
        <w:rPr>
          <w:b/>
          <w:szCs w:val="24"/>
        </w:rPr>
      </w:pPr>
      <w:r>
        <w:rPr>
          <w:b/>
          <w:szCs w:val="24"/>
        </w:rPr>
        <w:t>160</w:t>
      </w:r>
    </w:p>
    <w:p w:rsidR="005B1A5D" w:rsidRDefault="005B1A5D" w:rsidP="005B1A5D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5B1A5D" w:rsidRDefault="005B1A5D" w:rsidP="005B1A5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5B1A5D" w:rsidRDefault="005B1A5D" w:rsidP="005B1A5D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5B1A5D" w:rsidRDefault="005B1A5D" w:rsidP="005B1A5D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 w:rsidR="00842B37">
        <w:rPr>
          <w:b/>
          <w:szCs w:val="24"/>
        </w:rPr>
        <w:t>o 16. júna</w:t>
      </w:r>
      <w:r>
        <w:rPr>
          <w:b/>
          <w:szCs w:val="24"/>
        </w:rPr>
        <w:t xml:space="preserve"> 2022</w:t>
      </w:r>
    </w:p>
    <w:p w:rsidR="005B1A5D" w:rsidRDefault="005B1A5D" w:rsidP="005B1A5D">
      <w:pPr>
        <w:jc w:val="center"/>
        <w:rPr>
          <w:b/>
          <w:szCs w:val="24"/>
        </w:rPr>
      </w:pPr>
    </w:p>
    <w:p w:rsidR="005B1A5D" w:rsidRDefault="005B1A5D" w:rsidP="005B1A5D">
      <w:pPr>
        <w:jc w:val="both"/>
        <w:rPr>
          <w:szCs w:val="24"/>
        </w:rPr>
      </w:pPr>
      <w:r>
        <w:rPr>
          <w:szCs w:val="24"/>
        </w:rPr>
        <w:t>k n</w:t>
      </w:r>
      <w:r w:rsidRPr="00F77EC1">
        <w:rPr>
          <w:szCs w:val="24"/>
        </w:rPr>
        <w:t>ávrh</w:t>
      </w:r>
      <w:r>
        <w:rPr>
          <w:szCs w:val="24"/>
        </w:rPr>
        <w:t>u</w:t>
      </w:r>
      <w:r w:rsidRPr="00F77EC1">
        <w:rPr>
          <w:szCs w:val="24"/>
        </w:rPr>
        <w:t xml:space="preserve"> </w:t>
      </w:r>
      <w:r w:rsidRPr="00983840">
        <w:rPr>
          <w:szCs w:val="24"/>
        </w:rPr>
        <w:t>poslanca Národnej rady Slovenskej republiky Martina FECKA na vydanie zákona, ktorým sa mení a dopĺňa zákon Slovenskej národnej rady č 369/1990 Zb. o obecnom zriadení v znení neskorších predpisov (tlač 927)</w:t>
      </w:r>
      <w:r w:rsidR="00842B37">
        <w:rPr>
          <w:szCs w:val="24"/>
        </w:rPr>
        <w:t xml:space="preserve"> – prerušené rokovanie</w:t>
      </w:r>
    </w:p>
    <w:p w:rsidR="005B1A5D" w:rsidRDefault="005B1A5D" w:rsidP="005B1A5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842B37" w:rsidRDefault="00842B37" w:rsidP="00842B37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842B37" w:rsidRDefault="00842B37" w:rsidP="00842B37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842B37" w:rsidRDefault="00842B37" w:rsidP="00842B37">
      <w:pPr>
        <w:jc w:val="both"/>
        <w:rPr>
          <w:szCs w:val="24"/>
        </w:rPr>
      </w:pPr>
    </w:p>
    <w:p w:rsidR="00842B37" w:rsidRDefault="00842B37" w:rsidP="00842B3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842B37" w:rsidRDefault="00842B37" w:rsidP="00842B37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Pr="00983840">
        <w:rPr>
          <w:szCs w:val="24"/>
        </w:rPr>
        <w:t>poslanca Národnej rady Slovenskej republiky Martina FECKA na vydanie zákona, ktorým sa mení a dopĺňa zákon Slovenskej národnej rady č 369/1990 Zb. o obecnom zriadení v znení neskorších predpisov (tlač 927)</w:t>
      </w:r>
    </w:p>
    <w:p w:rsidR="00842B37" w:rsidRDefault="00842B37" w:rsidP="00842B37">
      <w:pPr>
        <w:pStyle w:val="Zkladntext2"/>
        <w:spacing w:after="0" w:line="240" w:lineRule="auto"/>
        <w:jc w:val="both"/>
      </w:pPr>
    </w:p>
    <w:p w:rsidR="00842B37" w:rsidRDefault="00842B37" w:rsidP="00842B3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842B37" w:rsidRDefault="00842B37" w:rsidP="00842B3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8324DC" w:rsidRPr="00CF3408" w:rsidRDefault="00842B37" w:rsidP="008324DC">
      <w:pPr>
        <w:jc w:val="both"/>
        <w:rPr>
          <w:szCs w:val="24"/>
        </w:rPr>
      </w:pPr>
      <w:r>
        <w:rPr>
          <w:szCs w:val="24"/>
        </w:rPr>
        <w:t xml:space="preserve">                  návrh </w:t>
      </w:r>
      <w:r w:rsidRPr="00983840">
        <w:rPr>
          <w:szCs w:val="24"/>
        </w:rPr>
        <w:t>poslanca Národnej rady Slovenskej republiky Martina FECKA na vydanie zákona, ktorým sa mení a dopĺňa zákon Slovenskej národnej rady č 369/1990 Zb. o obecnom zriadení v znení neskorších predpisov (tlač 927)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 w:rsidR="008324DC">
        <w:rPr>
          <w:b/>
          <w:szCs w:val="24"/>
        </w:rPr>
        <w:t xml:space="preserve"> </w:t>
      </w:r>
      <w:r w:rsidR="008324DC">
        <w:rPr>
          <w:szCs w:val="24"/>
        </w:rPr>
        <w:t>s týmito zmenami a doplnkami uvedenými v prílohe tohto uznesenia:</w:t>
      </w:r>
    </w:p>
    <w:p w:rsidR="008324DC" w:rsidRDefault="008324DC" w:rsidP="008324DC">
      <w:pPr>
        <w:jc w:val="both"/>
        <w:rPr>
          <w:szCs w:val="24"/>
        </w:rPr>
      </w:pPr>
    </w:p>
    <w:p w:rsidR="00842B37" w:rsidRPr="00C871DD" w:rsidRDefault="00842B37" w:rsidP="00842B37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842B37" w:rsidRDefault="00842B37" w:rsidP="00842B37">
      <w:pPr>
        <w:pStyle w:val="Zkladntext"/>
        <w:spacing w:after="0"/>
      </w:pPr>
    </w:p>
    <w:p w:rsidR="00842B37" w:rsidRDefault="00842B37" w:rsidP="00842B37">
      <w:pPr>
        <w:pStyle w:val="Zkladntext"/>
        <w:spacing w:after="0"/>
      </w:pPr>
    </w:p>
    <w:p w:rsidR="00842B37" w:rsidRDefault="00842B37" w:rsidP="00842B37">
      <w:pPr>
        <w:pStyle w:val="Zkladntext"/>
        <w:spacing w:after="0"/>
      </w:pPr>
    </w:p>
    <w:p w:rsidR="00842B37" w:rsidRDefault="00842B37" w:rsidP="00842B37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842B37" w:rsidRDefault="00842B37" w:rsidP="00842B3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842B37" w:rsidRDefault="00842B37" w:rsidP="00842B37">
      <w:pPr>
        <w:rPr>
          <w:szCs w:val="24"/>
        </w:rPr>
      </w:pPr>
    </w:p>
    <w:p w:rsidR="00842B37" w:rsidRDefault="00842B37" w:rsidP="00842B37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842B37" w:rsidRDefault="00842B37" w:rsidP="00842B37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842B37" w:rsidRDefault="00842B37" w:rsidP="00842B37">
      <w:pPr>
        <w:pStyle w:val="Zkladntext2"/>
        <w:spacing w:after="0" w:line="240" w:lineRule="auto"/>
        <w:jc w:val="both"/>
      </w:pPr>
    </w:p>
    <w:p w:rsidR="00842B37" w:rsidRDefault="00842B37" w:rsidP="00842B37">
      <w:pPr>
        <w:pStyle w:val="Zkladntext2"/>
        <w:spacing w:after="0" w:line="240" w:lineRule="auto"/>
        <w:jc w:val="both"/>
      </w:pPr>
    </w:p>
    <w:p w:rsidR="008324DC" w:rsidRDefault="008324DC" w:rsidP="00842B37">
      <w:pPr>
        <w:pStyle w:val="Zkladntext2"/>
        <w:spacing w:after="0" w:line="240" w:lineRule="auto"/>
        <w:jc w:val="both"/>
      </w:pPr>
    </w:p>
    <w:p w:rsidR="00842B37" w:rsidRDefault="00842B37" w:rsidP="00842B37">
      <w:pPr>
        <w:pStyle w:val="Zkladntext2"/>
        <w:spacing w:after="0" w:line="240" w:lineRule="auto"/>
        <w:jc w:val="both"/>
      </w:pPr>
    </w:p>
    <w:p w:rsidR="00842B37" w:rsidRDefault="00842B37" w:rsidP="00842B37">
      <w:pPr>
        <w:pStyle w:val="Zkladntext2"/>
        <w:spacing w:after="0" w:line="240" w:lineRule="auto"/>
        <w:jc w:val="both"/>
      </w:pPr>
    </w:p>
    <w:p w:rsidR="00842B37" w:rsidRDefault="00842B37" w:rsidP="00842B37">
      <w:pPr>
        <w:pStyle w:val="Zkladntext2"/>
        <w:spacing w:after="0" w:line="240" w:lineRule="auto"/>
        <w:jc w:val="both"/>
      </w:pPr>
    </w:p>
    <w:p w:rsidR="00842B37" w:rsidRDefault="00842B37" w:rsidP="00842B37">
      <w:pPr>
        <w:pStyle w:val="Zkladntext2"/>
        <w:spacing w:after="0" w:line="240" w:lineRule="auto"/>
        <w:jc w:val="both"/>
      </w:pPr>
    </w:p>
    <w:p w:rsidR="00842B37" w:rsidRDefault="00842B37" w:rsidP="00842B37">
      <w:pPr>
        <w:pStyle w:val="Zkladntext2"/>
        <w:spacing w:after="0" w:line="240" w:lineRule="auto"/>
        <w:jc w:val="both"/>
      </w:pPr>
      <w:r>
        <w:t xml:space="preserve">  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160 – tlač 927</w:t>
      </w:r>
    </w:p>
    <w:p w:rsidR="00842B37" w:rsidRDefault="00842B37" w:rsidP="00842B37">
      <w:pPr>
        <w:pStyle w:val="Zkladntext2"/>
        <w:spacing w:after="0" w:line="240" w:lineRule="auto"/>
        <w:jc w:val="both"/>
      </w:pPr>
    </w:p>
    <w:p w:rsidR="000021E5" w:rsidRPr="000021E5" w:rsidRDefault="000021E5" w:rsidP="000021E5">
      <w:pPr>
        <w:pStyle w:val="Odsekzoznamu"/>
        <w:numPr>
          <w:ilvl w:val="0"/>
          <w:numId w:val="1"/>
        </w:numPr>
        <w:spacing w:before="120"/>
        <w:ind w:left="84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021E5">
        <w:rPr>
          <w:rFonts w:ascii="Times New Roman" w:hAnsi="Times New Roman"/>
          <w:sz w:val="24"/>
          <w:szCs w:val="24"/>
        </w:rPr>
        <w:t xml:space="preserve">V čl. I bod 1 znie:  </w:t>
      </w:r>
    </w:p>
    <w:p w:rsidR="000021E5" w:rsidRPr="000021E5" w:rsidRDefault="000021E5" w:rsidP="000021E5">
      <w:pPr>
        <w:spacing w:before="120"/>
        <w:ind w:firstLine="708"/>
        <w:jc w:val="both"/>
        <w:rPr>
          <w:bCs/>
          <w:szCs w:val="24"/>
        </w:rPr>
      </w:pPr>
      <w:r w:rsidRPr="000021E5">
        <w:rPr>
          <w:bCs/>
          <w:szCs w:val="24"/>
        </w:rPr>
        <w:t xml:space="preserve">„1. V § 2a ods. 5 druhej vete sa na konci bodka nahrádza čiarkou a pripájajú sa tieto slová: „ak nová obec nemá preukázaný svoj historický vývin </w:t>
      </w:r>
      <w:r w:rsidR="00A73BDA">
        <w:rPr>
          <w:bCs/>
          <w:szCs w:val="24"/>
        </w:rPr>
        <w:t xml:space="preserve">najneskôr </w:t>
      </w:r>
      <w:r w:rsidRPr="000021E5">
        <w:rPr>
          <w:bCs/>
          <w:szCs w:val="24"/>
        </w:rPr>
        <w:t>od roku 1918 a ak by sa obec rozdelila na etnickom základe.“.“.</w:t>
      </w:r>
    </w:p>
    <w:p w:rsidR="000021E5" w:rsidRDefault="000021E5" w:rsidP="000021E5">
      <w:pPr>
        <w:spacing w:before="120"/>
        <w:jc w:val="both"/>
        <w:rPr>
          <w:szCs w:val="24"/>
        </w:rPr>
      </w:pPr>
    </w:p>
    <w:p w:rsidR="00C23EC6" w:rsidRPr="00C23EC6" w:rsidRDefault="00C23EC6" w:rsidP="00C23EC6">
      <w:pPr>
        <w:spacing w:before="120"/>
        <w:ind w:left="2124"/>
        <w:jc w:val="both"/>
        <w:rPr>
          <w:b/>
          <w:bCs/>
        </w:rPr>
      </w:pPr>
      <w:r w:rsidRPr="00C23EC6">
        <w:t xml:space="preserve">Taxatívne vymedzené dôvody, ktoré limitujú, resp. podmieňujú možnosť rozdelenia obce sa dopĺňajú o dva negatívne vymedzené dôvody, a to konkrétne: (i) nutnosť historického vývinu (tzn. existencie) odčleňovaných častí obce, ktorý siaha maximálne od obdobia vzniku Československej republiky a (ii) nemožnosť rozdelenia obcí na etnickom </w:t>
      </w:r>
      <w:bookmarkStart w:id="0" w:name="_GoBack"/>
      <w:bookmarkEnd w:id="0"/>
      <w:r w:rsidRPr="00C23EC6">
        <w:t>základe. Z terminologického hľadiska je v prvej podmienke použitý pojem, ktorý sa v novelizovanom právnom predpise už nachádza (§ 1a ods. 6 zákona Slovenskej národnej rady č. 369/1990 Zb. o obecnom zriadení v znení neskorších predpisov). Pri druhej podmienke je použité slovné spojenia „etnický základ,“ ktoré je v slovenskom právnom poriadku takisto zaužívané (napríklad v zákone</w:t>
      </w:r>
      <w:r w:rsidRPr="00C23EC6">
        <w:rPr>
          <w:b/>
          <w:bCs/>
        </w:rPr>
        <w:t xml:space="preserve"> </w:t>
      </w:r>
      <w:r w:rsidRPr="00C23EC6">
        <w:t>č. 300/2005 Z. z. Trestný zákon v znení neskorších predpisov).</w:t>
      </w:r>
    </w:p>
    <w:p w:rsidR="000021E5" w:rsidRPr="00C23EC6" w:rsidRDefault="000021E5" w:rsidP="00C23EC6">
      <w:pPr>
        <w:spacing w:before="120"/>
        <w:jc w:val="both"/>
        <w:rPr>
          <w:bCs/>
          <w:szCs w:val="24"/>
        </w:rPr>
      </w:pPr>
    </w:p>
    <w:p w:rsidR="000021E5" w:rsidRPr="000021E5" w:rsidRDefault="000021E5" w:rsidP="000021E5">
      <w:pPr>
        <w:pStyle w:val="Odsekzoznamu"/>
        <w:numPr>
          <w:ilvl w:val="0"/>
          <w:numId w:val="1"/>
        </w:numPr>
        <w:spacing w:before="12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021E5">
        <w:rPr>
          <w:rFonts w:ascii="Times New Roman" w:hAnsi="Times New Roman"/>
          <w:bCs/>
          <w:sz w:val="24"/>
          <w:szCs w:val="24"/>
        </w:rPr>
        <w:t xml:space="preserve">V čl. I sa za bod 1 vkladá nový bod 2, ktorý znie: </w:t>
      </w:r>
    </w:p>
    <w:p w:rsidR="000021E5" w:rsidRPr="000021E5" w:rsidRDefault="000021E5" w:rsidP="000021E5">
      <w:pPr>
        <w:pStyle w:val="Odsekzoznamu"/>
        <w:spacing w:before="120"/>
        <w:ind w:left="84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021E5">
        <w:rPr>
          <w:rFonts w:ascii="Times New Roman" w:hAnsi="Times New Roman"/>
          <w:bCs/>
          <w:sz w:val="24"/>
          <w:szCs w:val="24"/>
        </w:rPr>
        <w:t>„2. V § 2a ods. 6 sa na konci pripája táto veta: „Starosta obce je povinný doručiť okresného úradu v sídle kraja návrh na rozdelenie obce a ďalšie dokumenty neodkladne, najneskôr do 30 dní odo dňa podpisu dohody o rozdelení obce.“.“.</w:t>
      </w:r>
    </w:p>
    <w:p w:rsidR="000021E5" w:rsidRPr="000021E5" w:rsidRDefault="000021E5" w:rsidP="000021E5">
      <w:pPr>
        <w:pStyle w:val="Odsekzoznamu"/>
        <w:spacing w:before="120"/>
        <w:ind w:left="84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021E5">
        <w:rPr>
          <w:rFonts w:ascii="Times New Roman" w:hAnsi="Times New Roman"/>
          <w:bCs/>
          <w:sz w:val="24"/>
          <w:szCs w:val="24"/>
        </w:rPr>
        <w:t xml:space="preserve">Nasledujúce body sa primerane prečíslujú. </w:t>
      </w:r>
    </w:p>
    <w:p w:rsidR="000021E5" w:rsidRPr="000021E5" w:rsidRDefault="000021E5" w:rsidP="000021E5">
      <w:pPr>
        <w:spacing w:before="120"/>
        <w:jc w:val="both"/>
        <w:rPr>
          <w:szCs w:val="24"/>
        </w:rPr>
      </w:pPr>
    </w:p>
    <w:p w:rsidR="000021E5" w:rsidRPr="000021E5" w:rsidRDefault="000021E5" w:rsidP="000021E5">
      <w:pPr>
        <w:spacing w:before="120"/>
        <w:ind w:left="2124"/>
        <w:jc w:val="both"/>
        <w:rPr>
          <w:szCs w:val="24"/>
        </w:rPr>
      </w:pPr>
      <w:r w:rsidRPr="000021E5">
        <w:rPr>
          <w:szCs w:val="24"/>
        </w:rPr>
        <w:t xml:space="preserve">Navrhovaná úprava dopĺňa procesné ustanovenia (podmienky) súvisiace s aktuálne chýbajúcou lehotou pre podanie návrhu na rozdelenie obce. </w:t>
      </w:r>
    </w:p>
    <w:p w:rsidR="000021E5" w:rsidRPr="000021E5" w:rsidRDefault="000021E5" w:rsidP="000021E5">
      <w:pPr>
        <w:spacing w:before="120"/>
        <w:ind w:left="2124"/>
        <w:jc w:val="both"/>
        <w:rPr>
          <w:szCs w:val="24"/>
        </w:rPr>
      </w:pPr>
      <w:r w:rsidRPr="000021E5">
        <w:rPr>
          <w:szCs w:val="24"/>
        </w:rPr>
        <w:t xml:space="preserve">Navrhovaný postup, rovnako ako aj samotný návrh zákona, sú v súlade s právnymi závermi formulovanými v náleze Ústavného súdu Slovenskej republiky </w:t>
      </w:r>
      <w:proofErr w:type="spellStart"/>
      <w:r w:rsidRPr="000021E5">
        <w:rPr>
          <w:szCs w:val="24"/>
        </w:rPr>
        <w:t>sp</w:t>
      </w:r>
      <w:proofErr w:type="spellEnd"/>
      <w:r w:rsidRPr="000021E5">
        <w:rPr>
          <w:szCs w:val="24"/>
        </w:rPr>
        <w:t xml:space="preserve">. zn. PL. ÚS 8/2020-53 zo dňa 13. apríla 2022, v ktorom bolo konštatované, že aj režim rozdelenia (odčlenenia) obcí, ktorý bol platný pred rokom 2001, bol ústavne konformný, pričom týmto návrhom sa de </w:t>
      </w:r>
      <w:proofErr w:type="spellStart"/>
      <w:r w:rsidRPr="000021E5">
        <w:rPr>
          <w:szCs w:val="24"/>
        </w:rPr>
        <w:t>facto</w:t>
      </w:r>
      <w:proofErr w:type="spellEnd"/>
      <w:r w:rsidRPr="000021E5">
        <w:rPr>
          <w:szCs w:val="24"/>
        </w:rPr>
        <w:t xml:space="preserve"> k danému režimu vracia. V kontexte predmetného nálezu je podstatné, že na rozhodovaní o rozdeľovaní obce sa - aj po prijatí novely - budú prostredníctvom svojich volených zástupcov (či už poslancov obecného zastupiteľstva, ako aj starostu) nepriamo podieľať všetci obyvatelia obce, o ktorej rozdelenie ide (bod 54.1 predmetného nálezu), ako aj to, že rozhodnutie o rozdelení obce je naďalej zverený do pôsobnosti vlády, teda štátneho orgánu (bod 54.2 predmetného nálezu). </w:t>
      </w:r>
    </w:p>
    <w:p w:rsidR="000021E5" w:rsidRPr="000021E5" w:rsidRDefault="000021E5" w:rsidP="000021E5">
      <w:pPr>
        <w:spacing w:before="120"/>
        <w:jc w:val="both"/>
        <w:rPr>
          <w:szCs w:val="24"/>
        </w:rPr>
      </w:pPr>
      <w:r w:rsidRPr="000021E5">
        <w:rPr>
          <w:szCs w:val="24"/>
        </w:rPr>
        <w:t xml:space="preserve"> </w:t>
      </w:r>
    </w:p>
    <w:p w:rsidR="000021E5" w:rsidRPr="000021E5" w:rsidRDefault="000021E5" w:rsidP="000021E5">
      <w:pPr>
        <w:pStyle w:val="Odsekzoznamu"/>
        <w:numPr>
          <w:ilvl w:val="0"/>
          <w:numId w:val="1"/>
        </w:numPr>
        <w:spacing w:before="12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021E5">
        <w:rPr>
          <w:rFonts w:ascii="Times New Roman" w:hAnsi="Times New Roman"/>
          <w:sz w:val="24"/>
          <w:szCs w:val="24"/>
        </w:rPr>
        <w:lastRenderedPageBreak/>
        <w:t xml:space="preserve">Čl. I sa dopĺňa bodom 6, ktorý znie:  </w:t>
      </w:r>
    </w:p>
    <w:p w:rsidR="000021E5" w:rsidRPr="000021E5" w:rsidRDefault="000021E5" w:rsidP="000021E5">
      <w:pPr>
        <w:spacing w:before="120"/>
        <w:ind w:firstLine="708"/>
        <w:jc w:val="both"/>
        <w:rPr>
          <w:bCs/>
          <w:szCs w:val="24"/>
        </w:rPr>
      </w:pPr>
      <w:r w:rsidRPr="000021E5">
        <w:rPr>
          <w:bCs/>
          <w:szCs w:val="24"/>
        </w:rPr>
        <w:t xml:space="preserve">„6. Za § 30g sa vkladá § 30h, ktorý vrátane nadpisu znie: </w:t>
      </w:r>
    </w:p>
    <w:p w:rsidR="000021E5" w:rsidRPr="000021E5" w:rsidRDefault="000021E5" w:rsidP="000021E5">
      <w:pPr>
        <w:spacing w:before="120"/>
        <w:jc w:val="center"/>
        <w:rPr>
          <w:b/>
          <w:szCs w:val="24"/>
        </w:rPr>
      </w:pPr>
      <w:bookmarkStart w:id="1" w:name="_Hlk105484503"/>
      <w:r w:rsidRPr="000021E5">
        <w:rPr>
          <w:bCs/>
          <w:szCs w:val="24"/>
        </w:rPr>
        <w:t>„</w:t>
      </w:r>
      <w:r w:rsidRPr="000021E5">
        <w:rPr>
          <w:b/>
          <w:szCs w:val="24"/>
        </w:rPr>
        <w:t>§ 30h</w:t>
      </w:r>
    </w:p>
    <w:p w:rsidR="000021E5" w:rsidRPr="000021E5" w:rsidRDefault="000021E5" w:rsidP="000021E5">
      <w:pPr>
        <w:spacing w:before="120"/>
        <w:jc w:val="center"/>
        <w:rPr>
          <w:b/>
          <w:szCs w:val="24"/>
        </w:rPr>
      </w:pPr>
      <w:r w:rsidRPr="000021E5">
        <w:rPr>
          <w:b/>
          <w:szCs w:val="24"/>
        </w:rPr>
        <w:t>Prechodné ustanovenia k úpravám účinným od 1. augusta 2022</w:t>
      </w:r>
    </w:p>
    <w:p w:rsidR="000021E5" w:rsidRPr="000021E5" w:rsidRDefault="000021E5" w:rsidP="000021E5">
      <w:pPr>
        <w:pStyle w:val="Odsekzoznamu"/>
        <w:numPr>
          <w:ilvl w:val="0"/>
          <w:numId w:val="2"/>
        </w:num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0021E5">
        <w:rPr>
          <w:rFonts w:ascii="Times New Roman" w:hAnsi="Times New Roman"/>
          <w:bCs/>
          <w:sz w:val="24"/>
          <w:szCs w:val="24"/>
        </w:rPr>
        <w:t>Ak bola petícia doručená obci najneskôr do 31. augusta 2022 a ak ide o rozdelenie obce, obecné zastupiteľstvo vyhlási miestne referendum tak, aby sa uskutočnilo ku dňu konania najbližších všeobecných volieb do orgánov samosprávy obcí. Ustanovenia o lehotách podľa ustanovení § 11a ods. 3 a 5 sa nepoužijú.</w:t>
      </w:r>
    </w:p>
    <w:p w:rsidR="000021E5" w:rsidRPr="000021E5" w:rsidRDefault="000021E5" w:rsidP="000021E5">
      <w:pPr>
        <w:pStyle w:val="Odsekzoznamu"/>
        <w:spacing w:before="120"/>
        <w:ind w:left="1068"/>
        <w:jc w:val="both"/>
        <w:rPr>
          <w:rFonts w:ascii="Times New Roman" w:hAnsi="Times New Roman"/>
          <w:bCs/>
          <w:sz w:val="24"/>
          <w:szCs w:val="24"/>
        </w:rPr>
      </w:pPr>
    </w:p>
    <w:p w:rsidR="000021E5" w:rsidRPr="000021E5" w:rsidRDefault="000021E5" w:rsidP="000021E5">
      <w:pPr>
        <w:pStyle w:val="Odsekzoznamu"/>
        <w:numPr>
          <w:ilvl w:val="0"/>
          <w:numId w:val="2"/>
        </w:num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0021E5">
        <w:rPr>
          <w:rFonts w:ascii="Times New Roman" w:hAnsi="Times New Roman"/>
          <w:bCs/>
          <w:sz w:val="24"/>
          <w:szCs w:val="24"/>
        </w:rPr>
        <w:t>Referendum o rozdelení obce, ktoré bolo vyhlásené do nadobudnutia účinnosti tohto zákona, sa uskutoční podľa doterajších predpisov.“.“</w:t>
      </w:r>
      <w:bookmarkEnd w:id="1"/>
    </w:p>
    <w:p w:rsidR="000021E5" w:rsidRPr="000021E5" w:rsidRDefault="000021E5" w:rsidP="000021E5">
      <w:pPr>
        <w:spacing w:before="120"/>
        <w:jc w:val="both"/>
        <w:rPr>
          <w:bCs/>
          <w:szCs w:val="24"/>
        </w:rPr>
      </w:pPr>
    </w:p>
    <w:p w:rsidR="000021E5" w:rsidRPr="000021E5" w:rsidRDefault="000021E5" w:rsidP="000021E5">
      <w:pPr>
        <w:spacing w:before="120" w:line="276" w:lineRule="auto"/>
        <w:ind w:left="2124"/>
        <w:jc w:val="both"/>
        <w:rPr>
          <w:szCs w:val="24"/>
        </w:rPr>
      </w:pPr>
      <w:r w:rsidRPr="000021E5">
        <w:rPr>
          <w:szCs w:val="24"/>
        </w:rPr>
        <w:t>Navrhovanou úpravou sa nastavuje prechodný režim vo vzťahu k petíciám ohľadom rozdelenia obcí, ktoré boli realizované a doručené obci do 31.augusta 2022.  Ak spĺňa petícia zákonné náležitosti, obecné zastupiteľstvo má povinnosť vyhlásiť referendum o rozdelení obce v termíne, ktorý je totožný s termínom najbližších všeobecných volieb do orgánov samosprávy obcí (29.10.2022). V prípade referenda, ktorého konanie už bolo vyhlásené pred účinnosťou návrhu zákona, avšak ešte toto referendum nebolo realizované, platí, že sa uskutoční podľa právnych predpisov platných a účinných pred 1. augustom 2022, tzn. podľa doterajších predpisov.</w:t>
      </w:r>
    </w:p>
    <w:p w:rsidR="000021E5" w:rsidRPr="000021E5" w:rsidRDefault="000021E5" w:rsidP="000021E5">
      <w:pPr>
        <w:spacing w:before="120"/>
        <w:jc w:val="both"/>
        <w:rPr>
          <w:bCs/>
          <w:szCs w:val="24"/>
        </w:rPr>
      </w:pPr>
    </w:p>
    <w:p w:rsidR="000021E5" w:rsidRPr="000021E5" w:rsidRDefault="000021E5" w:rsidP="000021E5">
      <w:pPr>
        <w:pStyle w:val="Odsekzoznamu"/>
        <w:numPr>
          <w:ilvl w:val="0"/>
          <w:numId w:val="1"/>
        </w:numPr>
        <w:spacing w:before="12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021E5">
        <w:rPr>
          <w:rFonts w:ascii="Times New Roman" w:hAnsi="Times New Roman"/>
          <w:sz w:val="24"/>
          <w:szCs w:val="24"/>
        </w:rPr>
        <w:t xml:space="preserve">V čl. II sa slová „1. júna 2022“ sa nahrádzajú slovami „1. augusta 2022“.   </w:t>
      </w:r>
    </w:p>
    <w:p w:rsidR="000021E5" w:rsidRPr="000021E5" w:rsidRDefault="000021E5" w:rsidP="000021E5">
      <w:pPr>
        <w:spacing w:before="120"/>
        <w:ind w:left="1416" w:firstLine="708"/>
        <w:jc w:val="both"/>
        <w:rPr>
          <w:szCs w:val="24"/>
        </w:rPr>
      </w:pPr>
      <w:r w:rsidRPr="000021E5">
        <w:rPr>
          <w:szCs w:val="24"/>
        </w:rPr>
        <w:t>Posúva sa účinnosť zákona vzhľadom na priebeh legislatívneho procesu.</w:t>
      </w:r>
    </w:p>
    <w:p w:rsidR="00842B37" w:rsidRPr="000021E5" w:rsidRDefault="00842B37" w:rsidP="00842B37">
      <w:pPr>
        <w:pStyle w:val="Zkladntext2"/>
        <w:spacing w:after="0" w:line="240" w:lineRule="auto"/>
        <w:jc w:val="both"/>
      </w:pPr>
    </w:p>
    <w:p w:rsidR="00842B37" w:rsidRPr="000021E5" w:rsidRDefault="00842B37" w:rsidP="00842B37">
      <w:pPr>
        <w:pStyle w:val="Zkladntext2"/>
        <w:spacing w:after="0" w:line="240" w:lineRule="auto"/>
        <w:jc w:val="both"/>
      </w:pPr>
    </w:p>
    <w:p w:rsidR="00842B37" w:rsidRPr="000021E5" w:rsidRDefault="00842B37" w:rsidP="00842B37">
      <w:pPr>
        <w:pStyle w:val="Zkladntext2"/>
        <w:spacing w:after="0" w:line="240" w:lineRule="auto"/>
        <w:jc w:val="both"/>
      </w:pPr>
    </w:p>
    <w:sectPr w:rsidR="00842B37" w:rsidRPr="0000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641"/>
    <w:multiLevelType w:val="hybridMultilevel"/>
    <w:tmpl w:val="CDC0BD56"/>
    <w:lvl w:ilvl="0" w:tplc="F8AEAD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75DCB"/>
    <w:multiLevelType w:val="hybridMultilevel"/>
    <w:tmpl w:val="DCB48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571E"/>
    <w:multiLevelType w:val="hybridMultilevel"/>
    <w:tmpl w:val="D69A572E"/>
    <w:lvl w:ilvl="0" w:tplc="C4A69EE0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18"/>
    <w:rsid w:val="000021E5"/>
    <w:rsid w:val="00054406"/>
    <w:rsid w:val="001B3B37"/>
    <w:rsid w:val="005B1A5D"/>
    <w:rsid w:val="00644C0F"/>
    <w:rsid w:val="00795918"/>
    <w:rsid w:val="008324DC"/>
    <w:rsid w:val="00842B37"/>
    <w:rsid w:val="00A73BDA"/>
    <w:rsid w:val="00AD06C5"/>
    <w:rsid w:val="00C2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09F3"/>
  <w15:chartTrackingRefBased/>
  <w15:docId w15:val="{6F9E207E-17FC-467B-BEC6-A65467F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1A5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B1A5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1A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5B1A5D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B1A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1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A5D"/>
    <w:rPr>
      <w:rFonts w:ascii="Segoe UI" w:eastAsia="Times New Roman" w:hAnsi="Segoe UI" w:cs="Segoe UI"/>
      <w:sz w:val="18"/>
      <w:szCs w:val="18"/>
    </w:rPr>
  </w:style>
  <w:style w:type="character" w:styleId="Zvraznenie">
    <w:name w:val="Emphasis"/>
    <w:uiPriority w:val="20"/>
    <w:qFormat/>
    <w:rsid w:val="005B1A5D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List Paragraph"/>
    <w:basedOn w:val="Normlny"/>
    <w:link w:val="OdsekzoznamuChar"/>
    <w:uiPriority w:val="34"/>
    <w:qFormat/>
    <w:rsid w:val="005B1A5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basedOn w:val="Predvolenpsmoodseku"/>
    <w:link w:val="Odsekzoznamu"/>
    <w:uiPriority w:val="34"/>
    <w:qFormat/>
    <w:locked/>
    <w:rsid w:val="005B1A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10</cp:revision>
  <cp:lastPrinted>2022-06-16T12:54:00Z</cp:lastPrinted>
  <dcterms:created xsi:type="dcterms:W3CDTF">2022-04-20T08:51:00Z</dcterms:created>
  <dcterms:modified xsi:type="dcterms:W3CDTF">2022-06-16T12:55:00Z</dcterms:modified>
</cp:coreProperties>
</file>