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79B9" w14:textId="26969355" w:rsidR="005A5AE2" w:rsidRDefault="005A5AE2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799EE97C" w14:textId="38AF6348" w:rsidR="006D6291" w:rsidRDefault="006D6291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3B80A230" w14:textId="30342886" w:rsidR="006D6291" w:rsidRDefault="006D6291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5C035819" w14:textId="77777777" w:rsidR="006D6291" w:rsidRDefault="006D6291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54D63DDA" w14:textId="77777777" w:rsidR="005A5AE2" w:rsidRDefault="005A5AE2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38F97535" w14:textId="77777777" w:rsidR="005A5AE2" w:rsidRDefault="005A5AE2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5F076574" w14:textId="77777777" w:rsidR="005A5AE2" w:rsidRDefault="005A5AE2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2D8545D1" w14:textId="77777777" w:rsidR="005A5AE2" w:rsidRDefault="005A5AE2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5C4FE884" w14:textId="507B3F3C" w:rsidR="001F359D" w:rsidRPr="007B19B3" w:rsidRDefault="007B19B3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>z</w:t>
      </w:r>
      <w:r w:rsidR="005A5AE2">
        <w:rPr>
          <w:rFonts w:ascii="Times New Roman" w:hAnsi="Times New Roman"/>
          <w:b/>
          <w:bCs/>
          <w:sz w:val="24"/>
          <w:szCs w:val="24"/>
          <w:lang w:val="x-none" w:eastAsia="x-none"/>
        </w:rPr>
        <w:t> </w:t>
      </w:r>
      <w:r w:rsidR="005A5AE2">
        <w:rPr>
          <w:rFonts w:ascii="Times New Roman" w:hAnsi="Times New Roman"/>
          <w:b/>
          <w:bCs/>
          <w:sz w:val="24"/>
          <w:szCs w:val="24"/>
          <w:lang w:eastAsia="x-none"/>
        </w:rPr>
        <w:t>15. júna</w:t>
      </w: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202</w:t>
      </w:r>
      <w:r w:rsidRPr="007B19B3">
        <w:rPr>
          <w:rFonts w:ascii="Times New Roman" w:hAnsi="Times New Roman"/>
          <w:b/>
          <w:bCs/>
          <w:sz w:val="24"/>
          <w:szCs w:val="24"/>
          <w:lang w:eastAsia="x-none"/>
        </w:rPr>
        <w:t>2</w:t>
      </w: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>,</w:t>
      </w:r>
    </w:p>
    <w:p w14:paraId="00980286" w14:textId="77777777" w:rsidR="001F359D" w:rsidRPr="00881B9F" w:rsidRDefault="001F359D" w:rsidP="00827335">
      <w:pPr>
        <w:pStyle w:val="Nadpis2"/>
        <w:keepNext w:val="0"/>
        <w:widowControl w:val="0"/>
        <w:tabs>
          <w:tab w:val="left" w:pos="567"/>
        </w:tabs>
        <w:suppressAutoHyphens/>
        <w:spacing w:before="0" w:after="0"/>
      </w:pPr>
      <w:r w:rsidRPr="00881B9F">
        <w:t>ktorým sa mení a dopĺňa zákon č. 136/2000 Z. z. o hnojivách v znení neskorších predpisov</w:t>
      </w:r>
    </w:p>
    <w:p w14:paraId="62A577BD" w14:textId="77777777" w:rsidR="001F359D" w:rsidRPr="00881B9F" w:rsidRDefault="001F359D" w:rsidP="008273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C39806B" w14:textId="77777777" w:rsidR="00881B9F" w:rsidRPr="00881B9F" w:rsidRDefault="00881B9F" w:rsidP="00881B9F">
      <w:pPr>
        <w:pStyle w:val="odsek"/>
        <w:keepNext w:val="0"/>
        <w:widowControl w:val="0"/>
        <w:suppressAutoHyphens/>
        <w:spacing w:before="0" w:after="0"/>
      </w:pPr>
    </w:p>
    <w:p w14:paraId="00EF7C2F" w14:textId="574B3B94" w:rsidR="001F359D" w:rsidRPr="00881B9F" w:rsidRDefault="001F359D" w:rsidP="00881B9F">
      <w:pPr>
        <w:pStyle w:val="odsek"/>
        <w:keepNext w:val="0"/>
        <w:widowControl w:val="0"/>
        <w:suppressAutoHyphens/>
        <w:spacing w:before="0" w:after="0"/>
      </w:pPr>
      <w:r w:rsidRPr="00881B9F">
        <w:t>Národná rada Slovenskej republiky sa uzniesla na tomto zákone:</w:t>
      </w:r>
    </w:p>
    <w:p w14:paraId="7E7BD2F0" w14:textId="77777777" w:rsidR="00AA0335" w:rsidRPr="00881B9F" w:rsidRDefault="00AA0335" w:rsidP="00827335">
      <w:pPr>
        <w:pStyle w:val="odsek"/>
        <w:keepNext w:val="0"/>
        <w:widowControl w:val="0"/>
        <w:suppressAutoHyphens/>
        <w:spacing w:before="0" w:after="0"/>
        <w:jc w:val="center"/>
      </w:pPr>
    </w:p>
    <w:p w14:paraId="6F584669" w14:textId="77777777" w:rsidR="001F359D" w:rsidRPr="00881B9F" w:rsidRDefault="001F359D" w:rsidP="00827335">
      <w:pPr>
        <w:pStyle w:val="odsek"/>
        <w:keepNext w:val="0"/>
        <w:widowControl w:val="0"/>
        <w:suppressAutoHyphens/>
        <w:spacing w:before="0" w:after="0"/>
      </w:pPr>
    </w:p>
    <w:p w14:paraId="28920DE0" w14:textId="77777777" w:rsidR="001F359D" w:rsidRPr="00881B9F" w:rsidRDefault="001F359D" w:rsidP="00827335">
      <w:pPr>
        <w:pStyle w:val="Nadpis1"/>
        <w:keepNext w:val="0"/>
        <w:widowControl w:val="0"/>
        <w:suppressAutoHyphens/>
        <w:spacing w:before="0" w:after="0"/>
      </w:pPr>
      <w:r w:rsidRPr="00881B9F">
        <w:t>Čl. I</w:t>
      </w:r>
    </w:p>
    <w:p w14:paraId="062B1B3A" w14:textId="77777777" w:rsidR="001F359D" w:rsidRPr="00881B9F" w:rsidRDefault="001F359D" w:rsidP="0082733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EC0332C" w14:textId="0CC131BA" w:rsidR="001F359D" w:rsidRPr="00881B9F" w:rsidRDefault="001F359D" w:rsidP="00827335">
      <w:pPr>
        <w:pStyle w:val="odsek"/>
        <w:keepNext w:val="0"/>
        <w:widowControl w:val="0"/>
        <w:suppressAutoHyphens/>
        <w:spacing w:before="0" w:after="0"/>
      </w:pPr>
      <w:r w:rsidRPr="00881B9F">
        <w:t xml:space="preserve">Zákon č. 136/2000 Z. z. o hnojivách v znení zákona č. 555/2004 Z. z., zákona č. 202/2008 Z. z., zákona č. 203/2009 Z. z., zákona č. 111/2010 Z. z., zákona č. 394/2015 Z. z., zákona č. 277/2017 Z. z., zákona č. 177/2018 Z. z., zákona č. 194/2018 Z. z. a zákona </w:t>
      </w:r>
      <w:r w:rsidR="00881B9F">
        <w:br/>
      </w:r>
      <w:r w:rsidRPr="00881B9F">
        <w:t>č. 305/2018 Z. z. sa mení a dopĺňa takto:</w:t>
      </w:r>
    </w:p>
    <w:p w14:paraId="7EB174D2" w14:textId="77777777" w:rsidR="00043B8F" w:rsidRPr="00881B9F" w:rsidRDefault="00043B8F" w:rsidP="007D0666">
      <w:pPr>
        <w:pStyle w:val="odsek"/>
        <w:keepNext w:val="0"/>
        <w:widowControl w:val="0"/>
        <w:suppressAutoHyphens/>
        <w:spacing w:before="0" w:after="0"/>
        <w:ind w:left="340" w:firstLine="0"/>
        <w:jc w:val="center"/>
      </w:pPr>
    </w:p>
    <w:p w14:paraId="0ADF5059" w14:textId="77777777" w:rsidR="003A47C4" w:rsidRPr="00881B9F" w:rsidRDefault="005F61B0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2 písm. a) štvrtom bode </w:t>
      </w:r>
      <w:r w:rsidR="00EF06F2" w:rsidRPr="00881B9F">
        <w:t>sa vypúšťajú slová „na báze humátov“.</w:t>
      </w:r>
    </w:p>
    <w:p w14:paraId="66578326" w14:textId="6F6E816F" w:rsidR="00DE77E7" w:rsidRPr="00881B9F" w:rsidRDefault="00DE77E7" w:rsidP="00827335">
      <w:pPr>
        <w:pStyle w:val="odsek"/>
        <w:keepNext w:val="0"/>
        <w:widowControl w:val="0"/>
        <w:suppressAutoHyphens/>
        <w:spacing w:before="0" w:after="0"/>
        <w:ind w:firstLine="0"/>
        <w:rPr>
          <w:i/>
        </w:rPr>
      </w:pPr>
    </w:p>
    <w:p w14:paraId="464F2F15" w14:textId="4314FF93" w:rsidR="004E6129" w:rsidRPr="00881B9F" w:rsidRDefault="004E6129" w:rsidP="00827335">
      <w:pPr>
        <w:pStyle w:val="odsek"/>
        <w:keepNext w:val="0"/>
        <w:widowControl w:val="0"/>
        <w:numPr>
          <w:ilvl w:val="0"/>
          <w:numId w:val="1"/>
        </w:numPr>
        <w:tabs>
          <w:tab w:val="num" w:pos="567"/>
        </w:tabs>
        <w:suppressAutoHyphens/>
        <w:spacing w:before="0" w:after="0"/>
      </w:pPr>
      <w:r w:rsidRPr="00881B9F">
        <w:t>V § 2 písm. s) sa slová „fyzická osoba“ nahrádzajú slovami „fyzická osoba - podnikateľ“ a na konci sa pripájajú tieto slová: „</w:t>
      </w:r>
      <w:r w:rsidR="00B96A4E" w:rsidRPr="00881B9F">
        <w:t xml:space="preserve">a ak </w:t>
      </w:r>
      <w:r w:rsidR="00FF0D7D" w:rsidRPr="00881B9F">
        <w:t>je do sekundárneho</w:t>
      </w:r>
      <w:r w:rsidR="00B96A4E" w:rsidRPr="00881B9F">
        <w:t xml:space="preserve"> zdroj</w:t>
      </w:r>
      <w:r w:rsidR="00FF0D7D" w:rsidRPr="00881B9F">
        <w:t>a</w:t>
      </w:r>
      <w:r w:rsidR="00B96A4E" w:rsidRPr="00881B9F">
        <w:t xml:space="preserve"> živín alebo</w:t>
      </w:r>
      <w:r w:rsidR="003355DC">
        <w:t xml:space="preserve"> do</w:t>
      </w:r>
      <w:r w:rsidR="00B96A4E" w:rsidRPr="00881B9F">
        <w:t xml:space="preserve"> kompost</w:t>
      </w:r>
      <w:r w:rsidR="00FF0D7D" w:rsidRPr="00881B9F">
        <w:t>u zapracovaný</w:t>
      </w:r>
      <w:r w:rsidR="005A684F" w:rsidRPr="00881B9F">
        <w:t xml:space="preserve"> </w:t>
      </w:r>
      <w:r w:rsidR="00FF0D7D" w:rsidRPr="00881B9F">
        <w:t>čistiarenský kal</w:t>
      </w:r>
      <w:r w:rsidR="00B96A4E" w:rsidRPr="00881B9F">
        <w:t xml:space="preserve"> aj právnická osoba alebo fyzická osoba – podnikateľ, ktorá ich produkuje </w:t>
      </w:r>
      <w:r w:rsidR="009719CB" w:rsidRPr="00881B9F">
        <w:t>a</w:t>
      </w:r>
      <w:r w:rsidR="00B96A4E" w:rsidRPr="00881B9F">
        <w:t> neuvádza do obehu</w:t>
      </w:r>
      <w:r w:rsidRPr="00881B9F">
        <w:t>“.</w:t>
      </w:r>
    </w:p>
    <w:p w14:paraId="71EF3D22" w14:textId="76B19A24" w:rsidR="00925DEC" w:rsidRPr="00881B9F" w:rsidRDefault="00925DEC" w:rsidP="00827335">
      <w:pPr>
        <w:pStyle w:val="odsek"/>
        <w:keepNext w:val="0"/>
        <w:widowControl w:val="0"/>
        <w:suppressAutoHyphens/>
        <w:spacing w:before="0" w:after="0"/>
        <w:ind w:firstLine="0"/>
        <w:rPr>
          <w:highlight w:val="yellow"/>
        </w:rPr>
      </w:pPr>
    </w:p>
    <w:p w14:paraId="0A4E3B47" w14:textId="0814CEBB" w:rsidR="00736A9D" w:rsidRPr="00881B9F" w:rsidRDefault="001B76FE" w:rsidP="00DE77E7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lastRenderedPageBreak/>
        <w:t xml:space="preserve">V </w:t>
      </w:r>
      <w:r w:rsidR="00DE77E7" w:rsidRPr="00881B9F">
        <w:t xml:space="preserve">§ 2 písmeno u) znie: </w:t>
      </w:r>
    </w:p>
    <w:p w14:paraId="1E0EFFB4" w14:textId="5B8740FE" w:rsidR="00876FE8" w:rsidRPr="00881B9F" w:rsidRDefault="00876FE8" w:rsidP="00876FE8">
      <w:pPr>
        <w:pStyle w:val="odsek"/>
        <w:keepNext w:val="0"/>
        <w:widowControl w:val="0"/>
        <w:suppressAutoHyphens/>
        <w:spacing w:before="0" w:after="0"/>
        <w:ind w:firstLine="0"/>
      </w:pPr>
    </w:p>
    <w:p w14:paraId="7644D27B" w14:textId="57DE17A5" w:rsidR="006B33CB" w:rsidRPr="00881B9F" w:rsidRDefault="006B33CB" w:rsidP="006B33CB">
      <w:pPr>
        <w:shd w:val="clear" w:color="auto" w:fill="FFFFFF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1B9F">
        <w:rPr>
          <w:rFonts w:ascii="Times New Roman" w:hAnsi="Times New Roman"/>
          <w:sz w:val="24"/>
          <w:szCs w:val="24"/>
        </w:rPr>
        <w:t xml:space="preserve">   </w:t>
      </w:r>
      <w:r w:rsidR="00736A9D" w:rsidRPr="00881B9F">
        <w:rPr>
          <w:rFonts w:ascii="Times New Roman" w:hAnsi="Times New Roman"/>
          <w:sz w:val="24"/>
          <w:szCs w:val="24"/>
        </w:rPr>
        <w:t>„</w:t>
      </w:r>
      <w:r w:rsidR="00736A9D" w:rsidRPr="00881B9F">
        <w:rPr>
          <w:rFonts w:ascii="Times New Roman" w:eastAsia="Times New Roman" w:hAnsi="Times New Roman"/>
          <w:sz w:val="24"/>
          <w:szCs w:val="24"/>
          <w:lang w:eastAsia="cs-CZ"/>
        </w:rPr>
        <w:t>u)</w:t>
      </w:r>
      <w:r w:rsidR="00736A9D" w:rsidRP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>poľnohospodárskou pôdou v zraniteľných oblastiach pozemky alebo ich časti, ktoré sú vymedzené  ako zraniteľné oblasti podľa osobitného predpisu</w:t>
      </w:r>
      <w:r w:rsidRPr="00881B9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1ab</w:t>
      </w:r>
      <w:r w:rsidR="00221E14" w:rsidRPr="00881B9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 xml:space="preserve"> v zaradení do stupňa obmedzenia používania dusíkatých hnojivých látok a spôsobu hospodárenia; ide o nízky stupeň (A), stredný stupeň (B) alebo vysoký stupeň (C)</w:t>
      </w:r>
      <w:r w:rsidR="00221E14" w:rsidRPr="00881B9F">
        <w:rPr>
          <w:rFonts w:ascii="Times New Roman" w:eastAsia="Times New Roman" w:hAnsi="Times New Roman"/>
          <w:sz w:val="24"/>
          <w:szCs w:val="24"/>
          <w:lang w:eastAsia="cs-CZ"/>
        </w:rPr>
        <w:t>,“.</w:t>
      </w:r>
    </w:p>
    <w:p w14:paraId="494BA1A8" w14:textId="77777777" w:rsidR="00A12676" w:rsidRPr="00881B9F" w:rsidRDefault="00A12676" w:rsidP="00736A9D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 xml:space="preserve">Poznámka pod čiarou k odkazu 1ab znie: </w:t>
      </w:r>
    </w:p>
    <w:p w14:paraId="356695DA" w14:textId="34BBA83F" w:rsidR="00A3253E" w:rsidRPr="00881B9F" w:rsidRDefault="005D76C8" w:rsidP="00736A9D">
      <w:pPr>
        <w:pStyle w:val="odsek"/>
        <w:keepNext w:val="0"/>
        <w:widowControl w:val="0"/>
        <w:suppressAutoHyphens/>
        <w:spacing w:before="0" w:after="0"/>
        <w:ind w:left="284" w:firstLine="0"/>
        <w:rPr>
          <w:b/>
        </w:rPr>
      </w:pPr>
      <w:r w:rsidRPr="00881B9F">
        <w:t>„</w:t>
      </w:r>
      <w:r w:rsidR="00A12676" w:rsidRPr="00881B9F">
        <w:rPr>
          <w:vertAlign w:val="superscript"/>
        </w:rPr>
        <w:t>1ab</w:t>
      </w:r>
      <w:r w:rsidR="00A12676" w:rsidRPr="00881B9F">
        <w:t>)</w:t>
      </w:r>
      <w:r w:rsidR="00A3253E" w:rsidRPr="00881B9F">
        <w:t xml:space="preserve"> </w:t>
      </w:r>
      <w:r w:rsidR="001C20E5" w:rsidRPr="00881B9F">
        <w:t xml:space="preserve">§ 34 ods. 1 a </w:t>
      </w:r>
      <w:r w:rsidR="00966AF6" w:rsidRPr="00881B9F">
        <w:t xml:space="preserve">§ </w:t>
      </w:r>
      <w:r w:rsidR="00A3253E" w:rsidRPr="00881B9F">
        <w:t xml:space="preserve">81 ods. 1 písm. b) zákona č. 364/2004 Z. z. </w:t>
      </w:r>
      <w:r w:rsidR="00224EC0" w:rsidRPr="00881B9F">
        <w:t xml:space="preserve">o vodách a o zmene zákona Slovenskej národnej rady č. 372/1990 Zb. o priestupkoch v znení neskorších predpisov (vodný zákon) </w:t>
      </w:r>
      <w:r w:rsidR="00954DB0" w:rsidRPr="00881B9F">
        <w:t>v znení neskorších predpisov.</w:t>
      </w:r>
      <w:r w:rsidR="00A12676" w:rsidRPr="00881B9F">
        <w:rPr>
          <w:b/>
        </w:rPr>
        <w:t xml:space="preserve"> </w:t>
      </w:r>
    </w:p>
    <w:p w14:paraId="7585964D" w14:textId="25096109" w:rsidR="009C40CF" w:rsidRPr="00881B9F" w:rsidRDefault="006B33CB" w:rsidP="00736A9D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 xml:space="preserve">§ 2 ods. 1 nariadenia vlády </w:t>
      </w:r>
      <w:r w:rsidR="00342D94" w:rsidRPr="00881B9F">
        <w:t xml:space="preserve">Slovenskej republiky </w:t>
      </w:r>
      <w:r w:rsidRPr="00881B9F">
        <w:t>č. 174/2017 Z. z., ktorým sa ustanovujú citlivé oblasti a zraniteľné oblasti</w:t>
      </w:r>
      <w:r w:rsidR="001C20E5" w:rsidRPr="00881B9F">
        <w:t xml:space="preserve"> v znení nariadenia vlády č. 62/2022 Z.</w:t>
      </w:r>
      <w:r w:rsidR="000C6049" w:rsidRPr="00881B9F">
        <w:t xml:space="preserve"> </w:t>
      </w:r>
      <w:r w:rsidR="001C20E5" w:rsidRPr="00881B9F">
        <w:t>z.</w:t>
      </w:r>
      <w:r w:rsidR="00221E14" w:rsidRPr="00881B9F">
        <w:t>“.</w:t>
      </w:r>
    </w:p>
    <w:p w14:paraId="20E3F3DF" w14:textId="73CBCAA7" w:rsidR="005D7AE1" w:rsidRPr="00881B9F" w:rsidRDefault="005D7AE1" w:rsidP="00E64935">
      <w:pPr>
        <w:pStyle w:val="odsek"/>
        <w:keepNext w:val="0"/>
        <w:widowControl w:val="0"/>
        <w:suppressAutoHyphens/>
        <w:spacing w:before="0" w:after="0"/>
        <w:ind w:firstLine="0"/>
      </w:pPr>
    </w:p>
    <w:p w14:paraId="05F69E69" w14:textId="5FD864A4" w:rsidR="00CB1B9B" w:rsidRPr="00881B9F" w:rsidRDefault="009E6FE6" w:rsidP="004201B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3 odsek</w:t>
      </w:r>
      <w:r w:rsidR="002A53FD" w:rsidRPr="00881B9F">
        <w:t>y</w:t>
      </w:r>
      <w:r w:rsidRPr="00881B9F">
        <w:t xml:space="preserve"> 2</w:t>
      </w:r>
      <w:r w:rsidR="002A53FD" w:rsidRPr="00881B9F">
        <w:t xml:space="preserve"> a 3 znejú</w:t>
      </w:r>
      <w:r w:rsidR="0030589A" w:rsidRPr="00881B9F">
        <w:t>:</w:t>
      </w:r>
      <w:r w:rsidR="00966AF6" w:rsidRPr="00881B9F">
        <w:t xml:space="preserve">                                                   </w:t>
      </w:r>
    </w:p>
    <w:p w14:paraId="28A9FB45" w14:textId="4DA2BE67" w:rsidR="009E6FE6" w:rsidRPr="00881B9F" w:rsidRDefault="009E6FE6" w:rsidP="009E6FE6">
      <w:pPr>
        <w:pStyle w:val="odsek"/>
        <w:keepNext w:val="0"/>
        <w:widowControl w:val="0"/>
        <w:suppressAutoHyphens/>
        <w:spacing w:before="0" w:after="0"/>
        <w:ind w:left="340" w:firstLine="0"/>
      </w:pPr>
      <w:r w:rsidRPr="00881B9F">
        <w:t>„(2) Ustanovenie odseku 1 sa nevzťahuje na hnojivo, ktorým je EÚ produkt na hnojenie,</w:t>
      </w:r>
      <w:r w:rsidRPr="00881B9F">
        <w:rPr>
          <w:vertAlign w:val="superscript"/>
        </w:rPr>
        <w:t>1b</w:t>
      </w:r>
      <w:r w:rsidRPr="00881B9F">
        <w:t>) na vzájomne uznané hnojivo</w:t>
      </w:r>
      <w:r w:rsidRPr="00881B9F">
        <w:rPr>
          <w:vertAlign w:val="superscript"/>
        </w:rPr>
        <w:t>1ba</w:t>
      </w:r>
      <w:r w:rsidRPr="00881B9F">
        <w:t>) a na hnojivo poskytované v nevyhnutnom množstve na pokusné účely, výskum a vývoj.</w:t>
      </w:r>
    </w:p>
    <w:p w14:paraId="36863779" w14:textId="3FD0A6AA" w:rsidR="00A41FCC" w:rsidRPr="00881B9F" w:rsidRDefault="00A41FCC" w:rsidP="00A41FCC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(3) Uvedením hnojiva, sekundárneho zdroja živín alebo kompostu do obehu sa rozumie ich dodávka, či už za úhradu alebo bezplatne, alebo skladovanie na účely ich dodávania</w:t>
      </w:r>
      <w:r w:rsidR="005D36B9" w:rsidRPr="00881B9F">
        <w:t>. U</w:t>
      </w:r>
      <w:r w:rsidR="00EB7DE5" w:rsidRPr="00881B9F">
        <w:t>vedením</w:t>
      </w:r>
      <w:r w:rsidR="005D36B9" w:rsidRPr="00881B9F">
        <w:t xml:space="preserve"> </w:t>
      </w:r>
      <w:r w:rsidR="00EB7DE5" w:rsidRPr="00881B9F">
        <w:t xml:space="preserve"> </w:t>
      </w:r>
      <w:r w:rsidR="00C92E0E" w:rsidRPr="00881B9F">
        <w:t>hnojiva, ktorým je EÚ produkt na hnojenie, a</w:t>
      </w:r>
      <w:r w:rsidR="00925DEC" w:rsidRPr="00881B9F">
        <w:t xml:space="preserve"> vzájomne </w:t>
      </w:r>
      <w:r w:rsidR="00C92E0E" w:rsidRPr="00881B9F">
        <w:t xml:space="preserve"> uznaného  hnojiva </w:t>
      </w:r>
      <w:r w:rsidR="00EB7DE5" w:rsidRPr="00881B9F">
        <w:t xml:space="preserve">do obehu sa rozumie </w:t>
      </w:r>
      <w:r w:rsidR="00C92E0E" w:rsidRPr="00881B9F">
        <w:t>ich sprístupnenie na trhu</w:t>
      </w:r>
      <w:r w:rsidR="00F4498C" w:rsidRPr="00881B9F">
        <w:t xml:space="preserve"> podľa osobitných predpisov</w:t>
      </w:r>
      <w:r w:rsidRPr="00881B9F">
        <w:t>.</w:t>
      </w:r>
      <w:r w:rsidR="00E17091" w:rsidRPr="00881B9F">
        <w:rPr>
          <w:vertAlign w:val="superscript"/>
        </w:rPr>
        <w:t>1bb</w:t>
      </w:r>
      <w:r w:rsidR="00E17091" w:rsidRPr="00881B9F">
        <w:t>)</w:t>
      </w:r>
      <w:r w:rsidRPr="00881B9F">
        <w:t>“.</w:t>
      </w:r>
    </w:p>
    <w:p w14:paraId="6631B186" w14:textId="77777777" w:rsidR="00A41FCC" w:rsidRPr="00881B9F" w:rsidRDefault="00A41FCC" w:rsidP="009E6FE6">
      <w:pPr>
        <w:pStyle w:val="odsek"/>
        <w:keepNext w:val="0"/>
        <w:widowControl w:val="0"/>
        <w:suppressAutoHyphens/>
        <w:spacing w:before="0" w:after="0"/>
        <w:ind w:left="340" w:firstLine="0"/>
      </w:pPr>
    </w:p>
    <w:p w14:paraId="7C52A587" w14:textId="7EB7A5F2" w:rsidR="008F245A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Poznámky pod čiarou k odkazom</w:t>
      </w:r>
      <w:r w:rsidR="00166178" w:rsidRPr="00881B9F">
        <w:t xml:space="preserve"> 1b</w:t>
      </w:r>
      <w:r w:rsidR="00F3485E" w:rsidRPr="00881B9F">
        <w:t>,</w:t>
      </w:r>
      <w:r w:rsidRPr="00881B9F">
        <w:t xml:space="preserve"> 1ba </w:t>
      </w:r>
      <w:r w:rsidR="00F3485E" w:rsidRPr="00881B9F">
        <w:t xml:space="preserve">a 1bb </w:t>
      </w:r>
      <w:r w:rsidRPr="00881B9F">
        <w:t>znejú</w:t>
      </w:r>
      <w:r w:rsidR="00166178" w:rsidRPr="00881B9F">
        <w:t>:</w:t>
      </w:r>
    </w:p>
    <w:p w14:paraId="09A51971" w14:textId="47ED1BB0" w:rsidR="00166178" w:rsidRPr="00881B9F" w:rsidRDefault="00166178" w:rsidP="00D938D1">
      <w:pPr>
        <w:pStyle w:val="odsek"/>
        <w:keepNext w:val="0"/>
        <w:widowControl w:val="0"/>
        <w:suppressAutoHyphens/>
        <w:spacing w:before="0" w:after="0"/>
        <w:ind w:left="284" w:firstLine="0"/>
        <w:rPr>
          <w:iCs/>
        </w:rPr>
      </w:pPr>
      <w:r w:rsidRPr="00881B9F">
        <w:t>„</w:t>
      </w:r>
      <w:r w:rsidRPr="00881B9F">
        <w:rPr>
          <w:vertAlign w:val="superscript"/>
        </w:rPr>
        <w:t>1b</w:t>
      </w:r>
      <w:r w:rsidRPr="00881B9F">
        <w:t xml:space="preserve">) </w:t>
      </w:r>
      <w:r w:rsidR="00D56103" w:rsidRPr="00881B9F">
        <w:t>Čl. 2 ods. 2 n</w:t>
      </w:r>
      <w:r w:rsidR="00122A4E" w:rsidRPr="00881B9F">
        <w:t>ariadeni</w:t>
      </w:r>
      <w:r w:rsidR="00D56103" w:rsidRPr="00881B9F">
        <w:t xml:space="preserve">a </w:t>
      </w:r>
      <w:r w:rsidR="00122A4E" w:rsidRPr="00881B9F">
        <w:t>Európskeho parlamentu a Rady (EÚ) 2019/1009 z 5. júna 2019, ktorým sa stanovujú pravidlá sprístupňovania EÚ produktov na hnojenie na trhu, menia nariadenia (ES) č. 1069/2009 a (ES) č. 1107/2009 a ruš</w:t>
      </w:r>
      <w:r w:rsidR="003E6A78" w:rsidRPr="00881B9F">
        <w:t>í nariadenie (ES) č. 2003/2003</w:t>
      </w:r>
      <w:r w:rsidR="00B3655F" w:rsidRPr="00881B9F">
        <w:t xml:space="preserve"> </w:t>
      </w:r>
      <w:r w:rsidR="00B3655F" w:rsidRPr="00881B9F">
        <w:rPr>
          <w:iCs/>
        </w:rPr>
        <w:t>(</w:t>
      </w:r>
      <w:r w:rsidR="00B3655F" w:rsidRPr="00881B9F">
        <w:t>Ú. v. EÚ L 170, 25. 6. 2019</w:t>
      </w:r>
      <w:r w:rsidR="00B3655F" w:rsidRPr="00881B9F">
        <w:rPr>
          <w:iCs/>
        </w:rPr>
        <w:t>)</w:t>
      </w:r>
      <w:r w:rsidR="00591E4F" w:rsidRPr="00881B9F">
        <w:rPr>
          <w:iCs/>
        </w:rPr>
        <w:t xml:space="preserve"> v platnom znení.</w:t>
      </w:r>
    </w:p>
    <w:p w14:paraId="40A49BB3" w14:textId="0DA8E49E" w:rsidR="00A8192A" w:rsidRPr="00881B9F" w:rsidRDefault="00486C7A" w:rsidP="009E6FE6">
      <w:pPr>
        <w:pStyle w:val="doc-ti"/>
        <w:shd w:val="clear" w:color="auto" w:fill="FFFFFF"/>
        <w:spacing w:before="0" w:beforeAutospacing="0" w:after="0" w:afterAutospacing="0"/>
        <w:ind w:left="284" w:hanging="284"/>
        <w:jc w:val="both"/>
        <w:rPr>
          <w:lang w:eastAsia="cs-CZ"/>
        </w:rPr>
      </w:pPr>
      <w:r w:rsidRPr="00881B9F">
        <w:rPr>
          <w:vertAlign w:val="superscript"/>
        </w:rPr>
        <w:lastRenderedPageBreak/>
        <w:t xml:space="preserve">         </w:t>
      </w:r>
      <w:r w:rsidR="00D50906" w:rsidRPr="00881B9F">
        <w:rPr>
          <w:vertAlign w:val="superscript"/>
        </w:rPr>
        <w:t>1ba</w:t>
      </w:r>
      <w:r w:rsidR="00D50906" w:rsidRPr="00881B9F">
        <w:t>)</w:t>
      </w:r>
      <w:r w:rsidRPr="00881B9F">
        <w:t xml:space="preserve"> </w:t>
      </w:r>
      <w:r w:rsidRPr="00881B9F">
        <w:rPr>
          <w:lang w:eastAsia="cs-CZ"/>
        </w:rPr>
        <w:t>Nariadenie Európskeho parlamentu a Rady (EÚ) 2019/515 z 19. marca 2019 o vzájomnom   uznávaní tovaru, ktorý je v súlade s právnymi predpismi uvedený na trh v inom členskom štáte a o zrušení nariadenia (ES) č. 764/2008</w:t>
      </w:r>
      <w:r w:rsidR="00E02F94" w:rsidRPr="00881B9F">
        <w:rPr>
          <w:lang w:eastAsia="cs-CZ"/>
        </w:rPr>
        <w:t xml:space="preserve"> (</w:t>
      </w:r>
      <w:r w:rsidR="00E02F94" w:rsidRPr="00881B9F">
        <w:rPr>
          <w:iCs/>
          <w:lang w:eastAsia="cs-CZ"/>
        </w:rPr>
        <w:t>Ú. v. EÚ L 91, 29.</w:t>
      </w:r>
      <w:r w:rsidR="00B3655F" w:rsidRPr="00881B9F">
        <w:rPr>
          <w:iCs/>
          <w:lang w:eastAsia="cs-CZ"/>
        </w:rPr>
        <w:t xml:space="preserve"> </w:t>
      </w:r>
      <w:r w:rsidR="00E02F94" w:rsidRPr="00881B9F">
        <w:rPr>
          <w:iCs/>
          <w:lang w:eastAsia="cs-CZ"/>
        </w:rPr>
        <w:t>3.</w:t>
      </w:r>
      <w:r w:rsidR="00B3655F" w:rsidRPr="00881B9F">
        <w:rPr>
          <w:iCs/>
          <w:lang w:eastAsia="cs-CZ"/>
        </w:rPr>
        <w:t xml:space="preserve"> </w:t>
      </w:r>
      <w:r w:rsidR="00E02F94" w:rsidRPr="00881B9F">
        <w:rPr>
          <w:iCs/>
          <w:lang w:eastAsia="cs-CZ"/>
        </w:rPr>
        <w:t>2019)</w:t>
      </w:r>
      <w:r w:rsidR="00221E14" w:rsidRPr="00881B9F">
        <w:rPr>
          <w:lang w:eastAsia="cs-CZ"/>
        </w:rPr>
        <w:t>.</w:t>
      </w:r>
    </w:p>
    <w:p w14:paraId="23574775" w14:textId="2C75DC90" w:rsidR="00F3485E" w:rsidRPr="00881B9F" w:rsidRDefault="00F3485E" w:rsidP="00F3485E">
      <w:pPr>
        <w:pStyle w:val="doc-ti"/>
        <w:shd w:val="clear" w:color="auto" w:fill="FFFFFF"/>
        <w:spacing w:before="0" w:beforeAutospacing="0" w:after="0" w:afterAutospacing="0"/>
        <w:ind w:left="284"/>
        <w:jc w:val="both"/>
        <w:rPr>
          <w:lang w:eastAsia="cs-CZ"/>
        </w:rPr>
      </w:pPr>
      <w:r w:rsidRPr="00881B9F">
        <w:rPr>
          <w:vertAlign w:val="superscript"/>
          <w:lang w:eastAsia="cs-CZ"/>
        </w:rPr>
        <w:t>1bb</w:t>
      </w:r>
      <w:r w:rsidRPr="00881B9F">
        <w:rPr>
          <w:lang w:eastAsia="cs-CZ"/>
        </w:rPr>
        <w:t xml:space="preserve">) </w:t>
      </w:r>
      <w:r w:rsidR="00E17091" w:rsidRPr="00881B9F">
        <w:rPr>
          <w:lang w:eastAsia="cs-CZ"/>
        </w:rPr>
        <w:t>Čl.</w:t>
      </w:r>
      <w:r w:rsidR="003E047A" w:rsidRPr="00881B9F">
        <w:rPr>
          <w:lang w:eastAsia="cs-CZ"/>
        </w:rPr>
        <w:t xml:space="preserve"> 3 bod </w:t>
      </w:r>
      <w:r w:rsidRPr="00881B9F">
        <w:rPr>
          <w:lang w:eastAsia="cs-CZ"/>
        </w:rPr>
        <w:t xml:space="preserve">2 </w:t>
      </w:r>
      <w:r w:rsidR="00E17091" w:rsidRPr="00881B9F">
        <w:rPr>
          <w:lang w:eastAsia="cs-CZ"/>
        </w:rPr>
        <w:t>nariadenia (EÚ) 2019/515.</w:t>
      </w:r>
    </w:p>
    <w:p w14:paraId="044B7C6E" w14:textId="3181823B" w:rsidR="00E17091" w:rsidRPr="00881B9F" w:rsidRDefault="00E17091" w:rsidP="00F3485E">
      <w:pPr>
        <w:pStyle w:val="doc-ti"/>
        <w:shd w:val="clear" w:color="auto" w:fill="FFFFFF"/>
        <w:spacing w:before="0" w:beforeAutospacing="0" w:after="0" w:afterAutospacing="0"/>
        <w:ind w:left="284"/>
        <w:jc w:val="both"/>
        <w:rPr>
          <w:lang w:eastAsia="cs-CZ"/>
        </w:rPr>
      </w:pPr>
      <w:r w:rsidRPr="00881B9F">
        <w:rPr>
          <w:lang w:eastAsia="cs-CZ"/>
        </w:rPr>
        <w:t xml:space="preserve">Čl. 2 bod 9 a 10 </w:t>
      </w:r>
      <w:r w:rsidRPr="00881B9F">
        <w:t>nariadenia (EÚ) 2019/1009 v platnom znení</w:t>
      </w:r>
      <w:r w:rsidR="005A5AE2">
        <w:t>.</w:t>
      </w:r>
      <w:r w:rsidRPr="00881B9F">
        <w:t xml:space="preserve">“. </w:t>
      </w:r>
    </w:p>
    <w:p w14:paraId="42908D85" w14:textId="0F23E8BC" w:rsidR="009F37AA" w:rsidRPr="00881B9F" w:rsidRDefault="009F37AA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i/>
          <w:lang w:eastAsia="en-US"/>
        </w:rPr>
      </w:pPr>
    </w:p>
    <w:p w14:paraId="02B3482A" w14:textId="7A6FAD1A" w:rsidR="00827335" w:rsidRPr="00881B9F" w:rsidRDefault="00116E9A" w:rsidP="00CD6E09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3a</w:t>
      </w:r>
      <w:r w:rsidR="00BF4E28" w:rsidRPr="00881B9F">
        <w:t xml:space="preserve"> </w:t>
      </w:r>
      <w:r w:rsidRPr="00881B9F">
        <w:t>ods. 1  prvej vete</w:t>
      </w:r>
      <w:r w:rsidR="00BF1355" w:rsidRPr="00881B9F">
        <w:t xml:space="preserve"> sa bodka na konci nahrádza bodkočiarkou a pripájajú sa tieto slová: </w:t>
      </w:r>
      <w:r w:rsidR="00426733" w:rsidRPr="00881B9F">
        <w:t xml:space="preserve">                 </w:t>
      </w:r>
      <w:r w:rsidR="00BF1355" w:rsidRPr="00881B9F">
        <w:t>„</w:t>
      </w:r>
      <w:r w:rsidR="00426733" w:rsidRPr="00881B9F">
        <w:t>zmenou</w:t>
      </w:r>
      <w:r w:rsidR="00BF1355" w:rsidRPr="00881B9F">
        <w:t xml:space="preserve"> výrobných podmienok </w:t>
      </w:r>
      <w:r w:rsidR="00426733" w:rsidRPr="00881B9F">
        <w:t xml:space="preserve">je </w:t>
      </w:r>
      <w:r w:rsidR="00BF1355" w:rsidRPr="00881B9F">
        <w:t>aj zmena vstupných surovín vrátane ich dodávateľa</w:t>
      </w:r>
      <w:r w:rsidR="0014591B" w:rsidRPr="00881B9F">
        <w:t>.</w:t>
      </w:r>
      <w:r w:rsidR="00BF1355" w:rsidRPr="00881B9F">
        <w:t>“.</w:t>
      </w:r>
      <w:r w:rsidR="00BF1355" w:rsidRPr="00881B9F">
        <w:rPr>
          <w:color w:val="494949"/>
          <w:shd w:val="clear" w:color="auto" w:fill="FFFFFF"/>
        </w:rPr>
        <w:t xml:space="preserve"> </w:t>
      </w:r>
      <w:r w:rsidR="00BF1355" w:rsidRPr="00881B9F">
        <w:t xml:space="preserve"> </w:t>
      </w:r>
    </w:p>
    <w:p w14:paraId="2E1C6361" w14:textId="77777777" w:rsidR="00BF1355" w:rsidRPr="00881B9F" w:rsidRDefault="00BF1355" w:rsidP="00BF1355">
      <w:pPr>
        <w:pStyle w:val="odsek"/>
        <w:keepNext w:val="0"/>
        <w:widowControl w:val="0"/>
        <w:suppressAutoHyphens/>
        <w:spacing w:before="0" w:after="0"/>
        <w:ind w:left="340" w:firstLine="0"/>
      </w:pPr>
    </w:p>
    <w:p w14:paraId="32E41F04" w14:textId="142784BF" w:rsidR="00D51817" w:rsidRPr="00881B9F" w:rsidRDefault="00785BB3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§ 3a sa dopĺňa odsekmi</w:t>
      </w:r>
      <w:r w:rsidR="00D51817" w:rsidRPr="00881B9F">
        <w:t xml:space="preserve"> 6</w:t>
      </w:r>
      <w:r w:rsidRPr="00881B9F">
        <w:t xml:space="preserve"> a 7, ktoré znejú</w:t>
      </w:r>
      <w:r w:rsidR="00D51817" w:rsidRPr="00881B9F">
        <w:t>:</w:t>
      </w:r>
    </w:p>
    <w:p w14:paraId="7486B94A" w14:textId="77777777" w:rsidR="005A684F" w:rsidRPr="00881B9F" w:rsidRDefault="005A684F" w:rsidP="00827335">
      <w:pPr>
        <w:pStyle w:val="odsek"/>
        <w:keepNext w:val="0"/>
        <w:widowControl w:val="0"/>
        <w:suppressAutoHyphens/>
        <w:spacing w:before="0" w:after="0"/>
        <w:ind w:left="284" w:firstLine="0"/>
      </w:pPr>
    </w:p>
    <w:p w14:paraId="6F7F3EBF" w14:textId="59B07886" w:rsidR="00766780" w:rsidRPr="00881B9F" w:rsidRDefault="004D3939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„</w:t>
      </w:r>
      <w:r w:rsidR="00A57E46" w:rsidRPr="00881B9F">
        <w:t xml:space="preserve">(6) Producent sekundárneho zdroja živín a producent kompostu, ktorý </w:t>
      </w:r>
      <w:r w:rsidR="008A4DF9" w:rsidRPr="00881B9F">
        <w:t xml:space="preserve">zapracoval do vyprodukovaného sekundárneho zdroja živín alebo </w:t>
      </w:r>
      <w:r w:rsidR="00CF679E">
        <w:t xml:space="preserve">do </w:t>
      </w:r>
      <w:r w:rsidR="008A4DF9" w:rsidRPr="00881B9F">
        <w:t xml:space="preserve">kompostu </w:t>
      </w:r>
      <w:r w:rsidR="00A57E46" w:rsidRPr="00881B9F">
        <w:t xml:space="preserve">čistiarenský kal, </w:t>
      </w:r>
      <w:r w:rsidR="008A4DF9" w:rsidRPr="00881B9F">
        <w:t xml:space="preserve">je povinný, </w:t>
      </w:r>
      <w:r w:rsidR="00A57E46" w:rsidRPr="00881B9F">
        <w:t xml:space="preserve">bez ohľadu na vyrobené množstvo </w:t>
      </w:r>
      <w:r w:rsidR="008A4DF9" w:rsidRPr="00881B9F">
        <w:t xml:space="preserve">sekundárneho zdroja živín alebo kompostu, </w:t>
      </w:r>
      <w:r w:rsidR="00A57E46" w:rsidRPr="00881B9F">
        <w:t xml:space="preserve">zaslať kontrolnému ústavu každoročne do 15. februára hlásenie o celkovom </w:t>
      </w:r>
      <w:r w:rsidR="002B3D4E" w:rsidRPr="00881B9F">
        <w:t xml:space="preserve">vyprodukovanom </w:t>
      </w:r>
      <w:r w:rsidR="00A57E46" w:rsidRPr="00881B9F">
        <w:t>množstve</w:t>
      </w:r>
      <w:r w:rsidR="006008E4" w:rsidRPr="00881B9F">
        <w:t xml:space="preserve"> a zložení </w:t>
      </w:r>
      <w:r w:rsidR="00A57E46" w:rsidRPr="00881B9F">
        <w:t xml:space="preserve"> sekundárnych zdrojov živín a</w:t>
      </w:r>
      <w:r w:rsidR="008A4DF9" w:rsidRPr="00881B9F">
        <w:t> </w:t>
      </w:r>
      <w:r w:rsidR="00A57E46" w:rsidRPr="00881B9F">
        <w:t>kompostov</w:t>
      </w:r>
      <w:r w:rsidR="006008E4" w:rsidRPr="00881B9F">
        <w:t xml:space="preserve"> podľa druhu </w:t>
      </w:r>
      <w:r w:rsidR="001458C7" w:rsidRPr="00881B9F">
        <w:t xml:space="preserve">a </w:t>
      </w:r>
      <w:r w:rsidR="006008E4" w:rsidRPr="00881B9F">
        <w:t xml:space="preserve">odberateľov </w:t>
      </w:r>
      <w:r w:rsidR="00A44786" w:rsidRPr="00881B9F">
        <w:t xml:space="preserve">a o </w:t>
      </w:r>
      <w:r w:rsidR="002B3D4E" w:rsidRPr="00881B9F">
        <w:t>množstve spracovaného čistiarenského kalu</w:t>
      </w:r>
      <w:r w:rsidR="00A57E46" w:rsidRPr="00881B9F">
        <w:t xml:space="preserve"> za </w:t>
      </w:r>
      <w:r w:rsidR="00785BB3" w:rsidRPr="00881B9F">
        <w:t>predchádzajúci kalendárny rok.</w:t>
      </w:r>
    </w:p>
    <w:p w14:paraId="7D95065B" w14:textId="179EE101" w:rsidR="00785BB3" w:rsidRPr="00881B9F" w:rsidRDefault="00785BB3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</w:p>
    <w:p w14:paraId="452AAB4B" w14:textId="01138707" w:rsidR="00785BB3" w:rsidRPr="00881B9F" w:rsidRDefault="00785BB3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(7) Producent sekundárneho zdroja živín a producent kompostu zasiela hlásenie podľa odsekov 5 a 6 kontrolnému ústavu formou elektronického podania na formulári zverejnenom na webovom sídle kontrolného ústavu.“.</w:t>
      </w:r>
    </w:p>
    <w:p w14:paraId="7F9710C1" w14:textId="77777777" w:rsidR="00D841AA" w:rsidRPr="00881B9F" w:rsidRDefault="00D841AA" w:rsidP="00D8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AC78E" w14:textId="6F72357D" w:rsidR="004F3D69" w:rsidRPr="00881B9F" w:rsidRDefault="004F3D69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5 ods. 1 sa vypúšťajú slová „alebo splnomocneného zástupcu</w:t>
      </w:r>
      <w:r w:rsidR="00E43EF7" w:rsidRPr="00881B9F">
        <w:t xml:space="preserve"> výrobcu</w:t>
      </w:r>
      <w:r w:rsidRPr="00881B9F">
        <w:t>“.</w:t>
      </w:r>
    </w:p>
    <w:p w14:paraId="58766DC6" w14:textId="77777777" w:rsidR="00827335" w:rsidRPr="00881B9F" w:rsidRDefault="00827335" w:rsidP="0082733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5E20F1" w14:textId="77777777" w:rsidR="004F3D69" w:rsidRPr="00881B9F" w:rsidRDefault="004F3D69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5 ods. </w:t>
      </w:r>
      <w:r w:rsidR="00DA3521" w:rsidRPr="00881B9F">
        <w:t xml:space="preserve">3 a </w:t>
      </w:r>
      <w:r w:rsidRPr="00881B9F">
        <w:t>5 sa za slov</w:t>
      </w:r>
      <w:r w:rsidR="00905997" w:rsidRPr="00881B9F">
        <w:t>o</w:t>
      </w:r>
      <w:r w:rsidRPr="00881B9F">
        <w:t xml:space="preserve"> „doručenia“ vkladá slovo „kompletnej“.</w:t>
      </w:r>
    </w:p>
    <w:p w14:paraId="0022997E" w14:textId="77777777" w:rsidR="00827335" w:rsidRPr="00881B9F" w:rsidRDefault="00827335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2561" w14:textId="77777777" w:rsidR="00A2073A" w:rsidRPr="00881B9F" w:rsidRDefault="00A2073A" w:rsidP="0038753D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8 ods. 1 písm. c) sa </w:t>
      </w:r>
      <w:r w:rsidR="005D7AE1" w:rsidRPr="00881B9F">
        <w:t xml:space="preserve">za slovom </w:t>
      </w:r>
      <w:r w:rsidR="00DD6E66" w:rsidRPr="00881B9F">
        <w:t>„</w:t>
      </w:r>
      <w:r w:rsidR="005D7AE1" w:rsidRPr="00881B9F">
        <w:t>hnojiva</w:t>
      </w:r>
      <w:r w:rsidR="00DD6E66" w:rsidRPr="00881B9F">
        <w:t>“</w:t>
      </w:r>
      <w:r w:rsidR="005D7AE1" w:rsidRPr="00881B9F">
        <w:t xml:space="preserve"> vypúšťa čiarka a </w:t>
      </w:r>
      <w:r w:rsidRPr="00881B9F">
        <w:lastRenderedPageBreak/>
        <w:t>slová „ak nejde o hnojivo označené slovami „Hnojivo ES“</w:t>
      </w:r>
      <w:r w:rsidR="00DD6E66" w:rsidRPr="00881B9F">
        <w:t xml:space="preserve"> “</w:t>
      </w:r>
      <w:r w:rsidRPr="00881B9F">
        <w:t>.</w:t>
      </w:r>
    </w:p>
    <w:p w14:paraId="7211D354" w14:textId="77777777" w:rsidR="00455A12" w:rsidRPr="00881B9F" w:rsidRDefault="00455A12" w:rsidP="0082733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0E5249E" w14:textId="77777777" w:rsidR="00455A12" w:rsidRPr="00881B9F" w:rsidRDefault="00455A12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8 odsek 5 znie: </w:t>
      </w:r>
    </w:p>
    <w:p w14:paraId="61BA98D7" w14:textId="77777777" w:rsidR="005D7AE1" w:rsidRPr="00881B9F" w:rsidRDefault="005D7AE1" w:rsidP="0082733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8648F8" w14:textId="58B4E96C" w:rsidR="00455A12" w:rsidRPr="00881B9F" w:rsidRDefault="005D7AE1" w:rsidP="0082733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„</w:t>
      </w:r>
      <w:r w:rsidR="00455A12" w:rsidRPr="00881B9F">
        <w:rPr>
          <w:rFonts w:ascii="Times New Roman" w:hAnsi="Times New Roman"/>
          <w:sz w:val="24"/>
          <w:szCs w:val="24"/>
        </w:rPr>
        <w:t xml:space="preserve">(5) </w:t>
      </w:r>
      <w:r w:rsidR="003C2C07" w:rsidRPr="00881B9F">
        <w:rPr>
          <w:rFonts w:ascii="Times New Roman" w:hAnsi="Times New Roman"/>
          <w:sz w:val="24"/>
          <w:szCs w:val="24"/>
        </w:rPr>
        <w:t>Hnojivo, ktorým je EÚ</w:t>
      </w:r>
      <w:r w:rsidR="00EB125C" w:rsidRPr="00881B9F">
        <w:rPr>
          <w:rFonts w:ascii="Times New Roman" w:hAnsi="Times New Roman"/>
          <w:sz w:val="24"/>
          <w:szCs w:val="24"/>
        </w:rPr>
        <w:t xml:space="preserve"> produkt </w:t>
      </w:r>
      <w:r w:rsidR="00302D21" w:rsidRPr="00881B9F">
        <w:rPr>
          <w:rFonts w:ascii="Times New Roman" w:hAnsi="Times New Roman"/>
          <w:sz w:val="24"/>
          <w:szCs w:val="24"/>
        </w:rPr>
        <w:t>na hnojenie</w:t>
      </w:r>
      <w:r w:rsidR="00827335" w:rsidRPr="00881B9F">
        <w:rPr>
          <w:rFonts w:ascii="Times New Roman" w:hAnsi="Times New Roman"/>
          <w:sz w:val="24"/>
          <w:szCs w:val="24"/>
        </w:rPr>
        <w:t>,</w:t>
      </w:r>
      <w:r w:rsidR="00EB125C" w:rsidRPr="00881B9F">
        <w:rPr>
          <w:rFonts w:ascii="Times New Roman" w:hAnsi="Times New Roman"/>
          <w:sz w:val="24"/>
          <w:szCs w:val="24"/>
        </w:rPr>
        <w:t xml:space="preserve"> sa označuje a balí podľa podmienok a požiadaviek, ktoré ustanovuje </w:t>
      </w:r>
      <w:r w:rsidR="00D42D80" w:rsidRPr="00881B9F">
        <w:rPr>
          <w:rFonts w:ascii="Times New Roman" w:hAnsi="Times New Roman"/>
          <w:sz w:val="24"/>
          <w:szCs w:val="24"/>
        </w:rPr>
        <w:t>osobitný predpis.</w:t>
      </w:r>
      <w:r w:rsidR="00224BF9" w:rsidRPr="00881B9F">
        <w:rPr>
          <w:rFonts w:ascii="Times New Roman" w:hAnsi="Times New Roman"/>
          <w:sz w:val="24"/>
          <w:szCs w:val="24"/>
          <w:vertAlign w:val="superscript"/>
        </w:rPr>
        <w:t>6</w:t>
      </w:r>
      <w:r w:rsidR="00224BF9" w:rsidRPr="00881B9F">
        <w:rPr>
          <w:rFonts w:ascii="Times New Roman" w:hAnsi="Times New Roman"/>
          <w:sz w:val="24"/>
          <w:szCs w:val="24"/>
        </w:rPr>
        <w:t>)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14:paraId="10AA3C45" w14:textId="77777777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firstLine="0"/>
      </w:pPr>
    </w:p>
    <w:p w14:paraId="6DD6E54D" w14:textId="77777777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6 znie: </w:t>
      </w:r>
    </w:p>
    <w:p w14:paraId="6827AAB0" w14:textId="328DA188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„</w:t>
      </w:r>
      <w:r w:rsidRPr="00881B9F">
        <w:rPr>
          <w:rFonts w:eastAsia="Calibri"/>
          <w:vertAlign w:val="superscript"/>
          <w:lang w:eastAsia="en-US"/>
        </w:rPr>
        <w:t>6</w:t>
      </w:r>
      <w:r w:rsidRPr="00881B9F">
        <w:rPr>
          <w:rFonts w:eastAsia="Calibri"/>
          <w:lang w:eastAsia="en-US"/>
        </w:rPr>
        <w:t xml:space="preserve">) Kapitola II </w:t>
      </w:r>
      <w:r w:rsidR="00EB125C" w:rsidRPr="00881B9F">
        <w:rPr>
          <w:rFonts w:eastAsia="Calibri"/>
          <w:lang w:eastAsia="en-US"/>
        </w:rPr>
        <w:t xml:space="preserve">a čl. 17 a 18 </w:t>
      </w:r>
      <w:r w:rsidRPr="00881B9F">
        <w:t>nariadenia (EÚ) 2019/1009</w:t>
      </w:r>
      <w:r w:rsidR="00D07DF4" w:rsidRPr="00881B9F">
        <w:t xml:space="preserve"> v platnom znení</w:t>
      </w:r>
      <w:r w:rsidRPr="00881B9F">
        <w:t>.“.</w:t>
      </w:r>
    </w:p>
    <w:p w14:paraId="54CC1B8C" w14:textId="77777777" w:rsidR="009E25AB" w:rsidRPr="00881B9F" w:rsidRDefault="009E25AB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5499C22" w14:textId="78024B74" w:rsidR="0038753D" w:rsidRPr="00881B9F" w:rsidRDefault="0038753D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 Nadpis § 8a znie: „Ohlasovacia pov</w:t>
      </w:r>
      <w:r w:rsidR="003C2C07" w:rsidRPr="00881B9F">
        <w:rPr>
          <w:rFonts w:eastAsia="Calibri"/>
          <w:lang w:eastAsia="en-US"/>
        </w:rPr>
        <w:t>innosť pre hnojivo, ktorým je EÚ</w:t>
      </w:r>
      <w:r w:rsidRPr="00881B9F">
        <w:rPr>
          <w:rFonts w:eastAsia="Calibri"/>
          <w:lang w:eastAsia="en-US"/>
        </w:rPr>
        <w:t xml:space="preserve"> produkt na hnojenie“. </w:t>
      </w:r>
    </w:p>
    <w:p w14:paraId="63F788C2" w14:textId="77777777" w:rsidR="0095564B" w:rsidRPr="00881B9F" w:rsidRDefault="0095564B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2A467476" w14:textId="439DA1C5" w:rsidR="007B0D71" w:rsidRPr="00881B9F" w:rsidRDefault="0095564B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rPr>
          <w:rFonts w:eastAsia="Calibri"/>
          <w:lang w:eastAsia="en-US"/>
        </w:rPr>
        <w:t xml:space="preserve">V § 8a </w:t>
      </w:r>
      <w:r w:rsidR="0038753D" w:rsidRPr="00881B9F">
        <w:rPr>
          <w:rFonts w:eastAsia="Calibri"/>
          <w:lang w:eastAsia="en-US"/>
        </w:rPr>
        <w:t xml:space="preserve">prvej vete </w:t>
      </w:r>
      <w:r w:rsidR="00254233" w:rsidRPr="00881B9F">
        <w:rPr>
          <w:rFonts w:eastAsia="Calibri"/>
          <w:lang w:eastAsia="en-US"/>
        </w:rPr>
        <w:t>sa slová „hnojivo s označením „Hnojivo ES“</w:t>
      </w:r>
      <w:r w:rsidR="00DD6E66" w:rsidRPr="00881B9F">
        <w:rPr>
          <w:rFonts w:eastAsia="Calibri"/>
          <w:lang w:eastAsia="en-US"/>
        </w:rPr>
        <w:t xml:space="preserve"> “ </w:t>
      </w:r>
      <w:r w:rsidR="00254233" w:rsidRPr="00881B9F">
        <w:rPr>
          <w:rFonts w:eastAsia="Calibri"/>
          <w:lang w:eastAsia="en-US"/>
        </w:rPr>
        <w:t>nahrádzaj</w:t>
      </w:r>
      <w:r w:rsidR="003C2C07" w:rsidRPr="00881B9F">
        <w:rPr>
          <w:rFonts w:eastAsia="Calibri"/>
          <w:lang w:eastAsia="en-US"/>
        </w:rPr>
        <w:t>ú slovami „hnojivo, ktorým je EÚ</w:t>
      </w:r>
      <w:r w:rsidR="00254233" w:rsidRPr="00881B9F">
        <w:rPr>
          <w:rFonts w:eastAsia="Calibri"/>
          <w:lang w:eastAsia="en-US"/>
        </w:rPr>
        <w:t xml:space="preserve"> produkt na hnojenie,“, </w:t>
      </w:r>
      <w:r w:rsidR="001651F6" w:rsidRPr="00881B9F">
        <w:rPr>
          <w:rFonts w:eastAsia="Calibri"/>
          <w:lang w:eastAsia="en-US"/>
        </w:rPr>
        <w:t>nad slovo „type</w:t>
      </w:r>
      <w:r w:rsidR="00364A21" w:rsidRPr="00881B9F">
        <w:rPr>
          <w:rFonts w:eastAsia="Calibri"/>
          <w:lang w:eastAsia="en-US"/>
        </w:rPr>
        <w:t>,</w:t>
      </w:r>
      <w:r w:rsidR="00AB781D" w:rsidRPr="00881B9F">
        <w:rPr>
          <w:rFonts w:eastAsia="Calibri"/>
          <w:lang w:eastAsia="en-US"/>
        </w:rPr>
        <w:t>“</w:t>
      </w:r>
      <w:r w:rsidR="00BD0C39" w:rsidRPr="00881B9F">
        <w:rPr>
          <w:rFonts w:eastAsia="Calibri"/>
          <w:lang w:eastAsia="en-US"/>
        </w:rPr>
        <w:t xml:space="preserve"> sa</w:t>
      </w:r>
      <w:r w:rsidR="004A3BED" w:rsidRPr="00881B9F">
        <w:rPr>
          <w:rFonts w:eastAsia="Calibri"/>
          <w:lang w:eastAsia="en-US"/>
        </w:rPr>
        <w:t xml:space="preserve"> umiestňuje odkaz 6a</w:t>
      </w:r>
      <w:r w:rsidR="00AB781D" w:rsidRPr="00881B9F">
        <w:rPr>
          <w:rFonts w:eastAsia="Calibri"/>
          <w:lang w:eastAsia="en-US"/>
        </w:rPr>
        <w:t xml:space="preserve"> a </w:t>
      </w:r>
      <w:r w:rsidR="00364A21" w:rsidRPr="00881B9F">
        <w:rPr>
          <w:rFonts w:eastAsia="Calibri"/>
          <w:lang w:eastAsia="en-US"/>
        </w:rPr>
        <w:t>za slovami</w:t>
      </w:r>
      <w:r w:rsidR="00AB781D" w:rsidRPr="00881B9F">
        <w:rPr>
          <w:rFonts w:eastAsia="Calibri"/>
          <w:lang w:eastAsia="en-US"/>
        </w:rPr>
        <w:t xml:space="preserve"> </w:t>
      </w:r>
      <w:r w:rsidR="007B0D71" w:rsidRPr="00881B9F">
        <w:rPr>
          <w:rFonts w:eastAsia="Calibri"/>
          <w:lang w:eastAsia="en-US"/>
        </w:rPr>
        <w:t>„</w:t>
      </w:r>
      <w:r w:rsidR="00364A21" w:rsidRPr="00881B9F">
        <w:rPr>
          <w:rFonts w:eastAsia="Calibri"/>
          <w:lang w:eastAsia="en-US"/>
        </w:rPr>
        <w:t>tohto hnojiva</w:t>
      </w:r>
      <w:r w:rsidR="007B0D71" w:rsidRPr="00881B9F">
        <w:rPr>
          <w:rFonts w:eastAsia="Calibri"/>
          <w:lang w:eastAsia="en-US"/>
        </w:rPr>
        <w:t xml:space="preserve">“ </w:t>
      </w:r>
      <w:r w:rsidR="00BD0C39" w:rsidRPr="00881B9F">
        <w:rPr>
          <w:rFonts w:eastAsia="Calibri"/>
          <w:lang w:eastAsia="en-US"/>
        </w:rPr>
        <w:t>sa vkladajú</w:t>
      </w:r>
      <w:r w:rsidR="007B0D71" w:rsidRPr="00881B9F">
        <w:rPr>
          <w:rFonts w:eastAsia="Calibri"/>
          <w:lang w:eastAsia="en-US"/>
        </w:rPr>
        <w:t xml:space="preserve"> slová „spolu s etiketou alebo prí</w:t>
      </w:r>
      <w:r w:rsidR="00827335" w:rsidRPr="00881B9F">
        <w:rPr>
          <w:rFonts w:eastAsia="Calibri"/>
          <w:lang w:eastAsia="en-US"/>
        </w:rPr>
        <w:t>balovým letákom“ a </w:t>
      </w:r>
      <w:r w:rsidR="007B0D71" w:rsidRPr="00881B9F">
        <w:rPr>
          <w:rFonts w:eastAsia="Calibri"/>
          <w:lang w:eastAsia="en-US"/>
        </w:rPr>
        <w:t xml:space="preserve">v druhej vete </w:t>
      </w:r>
      <w:r w:rsidR="00AB781D" w:rsidRPr="00881B9F">
        <w:rPr>
          <w:rFonts w:eastAsia="Calibri"/>
          <w:lang w:eastAsia="en-US"/>
        </w:rPr>
        <w:t xml:space="preserve">sa </w:t>
      </w:r>
      <w:r w:rsidR="007B0D71" w:rsidRPr="00881B9F">
        <w:rPr>
          <w:rFonts w:eastAsia="Calibri"/>
          <w:lang w:eastAsia="en-US"/>
        </w:rPr>
        <w:t xml:space="preserve">za slovo „uvádzajú“ vkladá slovo „toto“.  </w:t>
      </w:r>
    </w:p>
    <w:p w14:paraId="6BEEA19D" w14:textId="77777777" w:rsidR="00360885" w:rsidRPr="00881B9F" w:rsidRDefault="00360885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CBB0091" w14:textId="77777777" w:rsidR="00AB781D" w:rsidRPr="00881B9F" w:rsidRDefault="00AB781D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6a znie: </w:t>
      </w:r>
    </w:p>
    <w:p w14:paraId="6D119051" w14:textId="2EC3BB8D" w:rsidR="00AB781D" w:rsidRPr="00881B9F" w:rsidRDefault="00AB781D" w:rsidP="00827335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„</w:t>
      </w:r>
      <w:r w:rsidRPr="00881B9F">
        <w:rPr>
          <w:rFonts w:eastAsia="Calibri"/>
          <w:vertAlign w:val="superscript"/>
          <w:lang w:eastAsia="en-US"/>
        </w:rPr>
        <w:t>6a</w:t>
      </w:r>
      <w:r w:rsidRPr="00881B9F">
        <w:rPr>
          <w:rFonts w:eastAsia="Calibri"/>
          <w:lang w:eastAsia="en-US"/>
        </w:rPr>
        <w:t xml:space="preserve">) Príloha I </w:t>
      </w:r>
      <w:r w:rsidRPr="00881B9F">
        <w:t>nariadenia (EÚ) 2019/1009</w:t>
      </w:r>
      <w:r w:rsidR="00D07DF4" w:rsidRPr="00881B9F">
        <w:t xml:space="preserve"> v platnom znení</w:t>
      </w:r>
      <w:r w:rsidRPr="00881B9F">
        <w:t>.</w:t>
      </w:r>
      <w:r w:rsidR="00254233" w:rsidRPr="00881B9F">
        <w:t>“.</w:t>
      </w:r>
    </w:p>
    <w:p w14:paraId="404E34A3" w14:textId="40EF310E" w:rsidR="00364A21" w:rsidRPr="00881B9F" w:rsidRDefault="00364A21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65C72CA" w14:textId="77777777" w:rsidR="009719CB" w:rsidRPr="00881B9F" w:rsidRDefault="0024099B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i/>
        </w:rPr>
      </w:pPr>
      <w:r w:rsidRPr="00881B9F">
        <w:t xml:space="preserve"> V § 9 ods. 1 písm. b) sa za slovo „hnojív“ vkladajú slová „navzájom a“.</w:t>
      </w:r>
    </w:p>
    <w:p w14:paraId="13AC7691" w14:textId="77777777" w:rsidR="00BC49A4" w:rsidRPr="00881B9F" w:rsidRDefault="00BC49A4" w:rsidP="00DB3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D6194" w14:textId="768824B3" w:rsidR="00254233" w:rsidRPr="00881B9F" w:rsidRDefault="00254233" w:rsidP="00254233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10 ods. 1 sa</w:t>
      </w:r>
      <w:r w:rsidR="00D4254B" w:rsidRPr="00881B9F">
        <w:rPr>
          <w:rFonts w:eastAsia="Calibri"/>
          <w:lang w:eastAsia="en-US"/>
        </w:rPr>
        <w:t xml:space="preserve"> slová „hnojivá </w:t>
      </w:r>
      <w:r w:rsidR="001651F6" w:rsidRPr="00881B9F">
        <w:rPr>
          <w:rFonts w:eastAsia="Calibri"/>
          <w:lang w:eastAsia="en-US"/>
        </w:rPr>
        <w:t>označené ako</w:t>
      </w:r>
      <w:r w:rsidRPr="00881B9F">
        <w:rPr>
          <w:rFonts w:eastAsia="Calibri"/>
          <w:lang w:eastAsia="en-US"/>
        </w:rPr>
        <w:t xml:space="preserve"> „Hnojivo </w:t>
      </w:r>
      <w:r w:rsidR="001651F6" w:rsidRPr="00881B9F">
        <w:rPr>
          <w:rFonts w:eastAsia="Calibri"/>
          <w:lang w:eastAsia="en-US"/>
        </w:rPr>
        <w:t>ES“</w:t>
      </w:r>
      <w:r w:rsidR="00F60ACD" w:rsidRPr="00881B9F">
        <w:rPr>
          <w:rFonts w:eastAsia="Calibri"/>
          <w:lang w:eastAsia="en-US"/>
        </w:rPr>
        <w:t xml:space="preserve"> “ </w:t>
      </w:r>
      <w:r w:rsidR="001651F6" w:rsidRPr="00881B9F">
        <w:rPr>
          <w:rFonts w:eastAsia="Calibri"/>
          <w:lang w:eastAsia="en-US"/>
        </w:rPr>
        <w:t>nahrádzajú slovami „hnojivá</w:t>
      </w:r>
      <w:r w:rsidRPr="00881B9F">
        <w:rPr>
          <w:rFonts w:eastAsia="Calibri"/>
          <w:lang w:eastAsia="en-US"/>
        </w:rPr>
        <w:t>, ktorým</w:t>
      </w:r>
      <w:r w:rsidR="001651F6" w:rsidRPr="00881B9F">
        <w:rPr>
          <w:rFonts w:eastAsia="Calibri"/>
          <w:lang w:eastAsia="en-US"/>
        </w:rPr>
        <w:t>i</w:t>
      </w:r>
      <w:r w:rsidR="003C2C07" w:rsidRPr="00881B9F">
        <w:rPr>
          <w:rFonts w:eastAsia="Calibri"/>
          <w:lang w:eastAsia="en-US"/>
        </w:rPr>
        <w:t xml:space="preserve"> je EÚ</w:t>
      </w:r>
      <w:r w:rsidRPr="00881B9F">
        <w:rPr>
          <w:rFonts w:eastAsia="Calibri"/>
          <w:lang w:eastAsia="en-US"/>
        </w:rPr>
        <w:t xml:space="preserve"> pr</w:t>
      </w:r>
      <w:r w:rsidR="005244E0" w:rsidRPr="00881B9F">
        <w:rPr>
          <w:rFonts w:eastAsia="Calibri"/>
          <w:lang w:eastAsia="en-US"/>
        </w:rPr>
        <w:t>odukt na hnojenie</w:t>
      </w:r>
      <w:r w:rsidRPr="00881B9F">
        <w:rPr>
          <w:rFonts w:eastAsia="Calibri"/>
          <w:lang w:eastAsia="en-US"/>
        </w:rPr>
        <w:t>,“.</w:t>
      </w:r>
    </w:p>
    <w:p w14:paraId="65A560DA" w14:textId="77777777" w:rsidR="00254233" w:rsidRPr="00881B9F" w:rsidRDefault="00254233" w:rsidP="0082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1F9E27" w14:textId="49265CC2" w:rsidR="00966AF6" w:rsidRPr="00881B9F" w:rsidRDefault="00793420" w:rsidP="00EE2129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b/>
          <w:lang w:eastAsia="en-US"/>
        </w:rPr>
      </w:pPr>
      <w:r w:rsidRPr="00881B9F">
        <w:rPr>
          <w:rFonts w:eastAsia="Calibri"/>
          <w:lang w:eastAsia="en-US"/>
        </w:rPr>
        <w:t xml:space="preserve">V § 10c ods. 2 </w:t>
      </w:r>
      <w:r w:rsidR="001D17D2" w:rsidRPr="00881B9F">
        <w:rPr>
          <w:rFonts w:eastAsia="Calibri"/>
          <w:lang w:eastAsia="en-US"/>
        </w:rPr>
        <w:t>druhej vete sa za slová „koncom zakázaného obdobia“ vkladajú slová „</w:t>
      </w:r>
      <w:r w:rsidR="00C34A76" w:rsidRPr="00881B9F">
        <w:rPr>
          <w:rFonts w:eastAsia="Calibri"/>
          <w:lang w:eastAsia="en-US"/>
        </w:rPr>
        <w:t xml:space="preserve">alebo, ak ide o ornú pôdu zaradenú do </w:t>
      </w:r>
      <w:r w:rsidR="000E7143" w:rsidRPr="00881B9F">
        <w:rPr>
          <w:rFonts w:eastAsia="Calibri"/>
          <w:lang w:eastAsia="en-US"/>
        </w:rPr>
        <w:t>nízkeho</w:t>
      </w:r>
      <w:r w:rsidR="00873943" w:rsidRPr="00881B9F">
        <w:rPr>
          <w:rFonts w:eastAsia="Calibri"/>
          <w:lang w:eastAsia="en-US"/>
        </w:rPr>
        <w:t xml:space="preserve"> stupňa obmedzenia alebo</w:t>
      </w:r>
      <w:r w:rsidR="000E7143" w:rsidRPr="00881B9F">
        <w:rPr>
          <w:rFonts w:eastAsia="Calibri"/>
          <w:lang w:eastAsia="en-US"/>
        </w:rPr>
        <w:t xml:space="preserve"> stredného stupňa obmedzenia</w:t>
      </w:r>
      <w:r w:rsidR="00C34A76" w:rsidRPr="00881B9F">
        <w:rPr>
          <w:rFonts w:eastAsia="Calibri"/>
          <w:lang w:eastAsia="en-US"/>
        </w:rPr>
        <w:t>,</w:t>
      </w:r>
      <w:r w:rsidR="00752FE4" w:rsidRPr="00881B9F">
        <w:rPr>
          <w:rFonts w:eastAsia="Calibri"/>
          <w:lang w:eastAsia="en-US"/>
        </w:rPr>
        <w:t xml:space="preserve"> </w:t>
      </w:r>
      <w:r w:rsidR="00C34A76" w:rsidRPr="00881B9F">
        <w:rPr>
          <w:rFonts w:eastAsia="Calibri"/>
          <w:lang w:eastAsia="en-US"/>
        </w:rPr>
        <w:t xml:space="preserve">na obdobie 28 dní od začiatku zakázaného obdobia </w:t>
      </w:r>
      <w:r w:rsidR="006D551D" w:rsidRPr="00881B9F">
        <w:rPr>
          <w:rFonts w:eastAsia="Calibri"/>
          <w:lang w:eastAsia="en-US"/>
        </w:rPr>
        <w:t xml:space="preserve">alebo 14 dní pred koncom zakázaného obdobia </w:t>
      </w:r>
      <w:r w:rsidR="00C34A76" w:rsidRPr="00881B9F">
        <w:rPr>
          <w:rFonts w:eastAsia="Calibri"/>
          <w:lang w:eastAsia="en-US"/>
        </w:rPr>
        <w:t xml:space="preserve">pre aplikáciu kvapalných </w:t>
      </w:r>
      <w:r w:rsidR="00C34A76" w:rsidRPr="00881B9F">
        <w:rPr>
          <w:rFonts w:eastAsia="Calibri"/>
          <w:lang w:eastAsia="en-US"/>
        </w:rPr>
        <w:lastRenderedPageBreak/>
        <w:t>hospodárskych hnojív, akýchkoľvek hnojív z chovu hydiny a drobných hospodárskych zvierat, kvapalných hnojivých látok s organicky viazaným dusíkom a priemyseln</w:t>
      </w:r>
      <w:r w:rsidR="00255EC0" w:rsidRPr="00881B9F">
        <w:rPr>
          <w:rFonts w:eastAsia="Calibri"/>
          <w:lang w:eastAsia="en-US"/>
        </w:rPr>
        <w:t>ých</w:t>
      </w:r>
      <w:r w:rsidR="00C34A76" w:rsidRPr="00881B9F">
        <w:rPr>
          <w:rFonts w:eastAsia="Calibri"/>
          <w:lang w:eastAsia="en-US"/>
        </w:rPr>
        <w:t xml:space="preserve"> hnoj</w:t>
      </w:r>
      <w:r w:rsidR="00255EC0" w:rsidRPr="00881B9F">
        <w:rPr>
          <w:rFonts w:eastAsia="Calibri"/>
          <w:lang w:eastAsia="en-US"/>
        </w:rPr>
        <w:t>ív</w:t>
      </w:r>
      <w:r w:rsidR="00C34A76" w:rsidRPr="00881B9F">
        <w:rPr>
          <w:rFonts w:eastAsia="Calibri"/>
          <w:lang w:eastAsia="en-US"/>
        </w:rPr>
        <w:t xml:space="preserve"> s obsahom dusíka</w:t>
      </w:r>
      <w:r w:rsidR="001D17D2" w:rsidRPr="00881B9F">
        <w:rPr>
          <w:rFonts w:eastAsia="Calibri"/>
          <w:lang w:eastAsia="en-US"/>
        </w:rPr>
        <w:t>“.</w:t>
      </w:r>
      <w:r w:rsidR="001C20E5" w:rsidRPr="00881B9F">
        <w:rPr>
          <w:rFonts w:eastAsia="Calibri"/>
          <w:lang w:eastAsia="en-US"/>
        </w:rPr>
        <w:t xml:space="preserve">   </w:t>
      </w:r>
    </w:p>
    <w:p w14:paraId="2A0B0DDC" w14:textId="1C2A66BF" w:rsidR="00966AF6" w:rsidRPr="00881B9F" w:rsidRDefault="00966AF6" w:rsidP="00453B2A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1B23C713" w14:textId="74218A13" w:rsidR="00D35858" w:rsidRPr="00881B9F" w:rsidRDefault="00D35858" w:rsidP="00793420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V § 11 ods. 1 sa nad slovo „prvkami“ a slovo „látkami“ umiestňuje odkaz 7e. </w:t>
      </w:r>
    </w:p>
    <w:p w14:paraId="4698D85A" w14:textId="77777777" w:rsidR="00D35858" w:rsidRPr="00881B9F" w:rsidRDefault="00D35858" w:rsidP="00D35858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</w:p>
    <w:p w14:paraId="70B0D43A" w14:textId="77777777" w:rsidR="00D35858" w:rsidRPr="00881B9F" w:rsidRDefault="00D35858" w:rsidP="00B2738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7e znie: </w:t>
      </w:r>
    </w:p>
    <w:p w14:paraId="37F84F9D" w14:textId="761A34B5" w:rsidR="00AC507B" w:rsidRPr="00881B9F" w:rsidRDefault="00D35858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„</w:t>
      </w:r>
      <w:r w:rsidRPr="00881B9F">
        <w:rPr>
          <w:rFonts w:ascii="Times New Roman" w:hAnsi="Times New Roman"/>
          <w:sz w:val="24"/>
          <w:szCs w:val="24"/>
          <w:vertAlign w:val="superscript"/>
        </w:rPr>
        <w:t>7e</w:t>
      </w:r>
      <w:r w:rsidRPr="00881B9F">
        <w:rPr>
          <w:rFonts w:ascii="Times New Roman" w:hAnsi="Times New Roman"/>
          <w:sz w:val="24"/>
          <w:szCs w:val="24"/>
        </w:rPr>
        <w:t>)</w:t>
      </w:r>
      <w:r w:rsidR="00AC507B" w:rsidRPr="00881B9F">
        <w:rPr>
          <w:rFonts w:ascii="Times New Roman" w:hAnsi="Times New Roman"/>
          <w:sz w:val="24"/>
          <w:szCs w:val="24"/>
        </w:rPr>
        <w:t xml:space="preserve"> § 27 ods. 2 písm. a) </w:t>
      </w:r>
      <w:r w:rsidR="003C066C" w:rsidRPr="00881B9F">
        <w:rPr>
          <w:rFonts w:ascii="Times New Roman" w:hAnsi="Times New Roman"/>
          <w:sz w:val="24"/>
          <w:szCs w:val="24"/>
        </w:rPr>
        <w:t xml:space="preserve">zákona č. 220/2004 Z. z. </w:t>
      </w:r>
      <w:r w:rsidR="00D86227" w:rsidRPr="00881B9F">
        <w:rPr>
          <w:rFonts w:ascii="Times New Roman" w:hAnsi="Times New Roman"/>
          <w:sz w:val="24"/>
          <w:szCs w:val="24"/>
        </w:rPr>
        <w:t xml:space="preserve">o ochrane a využívaní poľnohospodárskej pôdy a o zmene zákona č. 245/2003 Z. z. o integrovanej prevencii a kontrole znečisťovania životného prostredia a o zmene a doplnení niektorých zákonov </w:t>
      </w:r>
      <w:r w:rsidR="003C066C" w:rsidRPr="00881B9F">
        <w:rPr>
          <w:rFonts w:ascii="Times New Roman" w:hAnsi="Times New Roman"/>
          <w:sz w:val="24"/>
          <w:szCs w:val="24"/>
        </w:rPr>
        <w:t>v znení zákona č.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>57/2013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>Z.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 xml:space="preserve">z. </w:t>
      </w:r>
      <w:r w:rsidR="00864700" w:rsidRPr="00881B9F">
        <w:rPr>
          <w:rFonts w:ascii="Times New Roman" w:hAnsi="Times New Roman"/>
          <w:sz w:val="24"/>
          <w:szCs w:val="24"/>
        </w:rPr>
        <w:t xml:space="preserve"> </w:t>
      </w:r>
    </w:p>
    <w:p w14:paraId="4ACAA59D" w14:textId="6DC52221" w:rsidR="006D551D" w:rsidRPr="00881B9F" w:rsidRDefault="00864700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Príloha č. 7</w:t>
      </w:r>
      <w:r w:rsidR="00D35858" w:rsidRP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hAnsi="Times New Roman"/>
          <w:sz w:val="24"/>
          <w:szCs w:val="24"/>
        </w:rPr>
        <w:t>k vyhláške Ministerstva pôdohospodárstva Slovenskej republiky</w:t>
      </w:r>
      <w:r w:rsid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hAnsi="Times New Roman"/>
          <w:sz w:val="24"/>
          <w:szCs w:val="24"/>
        </w:rPr>
        <w:t>č.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508/2004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Z.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z., ktorou sa vykonáva § 27 zákona č. 220/2004 Z. z. o ochrane a využívaní poľnohospodárskej pôdy a o zmene zákona č. 245/2003 Z. z. o integrovanej prevencii a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kontrole znečisťovania životného prostredia a o zmene a doplnení niektorých zákonov v znení vyhlášky č. 59/2013 Z. z.</w:t>
      </w:r>
      <w:r w:rsidR="00A105A2" w:rsidRPr="00881B9F">
        <w:rPr>
          <w:rFonts w:ascii="Times New Roman" w:hAnsi="Times New Roman"/>
          <w:sz w:val="24"/>
          <w:szCs w:val="24"/>
        </w:rPr>
        <w:t>“.</w:t>
      </w:r>
    </w:p>
    <w:p w14:paraId="1B15E72C" w14:textId="6152EBAD" w:rsidR="00DB7C32" w:rsidRPr="002378D1" w:rsidRDefault="00864700" w:rsidP="0023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 xml:space="preserve"> </w:t>
      </w:r>
    </w:p>
    <w:p w14:paraId="5894D171" w14:textId="54DAE8EF" w:rsidR="002A478A" w:rsidRPr="00881B9F" w:rsidRDefault="00A21D29" w:rsidP="002A478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15 ods. 2</w:t>
      </w:r>
      <w:r w:rsidR="00CB734F" w:rsidRPr="00881B9F">
        <w:rPr>
          <w:rFonts w:eastAsia="Calibri"/>
          <w:lang w:eastAsia="en-US"/>
        </w:rPr>
        <w:t xml:space="preserve"> </w:t>
      </w:r>
      <w:r w:rsidR="00A21FF6" w:rsidRPr="00881B9F">
        <w:rPr>
          <w:rFonts w:eastAsia="Calibri"/>
          <w:lang w:eastAsia="en-US"/>
        </w:rPr>
        <w:t xml:space="preserve">písm. e) </w:t>
      </w:r>
      <w:r w:rsidR="00CB734F" w:rsidRPr="00881B9F">
        <w:rPr>
          <w:rFonts w:eastAsia="Calibri"/>
          <w:lang w:eastAsia="en-US"/>
        </w:rPr>
        <w:t>sa slová „</w:t>
      </w:r>
      <w:r w:rsidR="0035702D" w:rsidRPr="00881B9F">
        <w:rPr>
          <w:rFonts w:eastAsia="Calibri"/>
          <w:lang w:eastAsia="en-US"/>
        </w:rPr>
        <w:t xml:space="preserve">uvádza </w:t>
      </w:r>
      <w:r w:rsidR="00CB734F" w:rsidRPr="00881B9F">
        <w:rPr>
          <w:rFonts w:eastAsia="Calibri"/>
          <w:lang w:eastAsia="en-US"/>
        </w:rPr>
        <w:t xml:space="preserve">hnojivo </w:t>
      </w:r>
      <w:r w:rsidR="00453B2A" w:rsidRPr="00881B9F">
        <w:rPr>
          <w:rFonts w:eastAsia="Calibri"/>
          <w:lang w:eastAsia="en-US"/>
        </w:rPr>
        <w:t>s označením</w:t>
      </w:r>
      <w:r w:rsidR="00CB734F" w:rsidRPr="00881B9F">
        <w:rPr>
          <w:rFonts w:eastAsia="Calibri"/>
          <w:lang w:eastAsia="en-US"/>
        </w:rPr>
        <w:t xml:space="preserve"> „Hnojivo ES“ “ nahrádzajú slovami </w:t>
      </w:r>
      <w:r w:rsidR="003C2C07" w:rsidRPr="00881B9F">
        <w:rPr>
          <w:rFonts w:eastAsia="Calibri"/>
          <w:lang w:eastAsia="en-US"/>
        </w:rPr>
        <w:t>„hnojivo, ktorým je EÚ</w:t>
      </w:r>
      <w:r w:rsidR="00CB734F" w:rsidRPr="00881B9F">
        <w:rPr>
          <w:rFonts w:eastAsia="Calibri"/>
          <w:lang w:eastAsia="en-US"/>
        </w:rPr>
        <w:t xml:space="preserve"> pr</w:t>
      </w:r>
      <w:r w:rsidR="00A5127F" w:rsidRPr="00881B9F">
        <w:rPr>
          <w:rFonts w:eastAsia="Calibri"/>
          <w:lang w:eastAsia="en-US"/>
        </w:rPr>
        <w:t>odukt na hnojenie</w:t>
      </w:r>
      <w:r w:rsidR="00CB734F" w:rsidRPr="00881B9F">
        <w:rPr>
          <w:rFonts w:eastAsia="Calibri"/>
          <w:lang w:eastAsia="en-US"/>
        </w:rPr>
        <w:t>,“.</w:t>
      </w:r>
    </w:p>
    <w:p w14:paraId="4C73199D" w14:textId="77777777" w:rsidR="002A478A" w:rsidRPr="00881B9F" w:rsidRDefault="002A478A" w:rsidP="002A478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05465" w14:textId="7A04709C" w:rsidR="002A478A" w:rsidRPr="00881B9F" w:rsidRDefault="00B16F9C" w:rsidP="002A478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 § 15 ods. 2 písm. h) </w:t>
      </w:r>
      <w:r w:rsidR="002A478A" w:rsidRPr="00881B9F">
        <w:rPr>
          <w:rFonts w:eastAsia="Calibri"/>
          <w:lang w:eastAsia="en-US"/>
        </w:rPr>
        <w:t xml:space="preserve">sa </w:t>
      </w:r>
      <w:r w:rsidR="00290E00" w:rsidRPr="00881B9F">
        <w:rPr>
          <w:rFonts w:eastAsia="Calibri"/>
          <w:lang w:eastAsia="en-US"/>
        </w:rPr>
        <w:t>na konci pripájajú tieto slová</w:t>
      </w:r>
      <w:r w:rsidR="000B1D09" w:rsidRPr="00881B9F">
        <w:rPr>
          <w:rFonts w:eastAsia="Calibri"/>
          <w:lang w:eastAsia="en-US"/>
        </w:rPr>
        <w:t>:</w:t>
      </w:r>
      <w:r w:rsidR="002A478A" w:rsidRPr="00881B9F">
        <w:rPr>
          <w:rFonts w:eastAsia="Calibri"/>
          <w:lang w:eastAsia="en-US"/>
        </w:rPr>
        <w:t xml:space="preserve"> „</w:t>
      </w:r>
      <w:r w:rsidR="00290E00" w:rsidRPr="00881B9F">
        <w:rPr>
          <w:rFonts w:eastAsia="Calibri"/>
          <w:lang w:eastAsia="en-US"/>
        </w:rPr>
        <w:t>a</w:t>
      </w:r>
      <w:r w:rsidR="002A478A" w:rsidRPr="00881B9F">
        <w:rPr>
          <w:rFonts w:eastAsia="Calibri"/>
          <w:lang w:eastAsia="en-US"/>
        </w:rPr>
        <w:t xml:space="preserve"> 6“</w:t>
      </w:r>
      <w:r w:rsidR="00290E00" w:rsidRPr="00881B9F">
        <w:rPr>
          <w:rFonts w:eastAsia="Calibri"/>
          <w:lang w:eastAsia="en-US"/>
        </w:rPr>
        <w:t>.</w:t>
      </w:r>
    </w:p>
    <w:p w14:paraId="1B8C4A2A" w14:textId="2F23A43E" w:rsidR="00CB734F" w:rsidRPr="00881B9F" w:rsidRDefault="00CB734F" w:rsidP="002A478A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7005F33D" w14:textId="7C8590AA" w:rsidR="006E6BB4" w:rsidRPr="00881B9F" w:rsidRDefault="002A478A" w:rsidP="006E6BB4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15 ods. 4</w:t>
      </w:r>
      <w:r w:rsidR="006E6BB4" w:rsidRPr="00881B9F">
        <w:rPr>
          <w:rFonts w:eastAsia="Calibri"/>
          <w:lang w:eastAsia="en-US"/>
        </w:rPr>
        <w:t xml:space="preserve"> sa</w:t>
      </w:r>
      <w:r w:rsidR="008B7ED0" w:rsidRPr="00881B9F">
        <w:rPr>
          <w:rFonts w:eastAsia="Calibri"/>
          <w:lang w:eastAsia="en-US"/>
        </w:rPr>
        <w:t xml:space="preserve"> vypúšťajú </w:t>
      </w:r>
      <w:r w:rsidR="006E6BB4" w:rsidRPr="00881B9F">
        <w:rPr>
          <w:rFonts w:eastAsia="Calibri"/>
          <w:lang w:eastAsia="en-US"/>
        </w:rPr>
        <w:t xml:space="preserve">slová </w:t>
      </w:r>
      <w:r w:rsidR="00831F11" w:rsidRPr="00881B9F">
        <w:rPr>
          <w:rFonts w:eastAsia="Calibri"/>
          <w:lang w:eastAsia="en-US"/>
        </w:rPr>
        <w:t>„</w:t>
      </w:r>
      <w:r w:rsidR="00243DDD" w:rsidRPr="00881B9F">
        <w:rPr>
          <w:rFonts w:eastAsia="Calibri"/>
          <w:lang w:eastAsia="en-US"/>
        </w:rPr>
        <w:t xml:space="preserve">alebo </w:t>
      </w:r>
      <w:r w:rsidR="00FC6F10" w:rsidRPr="00881B9F">
        <w:rPr>
          <w:rFonts w:eastAsia="Calibri"/>
          <w:lang w:eastAsia="en-US"/>
        </w:rPr>
        <w:t>hnojivo</w:t>
      </w:r>
      <w:r w:rsidR="006E6BB4" w:rsidRPr="00881B9F">
        <w:rPr>
          <w:rFonts w:eastAsia="Calibri"/>
          <w:lang w:eastAsia="en-US"/>
        </w:rPr>
        <w:t xml:space="preserve"> označené slovami „Hnojivo ES“</w:t>
      </w:r>
      <w:r w:rsidR="00FC6F10" w:rsidRPr="00881B9F">
        <w:rPr>
          <w:rFonts w:eastAsia="Calibri"/>
          <w:lang w:eastAsia="en-US"/>
        </w:rPr>
        <w:t>, ak nespĺňa požiadavky podľa osobitného predpisu</w:t>
      </w:r>
      <w:r w:rsidR="00F60ACD" w:rsidRPr="00881B9F">
        <w:rPr>
          <w:rFonts w:eastAsia="Calibri"/>
          <w:lang w:eastAsia="en-US"/>
        </w:rPr>
        <w:t>,</w:t>
      </w:r>
      <w:r w:rsidR="00FC6F10" w:rsidRPr="00881B9F">
        <w:rPr>
          <w:rFonts w:eastAsia="Calibri"/>
          <w:vertAlign w:val="superscript"/>
          <w:lang w:eastAsia="en-US"/>
        </w:rPr>
        <w:t>1</w:t>
      </w:r>
      <w:r w:rsidR="00DC7DDE">
        <w:rPr>
          <w:rFonts w:eastAsia="Calibri"/>
          <w:vertAlign w:val="superscript"/>
          <w:lang w:eastAsia="en-US"/>
        </w:rPr>
        <w:t>b</w:t>
      </w:r>
      <w:r w:rsidR="00FC6F10" w:rsidRPr="00881B9F">
        <w:rPr>
          <w:rFonts w:eastAsia="Calibri"/>
          <w:lang w:eastAsia="en-US"/>
        </w:rPr>
        <w:t>)</w:t>
      </w:r>
      <w:r w:rsidR="00B27385" w:rsidRPr="00881B9F">
        <w:rPr>
          <w:rFonts w:eastAsia="Calibri"/>
          <w:lang w:eastAsia="en-US"/>
        </w:rPr>
        <w:t>“</w:t>
      </w:r>
      <w:r w:rsidR="001E2AA2" w:rsidRPr="00881B9F">
        <w:rPr>
          <w:rFonts w:eastAsia="Calibri"/>
          <w:lang w:eastAsia="en-US"/>
        </w:rPr>
        <w:t>,</w:t>
      </w:r>
      <w:r w:rsidR="00F60ACD" w:rsidRPr="00881B9F">
        <w:rPr>
          <w:rFonts w:eastAsia="Calibri"/>
          <w:lang w:eastAsia="en-US"/>
        </w:rPr>
        <w:t xml:space="preserve"> </w:t>
      </w:r>
      <w:r w:rsidR="00802C2F" w:rsidRPr="00881B9F">
        <w:rPr>
          <w:rFonts w:eastAsia="Calibri"/>
          <w:lang w:eastAsia="en-US"/>
        </w:rPr>
        <w:t>nad slovom „predpisu“ sa odkaz „</w:t>
      </w:r>
      <w:r w:rsidR="00802C2F" w:rsidRPr="00881B9F">
        <w:rPr>
          <w:rFonts w:eastAsia="Calibri"/>
          <w:vertAlign w:val="superscript"/>
          <w:lang w:eastAsia="en-US"/>
        </w:rPr>
        <w:t>10b</w:t>
      </w:r>
      <w:r w:rsidR="00802C2F" w:rsidRPr="00881B9F">
        <w:rPr>
          <w:rFonts w:eastAsia="Calibri"/>
          <w:lang w:eastAsia="en-US"/>
        </w:rPr>
        <w:t>)</w:t>
      </w:r>
      <w:r w:rsidR="00F60ACD" w:rsidRPr="00881B9F">
        <w:rPr>
          <w:rFonts w:eastAsia="Calibri"/>
          <w:lang w:eastAsia="en-US"/>
        </w:rPr>
        <w:t>“</w:t>
      </w:r>
      <w:r w:rsidR="00802C2F" w:rsidRPr="00881B9F">
        <w:rPr>
          <w:rFonts w:eastAsia="Calibri"/>
          <w:lang w:eastAsia="en-US"/>
        </w:rPr>
        <w:t xml:space="preserve"> nahrádza odkazom </w:t>
      </w:r>
      <w:r w:rsidR="00565A61" w:rsidRPr="00881B9F">
        <w:rPr>
          <w:rFonts w:eastAsia="Calibri"/>
          <w:lang w:eastAsia="en-US"/>
        </w:rPr>
        <w:t>„</w:t>
      </w:r>
      <w:r w:rsidR="00565A61" w:rsidRPr="00881B9F">
        <w:rPr>
          <w:rFonts w:eastAsia="Calibri"/>
          <w:vertAlign w:val="superscript"/>
          <w:lang w:eastAsia="en-US"/>
        </w:rPr>
        <w:t>1ba</w:t>
      </w:r>
      <w:r w:rsidR="00453744" w:rsidRPr="00881B9F">
        <w:rPr>
          <w:rFonts w:eastAsia="Calibri"/>
          <w:lang w:eastAsia="en-US"/>
        </w:rPr>
        <w:t>)</w:t>
      </w:r>
      <w:r w:rsidR="00802C2F" w:rsidRPr="00881B9F">
        <w:rPr>
          <w:rFonts w:eastAsia="Calibri"/>
          <w:lang w:eastAsia="en-US"/>
        </w:rPr>
        <w:t>“</w:t>
      </w:r>
      <w:r w:rsidR="006F44C9" w:rsidRPr="00881B9F">
        <w:rPr>
          <w:rFonts w:eastAsia="Calibri"/>
          <w:lang w:eastAsia="en-US"/>
        </w:rPr>
        <w:t xml:space="preserve"> a na konci sa pripája</w:t>
      </w:r>
      <w:r w:rsidR="00726EBE" w:rsidRPr="00881B9F">
        <w:rPr>
          <w:rFonts w:eastAsia="Calibri"/>
          <w:lang w:eastAsia="en-US"/>
        </w:rPr>
        <w:t xml:space="preserve"> </w:t>
      </w:r>
      <w:r w:rsidR="006F44C9" w:rsidRPr="00881B9F">
        <w:rPr>
          <w:rFonts w:eastAsia="Calibri"/>
          <w:lang w:eastAsia="en-US"/>
        </w:rPr>
        <w:t>táto veta</w:t>
      </w:r>
      <w:r w:rsidR="00302D63" w:rsidRPr="00881B9F">
        <w:rPr>
          <w:rFonts w:eastAsia="Calibri"/>
          <w:lang w:eastAsia="en-US"/>
        </w:rPr>
        <w:t>:</w:t>
      </w:r>
      <w:r w:rsidR="00726EBE" w:rsidRPr="00881B9F">
        <w:rPr>
          <w:rFonts w:eastAsia="Calibri"/>
          <w:lang w:eastAsia="en-US"/>
        </w:rPr>
        <w:t xml:space="preserve"> „</w:t>
      </w:r>
      <w:r w:rsidR="006F44C9" w:rsidRPr="00881B9F">
        <w:rPr>
          <w:rFonts w:eastAsia="Calibri"/>
          <w:lang w:eastAsia="en-US"/>
        </w:rPr>
        <w:t>N</w:t>
      </w:r>
      <w:r w:rsidR="007D745F" w:rsidRPr="00881B9F">
        <w:rPr>
          <w:rFonts w:eastAsia="Calibri"/>
          <w:lang w:eastAsia="en-US"/>
        </w:rPr>
        <w:t>a</w:t>
      </w:r>
      <w:r w:rsidR="003B6D8D" w:rsidRPr="00881B9F">
        <w:rPr>
          <w:rFonts w:eastAsia="Calibri"/>
          <w:lang w:eastAsia="en-US"/>
        </w:rPr>
        <w:t xml:space="preserve"> </w:t>
      </w:r>
      <w:r w:rsidR="007D745F" w:rsidRPr="00881B9F">
        <w:rPr>
          <w:rFonts w:eastAsia="Calibri"/>
          <w:lang w:eastAsia="en-US"/>
        </w:rPr>
        <w:t>ukladanie</w:t>
      </w:r>
      <w:r w:rsidR="003B6D8D" w:rsidRPr="00881B9F">
        <w:rPr>
          <w:rFonts w:eastAsia="Calibri"/>
          <w:lang w:eastAsia="en-US"/>
        </w:rPr>
        <w:t xml:space="preserve"> </w:t>
      </w:r>
      <w:r w:rsidR="00361621" w:rsidRPr="00881B9F">
        <w:rPr>
          <w:rFonts w:eastAsia="Calibri"/>
          <w:lang w:eastAsia="en-US"/>
        </w:rPr>
        <w:t>sankcií</w:t>
      </w:r>
      <w:r w:rsidR="003B6D8D" w:rsidRPr="00881B9F">
        <w:rPr>
          <w:rFonts w:eastAsia="Calibri"/>
          <w:lang w:eastAsia="en-US"/>
        </w:rPr>
        <w:t xml:space="preserve"> </w:t>
      </w:r>
      <w:r w:rsidR="004F1691" w:rsidRPr="00881B9F">
        <w:rPr>
          <w:rFonts w:eastAsia="Calibri"/>
          <w:lang w:eastAsia="en-US"/>
        </w:rPr>
        <w:t xml:space="preserve">za porušenie </w:t>
      </w:r>
      <w:r w:rsidR="003C48AC" w:rsidRPr="00881B9F">
        <w:rPr>
          <w:rFonts w:eastAsia="Calibri"/>
          <w:lang w:eastAsia="en-US"/>
        </w:rPr>
        <w:t>podmienok,  požiadaviek a</w:t>
      </w:r>
      <w:r w:rsidR="00774321" w:rsidRPr="00881B9F">
        <w:rPr>
          <w:rFonts w:eastAsia="Calibri"/>
          <w:lang w:eastAsia="en-US"/>
        </w:rPr>
        <w:t> </w:t>
      </w:r>
      <w:r w:rsidR="003C48AC" w:rsidRPr="00881B9F">
        <w:rPr>
          <w:rFonts w:eastAsia="Calibri"/>
          <w:lang w:eastAsia="en-US"/>
        </w:rPr>
        <w:t>povinností</w:t>
      </w:r>
      <w:r w:rsidR="00774321" w:rsidRPr="00881B9F">
        <w:rPr>
          <w:rFonts w:eastAsia="Calibri"/>
          <w:lang w:eastAsia="en-US"/>
        </w:rPr>
        <w:t xml:space="preserve"> </w:t>
      </w:r>
      <w:r w:rsidR="00EB3617" w:rsidRPr="00881B9F">
        <w:rPr>
          <w:rFonts w:eastAsia="Calibri"/>
          <w:lang w:eastAsia="en-US"/>
        </w:rPr>
        <w:t>podľa osobitného predpisu</w:t>
      </w:r>
      <w:r w:rsidR="00EB3617" w:rsidRPr="00881B9F">
        <w:rPr>
          <w:rFonts w:eastAsia="Calibri"/>
          <w:vertAlign w:val="superscript"/>
          <w:lang w:eastAsia="en-US"/>
        </w:rPr>
        <w:t>1</w:t>
      </w:r>
      <w:r w:rsidR="00D56103" w:rsidRPr="00881B9F">
        <w:rPr>
          <w:rFonts w:eastAsia="Calibri"/>
          <w:vertAlign w:val="superscript"/>
          <w:lang w:eastAsia="en-US"/>
        </w:rPr>
        <w:t>0a</w:t>
      </w:r>
      <w:r w:rsidR="00EB3617" w:rsidRPr="00881B9F">
        <w:rPr>
          <w:rFonts w:eastAsia="Calibri"/>
          <w:lang w:eastAsia="en-US"/>
        </w:rPr>
        <w:t xml:space="preserve">) </w:t>
      </w:r>
      <w:r w:rsidR="00774321" w:rsidRPr="00881B9F">
        <w:rPr>
          <w:rFonts w:eastAsia="Calibri"/>
          <w:lang w:eastAsia="en-US"/>
        </w:rPr>
        <w:t>pri</w:t>
      </w:r>
      <w:r w:rsidR="003C48AC" w:rsidRPr="00881B9F">
        <w:rPr>
          <w:rFonts w:eastAsia="Calibri"/>
          <w:lang w:eastAsia="en-US"/>
        </w:rPr>
        <w:t xml:space="preserve"> </w:t>
      </w:r>
      <w:r w:rsidR="009904B9" w:rsidRPr="00881B9F">
        <w:rPr>
          <w:rFonts w:eastAsia="Calibri"/>
          <w:lang w:eastAsia="en-US"/>
        </w:rPr>
        <w:t>uvádz</w:t>
      </w:r>
      <w:r w:rsidR="007F4703" w:rsidRPr="00881B9F">
        <w:rPr>
          <w:rFonts w:eastAsia="Calibri"/>
          <w:lang w:eastAsia="en-US"/>
        </w:rPr>
        <w:t xml:space="preserve">aní </w:t>
      </w:r>
      <w:r w:rsidR="0050285A" w:rsidRPr="00881B9F">
        <w:rPr>
          <w:rFonts w:eastAsia="Calibri"/>
          <w:lang w:eastAsia="en-US"/>
        </w:rPr>
        <w:t>hnojiva, ktorým je EÚ produkt na hnojenie</w:t>
      </w:r>
      <w:r w:rsidR="00250997" w:rsidRPr="00881B9F">
        <w:rPr>
          <w:rFonts w:eastAsia="Calibri"/>
          <w:lang w:eastAsia="en-US"/>
        </w:rPr>
        <w:t>,</w:t>
      </w:r>
      <w:r w:rsidR="0050285A" w:rsidRPr="00881B9F">
        <w:rPr>
          <w:rFonts w:eastAsia="Calibri"/>
          <w:lang w:eastAsia="en-US"/>
        </w:rPr>
        <w:t xml:space="preserve"> </w:t>
      </w:r>
      <w:r w:rsidR="00250997" w:rsidRPr="00881B9F">
        <w:rPr>
          <w:rFonts w:eastAsia="Calibri"/>
          <w:lang w:eastAsia="en-US"/>
        </w:rPr>
        <w:t xml:space="preserve"> </w:t>
      </w:r>
      <w:r w:rsidR="009904B9" w:rsidRPr="00881B9F">
        <w:rPr>
          <w:rFonts w:eastAsia="Calibri"/>
          <w:lang w:eastAsia="en-US"/>
        </w:rPr>
        <w:t>do obehu</w:t>
      </w:r>
      <w:r w:rsidR="00EB3617" w:rsidRPr="00881B9F">
        <w:rPr>
          <w:rFonts w:eastAsia="Calibri"/>
          <w:lang w:eastAsia="en-US"/>
        </w:rPr>
        <w:t xml:space="preserve"> </w:t>
      </w:r>
      <w:r w:rsidR="003B6D8D" w:rsidRPr="00881B9F">
        <w:rPr>
          <w:rFonts w:eastAsia="Calibri"/>
          <w:lang w:eastAsia="en-US"/>
        </w:rPr>
        <w:t xml:space="preserve">sa </w:t>
      </w:r>
      <w:r w:rsidR="007D745F" w:rsidRPr="00881B9F">
        <w:rPr>
          <w:rFonts w:eastAsia="Calibri"/>
          <w:lang w:eastAsia="en-US"/>
        </w:rPr>
        <w:t>vzťahuje osobitný</w:t>
      </w:r>
      <w:r w:rsidR="003B6D8D" w:rsidRPr="00881B9F">
        <w:rPr>
          <w:rFonts w:eastAsia="Calibri"/>
          <w:lang w:eastAsia="en-US"/>
        </w:rPr>
        <w:t xml:space="preserve"> predpis</w:t>
      </w:r>
      <w:r w:rsidR="005D5F42" w:rsidRPr="00881B9F">
        <w:rPr>
          <w:rFonts w:eastAsia="Calibri"/>
          <w:lang w:eastAsia="en-US"/>
        </w:rPr>
        <w:t>.</w:t>
      </w:r>
      <w:r w:rsidR="003B6D8D" w:rsidRPr="00881B9F">
        <w:rPr>
          <w:rFonts w:eastAsia="Calibri"/>
          <w:vertAlign w:val="superscript"/>
          <w:lang w:eastAsia="en-US"/>
        </w:rPr>
        <w:t>10b</w:t>
      </w:r>
      <w:r w:rsidR="003B6D8D" w:rsidRPr="00881B9F">
        <w:rPr>
          <w:rFonts w:eastAsia="Calibri"/>
          <w:lang w:eastAsia="en-US"/>
        </w:rPr>
        <w:t>)</w:t>
      </w:r>
      <w:r w:rsidR="00302D63" w:rsidRPr="00881B9F">
        <w:rPr>
          <w:rFonts w:eastAsia="Calibri"/>
          <w:lang w:eastAsia="en-US"/>
        </w:rPr>
        <w:t>“.</w:t>
      </w:r>
    </w:p>
    <w:p w14:paraId="2F515E07" w14:textId="0BFDC6B4" w:rsidR="00A21FF6" w:rsidRPr="00881B9F" w:rsidRDefault="00A21FF6" w:rsidP="00C76DDE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221BD742" w14:textId="7725E570" w:rsidR="003B6D8D" w:rsidRPr="00881B9F" w:rsidRDefault="00D56103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Poznámky</w:t>
      </w:r>
      <w:r w:rsidR="00802C2F" w:rsidRPr="00881B9F">
        <w:rPr>
          <w:rFonts w:eastAsia="Calibri"/>
          <w:lang w:eastAsia="en-US"/>
        </w:rPr>
        <w:t xml:space="preserve"> pod čiarou k</w:t>
      </w:r>
      <w:r w:rsidRPr="00881B9F">
        <w:rPr>
          <w:rFonts w:eastAsia="Calibri"/>
          <w:lang w:eastAsia="en-US"/>
        </w:rPr>
        <w:t> odkazom</w:t>
      </w:r>
      <w:r w:rsidR="003B6D8D" w:rsidRPr="00881B9F">
        <w:rPr>
          <w:rFonts w:eastAsia="Calibri"/>
          <w:lang w:eastAsia="en-US"/>
        </w:rPr>
        <w:t xml:space="preserve"> </w:t>
      </w:r>
      <w:r w:rsidRPr="00881B9F">
        <w:rPr>
          <w:rFonts w:eastAsia="Calibri"/>
          <w:lang w:eastAsia="en-US"/>
        </w:rPr>
        <w:t>10a a 10b zn</w:t>
      </w:r>
      <w:r w:rsidR="003B6D8D" w:rsidRPr="00881B9F">
        <w:rPr>
          <w:rFonts w:eastAsia="Calibri"/>
          <w:lang w:eastAsia="en-US"/>
        </w:rPr>
        <w:t>e</w:t>
      </w:r>
      <w:r w:rsidRPr="00881B9F">
        <w:rPr>
          <w:rFonts w:eastAsia="Calibri"/>
          <w:lang w:eastAsia="en-US"/>
        </w:rPr>
        <w:t>jú</w:t>
      </w:r>
      <w:r w:rsidR="003B6D8D" w:rsidRPr="00881B9F">
        <w:rPr>
          <w:rFonts w:eastAsia="Calibri"/>
          <w:lang w:eastAsia="en-US"/>
        </w:rPr>
        <w:t xml:space="preserve">: </w:t>
      </w:r>
    </w:p>
    <w:p w14:paraId="3B8BEDB8" w14:textId="69370831" w:rsidR="00D56103" w:rsidRPr="00881B9F" w:rsidRDefault="003B6D8D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lastRenderedPageBreak/>
        <w:t>„</w:t>
      </w:r>
      <w:r w:rsidR="00D56103" w:rsidRPr="00881B9F">
        <w:rPr>
          <w:rFonts w:eastAsia="Calibri"/>
          <w:vertAlign w:val="superscript"/>
          <w:lang w:eastAsia="en-US"/>
        </w:rPr>
        <w:t>10a</w:t>
      </w:r>
      <w:r w:rsidR="00D56103" w:rsidRPr="00881B9F">
        <w:rPr>
          <w:rFonts w:eastAsia="Calibri"/>
          <w:lang w:eastAsia="en-US"/>
        </w:rPr>
        <w:t>)</w:t>
      </w:r>
      <w:r w:rsidR="00D56103" w:rsidRPr="00881B9F">
        <w:t xml:space="preserve"> Nariadenie (EÚ) 2019/1009 v platnom znení.</w:t>
      </w:r>
    </w:p>
    <w:p w14:paraId="4FB02167" w14:textId="3A0B45AF" w:rsidR="003B6D8D" w:rsidRPr="00881B9F" w:rsidRDefault="003B6D8D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vertAlign w:val="superscript"/>
          <w:lang w:eastAsia="en-US"/>
        </w:rPr>
        <w:t>10b</w:t>
      </w:r>
      <w:r w:rsidRPr="00881B9F">
        <w:rPr>
          <w:rFonts w:eastAsia="Calibri"/>
          <w:lang w:eastAsia="en-US"/>
        </w:rPr>
        <w:t>)</w:t>
      </w:r>
      <w:r w:rsidR="00361621" w:rsidRPr="00881B9F">
        <w:rPr>
          <w:rFonts w:eastAsia="Calibri"/>
          <w:lang w:eastAsia="en-US"/>
        </w:rPr>
        <w:t xml:space="preserve"> </w:t>
      </w:r>
      <w:r w:rsidR="00F14CE0" w:rsidRPr="00881B9F">
        <w:rPr>
          <w:rFonts w:eastAsia="Calibri"/>
          <w:lang w:eastAsia="en-US"/>
        </w:rPr>
        <w:t xml:space="preserve">§ </w:t>
      </w:r>
      <w:r w:rsidR="00361621" w:rsidRPr="00881B9F">
        <w:rPr>
          <w:rFonts w:eastAsia="Calibri"/>
          <w:lang w:eastAsia="en-US"/>
        </w:rPr>
        <w:t>28 zákona  č. 56/2018 Z.</w:t>
      </w:r>
      <w:r w:rsidR="001E2AA2" w:rsidRPr="00881B9F">
        <w:rPr>
          <w:rFonts w:eastAsia="Calibri"/>
          <w:lang w:eastAsia="en-US"/>
        </w:rPr>
        <w:t xml:space="preserve"> </w:t>
      </w:r>
      <w:r w:rsidR="00361621" w:rsidRPr="00881B9F">
        <w:rPr>
          <w:rFonts w:eastAsia="Calibri"/>
          <w:lang w:eastAsia="en-US"/>
        </w:rPr>
        <w:t xml:space="preserve">z. o posudzovaní zhody výrobku, </w:t>
      </w:r>
      <w:r w:rsidR="00471284" w:rsidRPr="00881B9F">
        <w:rPr>
          <w:rFonts w:eastAsia="Calibri"/>
          <w:lang w:eastAsia="en-US"/>
        </w:rPr>
        <w:t>sprístupňovaní</w:t>
      </w:r>
      <w:r w:rsidR="00361621" w:rsidRPr="00881B9F">
        <w:rPr>
          <w:rFonts w:eastAsia="Calibri"/>
          <w:lang w:eastAsia="en-US"/>
        </w:rPr>
        <w:t xml:space="preserve"> určeného výrobku na trhu a o zmene a doplnení niektorých zákonov v</w:t>
      </w:r>
      <w:r w:rsidR="00ED094E" w:rsidRPr="00881B9F">
        <w:rPr>
          <w:rFonts w:eastAsia="Calibri"/>
          <w:lang w:eastAsia="en-US"/>
        </w:rPr>
        <w:t> znení zákona č.</w:t>
      </w:r>
      <w:r w:rsidR="00881B9F">
        <w:rPr>
          <w:rFonts w:eastAsia="Calibri"/>
          <w:lang w:eastAsia="en-US"/>
        </w:rPr>
        <w:t> </w:t>
      </w:r>
      <w:r w:rsidR="00ED094E" w:rsidRPr="00881B9F">
        <w:rPr>
          <w:rFonts w:eastAsia="Calibri"/>
          <w:lang w:eastAsia="en-US"/>
        </w:rPr>
        <w:t>259/2021</w:t>
      </w:r>
      <w:r w:rsidR="00881B9F">
        <w:rPr>
          <w:rFonts w:eastAsia="Calibri"/>
          <w:lang w:eastAsia="en-US"/>
        </w:rPr>
        <w:t> </w:t>
      </w:r>
      <w:r w:rsidR="00361621" w:rsidRPr="00881B9F">
        <w:rPr>
          <w:rFonts w:eastAsia="Calibri"/>
          <w:lang w:eastAsia="en-US"/>
        </w:rPr>
        <w:t>Z.</w:t>
      </w:r>
      <w:r w:rsidR="00881B9F">
        <w:rPr>
          <w:rFonts w:eastAsia="Calibri"/>
          <w:lang w:eastAsia="en-US"/>
        </w:rPr>
        <w:t> </w:t>
      </w:r>
      <w:r w:rsidR="00361621" w:rsidRPr="00881B9F">
        <w:rPr>
          <w:rFonts w:eastAsia="Calibri"/>
          <w:lang w:eastAsia="en-US"/>
        </w:rPr>
        <w:t xml:space="preserve">z.“.  </w:t>
      </w:r>
    </w:p>
    <w:p w14:paraId="5775C13A" w14:textId="2AFFC126" w:rsidR="006E6BB4" w:rsidRPr="00881B9F" w:rsidRDefault="006E6BB4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5B82A237" w14:textId="6D0122A7" w:rsidR="00BE7A35" w:rsidRPr="00881B9F" w:rsidRDefault="00BE7A35" w:rsidP="006E6BB4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Za § 18c sa vkladá § 18d, ktorý vrátane nadpisu znie:</w:t>
      </w:r>
    </w:p>
    <w:p w14:paraId="3D95F125" w14:textId="77777777" w:rsidR="006E6BB4" w:rsidRPr="00881B9F" w:rsidRDefault="006E6BB4" w:rsidP="00827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C50F820" w14:textId="2950AFAA" w:rsidR="00BE7A35" w:rsidRPr="00881B9F" w:rsidRDefault="00BE7A35" w:rsidP="00827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„§ 18d</w:t>
      </w:r>
    </w:p>
    <w:p w14:paraId="094BBBBF" w14:textId="2FF0D844" w:rsidR="00BE7A35" w:rsidRPr="00881B9F" w:rsidRDefault="00243DDD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81B9F">
        <w:rPr>
          <w:rFonts w:ascii="Times New Roman" w:hAnsi="Times New Roman"/>
          <w:b/>
          <w:sz w:val="24"/>
          <w:szCs w:val="24"/>
          <w:lang w:eastAsia="sk-SK"/>
        </w:rPr>
        <w:t>Prechodné ustanovenia</w:t>
      </w:r>
      <w:r w:rsidR="00B23D81" w:rsidRPr="00881B9F">
        <w:rPr>
          <w:rFonts w:ascii="Times New Roman" w:hAnsi="Times New Roman"/>
          <w:b/>
          <w:sz w:val="24"/>
          <w:szCs w:val="24"/>
          <w:lang w:eastAsia="sk-SK"/>
        </w:rPr>
        <w:t xml:space="preserve"> k úpravám </w:t>
      </w:r>
      <w:r w:rsidR="00BE7A35" w:rsidRPr="00881B9F">
        <w:rPr>
          <w:rFonts w:ascii="Times New Roman" w:hAnsi="Times New Roman"/>
          <w:b/>
          <w:sz w:val="24"/>
          <w:szCs w:val="24"/>
          <w:lang w:eastAsia="sk-SK"/>
        </w:rPr>
        <w:t xml:space="preserve"> účinným od 1</w:t>
      </w:r>
      <w:r w:rsidR="00D76A41" w:rsidRPr="00881B9F">
        <w:rPr>
          <w:rFonts w:ascii="Times New Roman" w:hAnsi="Times New Roman"/>
          <w:b/>
          <w:sz w:val="24"/>
          <w:szCs w:val="24"/>
          <w:lang w:eastAsia="sk-SK"/>
        </w:rPr>
        <w:t>6. júla 2022</w:t>
      </w:r>
    </w:p>
    <w:p w14:paraId="64812F93" w14:textId="40751986" w:rsidR="009E775F" w:rsidRPr="00881B9F" w:rsidRDefault="009E775F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760F68E" w14:textId="5C086E1C" w:rsidR="009E775F" w:rsidRPr="00881B9F" w:rsidRDefault="009E775F" w:rsidP="009E775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Povinnosť producenta sekundárneho zdroja živín a producenta kompostu, ktorý zapracoval do vyprodukovaného sekundárneho zdroja živín alebo</w:t>
      </w:r>
      <w:r w:rsidR="007D740E"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Pr="00881B9F">
        <w:rPr>
          <w:rFonts w:ascii="Times New Roman" w:hAnsi="Times New Roman"/>
          <w:sz w:val="24"/>
          <w:szCs w:val="24"/>
          <w:lang w:eastAsia="sk-SK"/>
        </w:rPr>
        <w:t>kompostu čistiarenský kal</w:t>
      </w:r>
      <w:r w:rsidR="006D0B1C" w:rsidRPr="00881B9F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881B9F">
        <w:rPr>
          <w:rFonts w:ascii="Times New Roman" w:hAnsi="Times New Roman"/>
          <w:sz w:val="24"/>
          <w:szCs w:val="24"/>
          <w:lang w:eastAsia="sk-SK"/>
        </w:rPr>
        <w:t>zasielať hlásenie podľa § 3a</w:t>
      </w:r>
      <w:r w:rsidR="006A4D39" w:rsidRPr="00881B9F">
        <w:rPr>
          <w:rFonts w:ascii="Times New Roman" w:hAnsi="Times New Roman"/>
          <w:sz w:val="24"/>
          <w:szCs w:val="24"/>
          <w:lang w:eastAsia="sk-SK"/>
        </w:rPr>
        <w:t xml:space="preserve"> ods. 6 sa plní prvý</w:t>
      </w:r>
      <w:r w:rsidR="00E82F98" w:rsidRPr="00881B9F">
        <w:rPr>
          <w:rFonts w:ascii="Times New Roman" w:hAnsi="Times New Roman"/>
          <w:sz w:val="24"/>
          <w:szCs w:val="24"/>
          <w:lang w:eastAsia="sk-SK"/>
        </w:rPr>
        <w:t>krát do 15.</w:t>
      </w:r>
      <w:r w:rsidRPr="00881B9F">
        <w:rPr>
          <w:rFonts w:ascii="Times New Roman" w:hAnsi="Times New Roman"/>
          <w:sz w:val="24"/>
          <w:szCs w:val="24"/>
          <w:lang w:eastAsia="sk-SK"/>
        </w:rPr>
        <w:t xml:space="preserve"> februá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ra 2023 a vo vzťahu k </w:t>
      </w:r>
      <w:r w:rsidR="00E82F98" w:rsidRPr="00881B9F">
        <w:rPr>
          <w:rFonts w:ascii="Times New Roman" w:hAnsi="Times New Roman"/>
          <w:sz w:val="24"/>
          <w:szCs w:val="24"/>
          <w:lang w:eastAsia="sk-SK"/>
        </w:rPr>
        <w:t>vy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produkovaným sekundárnym zdrojom živín  alebo kompostu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>, ktoré neboli odovzdané na aplikác</w:t>
      </w:r>
      <w:r w:rsidR="00494F9F" w:rsidRPr="00881B9F">
        <w:rPr>
          <w:rFonts w:ascii="Times New Roman" w:hAnsi="Times New Roman"/>
          <w:sz w:val="24"/>
          <w:szCs w:val="24"/>
          <w:lang w:eastAsia="sk-SK"/>
        </w:rPr>
        <w:t>iu sa táto povinnosť vzťahuje na</w:t>
      </w:r>
      <w:r w:rsidR="006D0B1C" w:rsidRPr="00881B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obdobie 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od 1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>6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júla </w:t>
      </w:r>
      <w:r w:rsidRPr="00881B9F">
        <w:rPr>
          <w:rFonts w:ascii="Times New Roman" w:hAnsi="Times New Roman"/>
          <w:sz w:val="24"/>
          <w:szCs w:val="24"/>
          <w:lang w:eastAsia="sk-SK"/>
        </w:rPr>
        <w:t>2022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 do 31. decembra 2022</w:t>
      </w:r>
      <w:r w:rsidRPr="00881B9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396E32E1" w14:textId="77777777" w:rsidR="006E6BB4" w:rsidRPr="00881B9F" w:rsidRDefault="006E6BB4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3A2A6D2" w14:textId="0A6A4A15" w:rsidR="00BA4796" w:rsidRPr="00881B9F" w:rsidRDefault="009E775F" w:rsidP="00B52E5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Na</w:t>
      </w:r>
      <w:r w:rsidR="00CB0DDB" w:rsidRPr="00881B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A4796" w:rsidRPr="00881B9F">
        <w:rPr>
          <w:rFonts w:ascii="Times New Roman" w:hAnsi="Times New Roman"/>
          <w:sz w:val="24"/>
          <w:szCs w:val="24"/>
          <w:lang w:eastAsia="sk-SK"/>
        </w:rPr>
        <w:t xml:space="preserve">produkty uvedené na trh ako hnojivá s označením „Hnojivo ES“ sa uplatňujú podmienky </w:t>
      </w:r>
      <w:r w:rsidR="009904B9" w:rsidRPr="00881B9F">
        <w:rPr>
          <w:rFonts w:ascii="Times New Roman" w:hAnsi="Times New Roman"/>
          <w:sz w:val="24"/>
          <w:szCs w:val="24"/>
          <w:lang w:eastAsia="sk-SK"/>
        </w:rPr>
        <w:t>uvádzania do obehu</w:t>
      </w:r>
      <w:r w:rsidR="00BA4796" w:rsidRPr="00881B9F">
        <w:rPr>
          <w:rFonts w:ascii="Times New Roman" w:hAnsi="Times New Roman"/>
          <w:sz w:val="24"/>
          <w:szCs w:val="24"/>
          <w:lang w:eastAsia="sk-SK"/>
        </w:rPr>
        <w:t xml:space="preserve"> podľa osobitného predpisu.</w:t>
      </w:r>
      <w:r w:rsidR="00CB0DDB" w:rsidRPr="00881B9F">
        <w:rPr>
          <w:rFonts w:ascii="Times New Roman" w:hAnsi="Times New Roman"/>
          <w:sz w:val="24"/>
          <w:szCs w:val="24"/>
          <w:vertAlign w:val="superscript"/>
          <w:lang w:eastAsia="sk-SK"/>
        </w:rPr>
        <w:t>12</w:t>
      </w:r>
      <w:r w:rsidR="00CB0DDB" w:rsidRPr="00881B9F">
        <w:rPr>
          <w:rFonts w:ascii="Times New Roman" w:hAnsi="Times New Roman"/>
          <w:sz w:val="24"/>
          <w:szCs w:val="24"/>
          <w:lang w:eastAsia="sk-SK"/>
        </w:rPr>
        <w:t>)</w:t>
      </w:r>
      <w:r w:rsidR="00B73B69" w:rsidRPr="00881B9F">
        <w:rPr>
          <w:rFonts w:ascii="Times New Roman" w:hAnsi="Times New Roman"/>
          <w:sz w:val="24"/>
          <w:szCs w:val="24"/>
          <w:lang w:eastAsia="sk-SK"/>
        </w:rPr>
        <w:t>“.</w:t>
      </w:r>
    </w:p>
    <w:p w14:paraId="21E6B243" w14:textId="77777777" w:rsidR="009E6CF4" w:rsidRPr="00881B9F" w:rsidRDefault="009E6CF4" w:rsidP="00B52E5C">
      <w:pPr>
        <w:pStyle w:val="oj-ti-art"/>
        <w:shd w:val="clear" w:color="auto" w:fill="FFFFFF"/>
        <w:spacing w:before="0" w:beforeAutospacing="0" w:after="0" w:afterAutospacing="0"/>
        <w:ind w:left="284"/>
        <w:jc w:val="both"/>
        <w:rPr>
          <w:i/>
          <w:iCs/>
          <w:color w:val="444444"/>
        </w:rPr>
      </w:pPr>
    </w:p>
    <w:p w14:paraId="2A51845D" w14:textId="77777777" w:rsidR="00CB0DDB" w:rsidRPr="00881B9F" w:rsidRDefault="00CB0DDB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 xml:space="preserve">Poznámka pod čiarou k odkazu 12 znie: </w:t>
      </w:r>
    </w:p>
    <w:p w14:paraId="144FBD54" w14:textId="2B452E00" w:rsidR="001D50F4" w:rsidRPr="00881B9F" w:rsidRDefault="002F628D" w:rsidP="00B27385">
      <w:pPr>
        <w:pStyle w:val="oj-ti-art"/>
        <w:shd w:val="clear" w:color="auto" w:fill="FFFFFF"/>
        <w:spacing w:before="0" w:beforeAutospacing="0" w:after="0" w:afterAutospacing="0"/>
        <w:ind w:left="284"/>
      </w:pPr>
      <w:r w:rsidRPr="00881B9F">
        <w:t>„</w:t>
      </w:r>
      <w:r w:rsidRPr="00881B9F">
        <w:rPr>
          <w:vertAlign w:val="superscript"/>
        </w:rPr>
        <w:t>12</w:t>
      </w:r>
      <w:r w:rsidR="00870060" w:rsidRPr="00881B9F">
        <w:t>) Č</w:t>
      </w:r>
      <w:r w:rsidR="00CB0DDB" w:rsidRPr="00881B9F">
        <w:t>l. 52 nariadenia (EÚ) 2019/1009</w:t>
      </w:r>
      <w:r w:rsidR="00ED5EF9" w:rsidRPr="00881B9F">
        <w:t xml:space="preserve"> v platnom znení</w:t>
      </w:r>
      <w:r w:rsidR="00CB0DDB" w:rsidRPr="00881B9F">
        <w:t>.“.</w:t>
      </w:r>
    </w:p>
    <w:p w14:paraId="521EF550" w14:textId="77777777" w:rsidR="0066668B" w:rsidRPr="00881B9F" w:rsidRDefault="004F3D69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 xml:space="preserve"> </w:t>
      </w:r>
      <w:r w:rsidR="00111523" w:rsidRPr="00881B9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08B5E7F1" w14:textId="77777777" w:rsidR="00A80B14" w:rsidRPr="00881B9F" w:rsidRDefault="008F7965" w:rsidP="002F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B9F">
        <w:rPr>
          <w:rFonts w:ascii="Times New Roman" w:hAnsi="Times New Roman"/>
          <w:b/>
          <w:sz w:val="24"/>
          <w:szCs w:val="24"/>
        </w:rPr>
        <w:t>Čl. II</w:t>
      </w:r>
    </w:p>
    <w:p w14:paraId="458FAEEA" w14:textId="77777777" w:rsidR="002F628D" w:rsidRPr="00881B9F" w:rsidRDefault="002F628D" w:rsidP="002F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343620D9" w14:textId="3365316A" w:rsidR="00CB0DDB" w:rsidRPr="00881B9F" w:rsidRDefault="00881B9F" w:rsidP="002F6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53A8" w:rsidRPr="00881B9F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2F628D" w:rsidRPr="00881B9F">
        <w:rPr>
          <w:rFonts w:ascii="Times New Roman" w:hAnsi="Times New Roman"/>
          <w:sz w:val="24"/>
          <w:szCs w:val="24"/>
        </w:rPr>
        <w:t xml:space="preserve">16. </w:t>
      </w:r>
      <w:r w:rsidR="00690DD1" w:rsidRPr="00881B9F">
        <w:rPr>
          <w:rFonts w:ascii="Times New Roman" w:hAnsi="Times New Roman"/>
          <w:sz w:val="24"/>
          <w:szCs w:val="24"/>
        </w:rPr>
        <w:t xml:space="preserve">júla 2022. </w:t>
      </w:r>
      <w:r w:rsidR="006D53A8" w:rsidRPr="00881B9F">
        <w:rPr>
          <w:rFonts w:ascii="Times New Roman" w:hAnsi="Times New Roman"/>
          <w:sz w:val="24"/>
          <w:szCs w:val="24"/>
        </w:rPr>
        <w:t xml:space="preserve"> </w:t>
      </w:r>
    </w:p>
    <w:p w14:paraId="1B96F682" w14:textId="2228A5E5" w:rsidR="00B04F0E" w:rsidRDefault="00B04F0E" w:rsidP="00827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10FBF" w14:textId="4FFDA681" w:rsidR="006D6291" w:rsidRDefault="006D6291" w:rsidP="00827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4F7A7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38D8EFF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B3917F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E18C33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D51349" w14:textId="0525EF65" w:rsidR="006D6291" w:rsidRDefault="006D6291" w:rsidP="009549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5D9BE9" w14:textId="77777777" w:rsidR="006D6291" w:rsidRDefault="006D6291" w:rsidP="009549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F519EDB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47E809" w14:textId="77777777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9D8F1D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14:paraId="45883050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B252AB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AEB414" w14:textId="16003CA5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32452C" w14:textId="707181E2" w:rsidR="006D6291" w:rsidRPr="00E106F1" w:rsidRDefault="006D6291" w:rsidP="009549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947D0D" w14:textId="707181E2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8E5449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6E443208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A14A53" w14:textId="446D60AC" w:rsidR="006D6291" w:rsidRPr="00E106F1" w:rsidRDefault="006D6291" w:rsidP="009549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AD458B" w14:textId="21B04B32" w:rsidR="006D629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418E77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EE5CB4" w14:textId="4AA7FCE1" w:rsidR="006D6291" w:rsidRPr="00E106F1" w:rsidRDefault="006D6291" w:rsidP="009549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674BE5" w14:textId="77777777" w:rsidR="006D6291" w:rsidRPr="00E106F1" w:rsidRDefault="006D6291" w:rsidP="006D629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55D75640" w14:textId="77777777" w:rsidR="006D6291" w:rsidRPr="00E106F1" w:rsidRDefault="006D6291" w:rsidP="006D62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114A8B8" w14:textId="77777777" w:rsidR="006D6291" w:rsidRPr="00E106F1" w:rsidRDefault="006D6291" w:rsidP="006D62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50998205" w14:textId="77777777" w:rsidR="006D6291" w:rsidRDefault="006D6291" w:rsidP="006D6291"/>
    <w:p w14:paraId="2C1DD83A" w14:textId="77777777" w:rsidR="006D6291" w:rsidRDefault="006D6291" w:rsidP="006D6291"/>
    <w:p w14:paraId="0FFCFDD1" w14:textId="77777777" w:rsidR="006D6291" w:rsidRPr="00271C4B" w:rsidRDefault="006D6291" w:rsidP="006D6291"/>
    <w:p w14:paraId="50E970B7" w14:textId="77777777" w:rsidR="006D6291" w:rsidRPr="00881B9F" w:rsidRDefault="006D6291" w:rsidP="00827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6291" w:rsidRPr="00881B9F" w:rsidSect="00881B9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8AD1" w14:textId="77777777" w:rsidR="00AD0E52" w:rsidRDefault="00AD0E52" w:rsidP="00406B7C">
      <w:pPr>
        <w:spacing w:after="0" w:line="240" w:lineRule="auto"/>
      </w:pPr>
      <w:r>
        <w:separator/>
      </w:r>
    </w:p>
  </w:endnote>
  <w:endnote w:type="continuationSeparator" w:id="0">
    <w:p w14:paraId="1D2C60B6" w14:textId="77777777" w:rsidR="00AD0E52" w:rsidRDefault="00AD0E52" w:rsidP="0040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925411212"/>
      <w:docPartObj>
        <w:docPartGallery w:val="Page Numbers (Bottom of Page)"/>
        <w:docPartUnique/>
      </w:docPartObj>
    </w:sdtPr>
    <w:sdtEndPr/>
    <w:sdtContent>
      <w:p w14:paraId="2C278203" w14:textId="762035CF" w:rsidR="00406B7C" w:rsidRPr="00C52327" w:rsidRDefault="00C52327" w:rsidP="00881B9F">
        <w:pPr>
          <w:pStyle w:val="Pta"/>
          <w:jc w:val="center"/>
          <w:rPr>
            <w:rFonts w:ascii="Times New Roman" w:hAnsi="Times New Roman"/>
          </w:rPr>
        </w:pPr>
        <w:r w:rsidRPr="00C52327">
          <w:rPr>
            <w:rFonts w:ascii="Times New Roman" w:hAnsi="Times New Roman"/>
          </w:rPr>
          <w:fldChar w:fldCharType="begin"/>
        </w:r>
        <w:r w:rsidRPr="00C52327">
          <w:rPr>
            <w:rFonts w:ascii="Times New Roman" w:hAnsi="Times New Roman"/>
          </w:rPr>
          <w:instrText>PAGE   \* MERGEFORMAT</w:instrText>
        </w:r>
        <w:r w:rsidRPr="00C52327">
          <w:rPr>
            <w:rFonts w:ascii="Times New Roman" w:hAnsi="Times New Roman"/>
          </w:rPr>
          <w:fldChar w:fldCharType="separate"/>
        </w:r>
        <w:r w:rsidR="0095495F">
          <w:rPr>
            <w:rFonts w:ascii="Times New Roman" w:hAnsi="Times New Roman"/>
            <w:noProof/>
          </w:rPr>
          <w:t>1</w:t>
        </w:r>
        <w:r w:rsidRPr="00C5232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71AF" w14:textId="77777777" w:rsidR="00AD0E52" w:rsidRDefault="00AD0E52" w:rsidP="00406B7C">
      <w:pPr>
        <w:spacing w:after="0" w:line="240" w:lineRule="auto"/>
      </w:pPr>
      <w:r>
        <w:separator/>
      </w:r>
    </w:p>
  </w:footnote>
  <w:footnote w:type="continuationSeparator" w:id="0">
    <w:p w14:paraId="6D190034" w14:textId="77777777" w:rsidR="00AD0E52" w:rsidRDefault="00AD0E52" w:rsidP="0040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586"/>
    <w:multiLevelType w:val="hybridMultilevel"/>
    <w:tmpl w:val="140C6D4A"/>
    <w:lvl w:ilvl="0" w:tplc="13FA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05E"/>
    <w:multiLevelType w:val="hybridMultilevel"/>
    <w:tmpl w:val="1D325034"/>
    <w:lvl w:ilvl="0" w:tplc="5DDE6F8A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7F8A"/>
    <w:multiLevelType w:val="hybridMultilevel"/>
    <w:tmpl w:val="36468FAA"/>
    <w:lvl w:ilvl="0" w:tplc="DF6AA4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D"/>
    <w:rsid w:val="00006F0A"/>
    <w:rsid w:val="00012A23"/>
    <w:rsid w:val="000170B3"/>
    <w:rsid w:val="00017794"/>
    <w:rsid w:val="00033514"/>
    <w:rsid w:val="00035B08"/>
    <w:rsid w:val="00035B6A"/>
    <w:rsid w:val="00042E79"/>
    <w:rsid w:val="00043B8F"/>
    <w:rsid w:val="00055113"/>
    <w:rsid w:val="00057F6A"/>
    <w:rsid w:val="00066AB4"/>
    <w:rsid w:val="000740A2"/>
    <w:rsid w:val="00075FD1"/>
    <w:rsid w:val="000770A4"/>
    <w:rsid w:val="000842FD"/>
    <w:rsid w:val="000863FA"/>
    <w:rsid w:val="000947E6"/>
    <w:rsid w:val="000960B7"/>
    <w:rsid w:val="000A4B30"/>
    <w:rsid w:val="000B1D09"/>
    <w:rsid w:val="000B7A7D"/>
    <w:rsid w:val="000C097E"/>
    <w:rsid w:val="000C6049"/>
    <w:rsid w:val="000C6466"/>
    <w:rsid w:val="000C7C42"/>
    <w:rsid w:val="000D6E14"/>
    <w:rsid w:val="000E0759"/>
    <w:rsid w:val="000E36EB"/>
    <w:rsid w:val="000E7143"/>
    <w:rsid w:val="000F23FB"/>
    <w:rsid w:val="000F45A9"/>
    <w:rsid w:val="000F563F"/>
    <w:rsid w:val="0010739F"/>
    <w:rsid w:val="00111523"/>
    <w:rsid w:val="001137DC"/>
    <w:rsid w:val="00116355"/>
    <w:rsid w:val="00116E9A"/>
    <w:rsid w:val="00121E53"/>
    <w:rsid w:val="00122A4E"/>
    <w:rsid w:val="00123C60"/>
    <w:rsid w:val="00126C92"/>
    <w:rsid w:val="00141745"/>
    <w:rsid w:val="001458C7"/>
    <w:rsid w:val="0014591B"/>
    <w:rsid w:val="00146C9B"/>
    <w:rsid w:val="00153A85"/>
    <w:rsid w:val="00154822"/>
    <w:rsid w:val="001571D3"/>
    <w:rsid w:val="00157907"/>
    <w:rsid w:val="001651F6"/>
    <w:rsid w:val="00166178"/>
    <w:rsid w:val="00167361"/>
    <w:rsid w:val="00186540"/>
    <w:rsid w:val="00187F12"/>
    <w:rsid w:val="00190C98"/>
    <w:rsid w:val="00196750"/>
    <w:rsid w:val="00197B14"/>
    <w:rsid w:val="001A24B5"/>
    <w:rsid w:val="001B4D66"/>
    <w:rsid w:val="001B76FE"/>
    <w:rsid w:val="001C090F"/>
    <w:rsid w:val="001C1013"/>
    <w:rsid w:val="001C20E5"/>
    <w:rsid w:val="001C3FD3"/>
    <w:rsid w:val="001C43EC"/>
    <w:rsid w:val="001C5036"/>
    <w:rsid w:val="001D17D2"/>
    <w:rsid w:val="001D19FC"/>
    <w:rsid w:val="001D50F4"/>
    <w:rsid w:val="001E2AA2"/>
    <w:rsid w:val="001E56B6"/>
    <w:rsid w:val="001F1ACC"/>
    <w:rsid w:val="001F242E"/>
    <w:rsid w:val="001F359D"/>
    <w:rsid w:val="001F636D"/>
    <w:rsid w:val="001F6F11"/>
    <w:rsid w:val="001F7005"/>
    <w:rsid w:val="00200069"/>
    <w:rsid w:val="00203C62"/>
    <w:rsid w:val="00207F2A"/>
    <w:rsid w:val="002156C0"/>
    <w:rsid w:val="00221E14"/>
    <w:rsid w:val="00224BF9"/>
    <w:rsid w:val="00224EC0"/>
    <w:rsid w:val="00226B22"/>
    <w:rsid w:val="00232B18"/>
    <w:rsid w:val="00236695"/>
    <w:rsid w:val="002378D1"/>
    <w:rsid w:val="00237F4F"/>
    <w:rsid w:val="0024099B"/>
    <w:rsid w:val="002409A7"/>
    <w:rsid w:val="00243DDD"/>
    <w:rsid w:val="002443AF"/>
    <w:rsid w:val="002478D6"/>
    <w:rsid w:val="00250997"/>
    <w:rsid w:val="0025268C"/>
    <w:rsid w:val="00254233"/>
    <w:rsid w:val="00255EC0"/>
    <w:rsid w:val="002579D4"/>
    <w:rsid w:val="0026310A"/>
    <w:rsid w:val="00271C6F"/>
    <w:rsid w:val="00276391"/>
    <w:rsid w:val="00281910"/>
    <w:rsid w:val="00290E00"/>
    <w:rsid w:val="0029379B"/>
    <w:rsid w:val="00294C46"/>
    <w:rsid w:val="002A478A"/>
    <w:rsid w:val="002A53FD"/>
    <w:rsid w:val="002A7AE4"/>
    <w:rsid w:val="002B0972"/>
    <w:rsid w:val="002B3D4E"/>
    <w:rsid w:val="002B5011"/>
    <w:rsid w:val="002B5067"/>
    <w:rsid w:val="002C120F"/>
    <w:rsid w:val="002C12F2"/>
    <w:rsid w:val="002C434B"/>
    <w:rsid w:val="002C6B9D"/>
    <w:rsid w:val="002D0FFE"/>
    <w:rsid w:val="002D3345"/>
    <w:rsid w:val="002F39A3"/>
    <w:rsid w:val="002F628D"/>
    <w:rsid w:val="00302D21"/>
    <w:rsid w:val="00302D63"/>
    <w:rsid w:val="00303C4D"/>
    <w:rsid w:val="0030589A"/>
    <w:rsid w:val="003117B5"/>
    <w:rsid w:val="0031441B"/>
    <w:rsid w:val="00316CA3"/>
    <w:rsid w:val="00320630"/>
    <w:rsid w:val="00320CF2"/>
    <w:rsid w:val="003228DE"/>
    <w:rsid w:val="00325D15"/>
    <w:rsid w:val="003355DC"/>
    <w:rsid w:val="003362A7"/>
    <w:rsid w:val="003417A3"/>
    <w:rsid w:val="00341BA5"/>
    <w:rsid w:val="00342D94"/>
    <w:rsid w:val="003514B6"/>
    <w:rsid w:val="0035702D"/>
    <w:rsid w:val="00360885"/>
    <w:rsid w:val="00361621"/>
    <w:rsid w:val="00364A21"/>
    <w:rsid w:val="00364B3F"/>
    <w:rsid w:val="003748C9"/>
    <w:rsid w:val="00382C40"/>
    <w:rsid w:val="00382C96"/>
    <w:rsid w:val="003872F0"/>
    <w:rsid w:val="0038753D"/>
    <w:rsid w:val="003947F2"/>
    <w:rsid w:val="00395F09"/>
    <w:rsid w:val="003A47C4"/>
    <w:rsid w:val="003A5378"/>
    <w:rsid w:val="003A6C89"/>
    <w:rsid w:val="003B40A6"/>
    <w:rsid w:val="003B6D8D"/>
    <w:rsid w:val="003B7980"/>
    <w:rsid w:val="003C066C"/>
    <w:rsid w:val="003C2C07"/>
    <w:rsid w:val="003C48AC"/>
    <w:rsid w:val="003D400A"/>
    <w:rsid w:val="003D42D3"/>
    <w:rsid w:val="003D62CF"/>
    <w:rsid w:val="003D7075"/>
    <w:rsid w:val="003E047A"/>
    <w:rsid w:val="003E0E23"/>
    <w:rsid w:val="003E1DD1"/>
    <w:rsid w:val="003E3D54"/>
    <w:rsid w:val="003E6A78"/>
    <w:rsid w:val="003F41C6"/>
    <w:rsid w:val="003F6BE1"/>
    <w:rsid w:val="00401A61"/>
    <w:rsid w:val="004021B4"/>
    <w:rsid w:val="00402E6A"/>
    <w:rsid w:val="00406B7C"/>
    <w:rsid w:val="004077B6"/>
    <w:rsid w:val="004174E1"/>
    <w:rsid w:val="004201BA"/>
    <w:rsid w:val="004242B4"/>
    <w:rsid w:val="00426733"/>
    <w:rsid w:val="00431DA3"/>
    <w:rsid w:val="004327D8"/>
    <w:rsid w:val="00433C47"/>
    <w:rsid w:val="00453113"/>
    <w:rsid w:val="00453744"/>
    <w:rsid w:val="00453B2A"/>
    <w:rsid w:val="00455A12"/>
    <w:rsid w:val="004577DB"/>
    <w:rsid w:val="004579B6"/>
    <w:rsid w:val="00471284"/>
    <w:rsid w:val="00476515"/>
    <w:rsid w:val="00481498"/>
    <w:rsid w:val="00485385"/>
    <w:rsid w:val="00486C7A"/>
    <w:rsid w:val="00487590"/>
    <w:rsid w:val="0049337E"/>
    <w:rsid w:val="00494F9F"/>
    <w:rsid w:val="0049569F"/>
    <w:rsid w:val="00497952"/>
    <w:rsid w:val="004A23A4"/>
    <w:rsid w:val="004A275C"/>
    <w:rsid w:val="004A3BED"/>
    <w:rsid w:val="004B15CC"/>
    <w:rsid w:val="004B2D59"/>
    <w:rsid w:val="004B558A"/>
    <w:rsid w:val="004B7126"/>
    <w:rsid w:val="004C1588"/>
    <w:rsid w:val="004D2C55"/>
    <w:rsid w:val="004D3939"/>
    <w:rsid w:val="004D4302"/>
    <w:rsid w:val="004D48D8"/>
    <w:rsid w:val="004E0037"/>
    <w:rsid w:val="004E1782"/>
    <w:rsid w:val="004E1C12"/>
    <w:rsid w:val="004E26AF"/>
    <w:rsid w:val="004E6129"/>
    <w:rsid w:val="004E663E"/>
    <w:rsid w:val="004F1691"/>
    <w:rsid w:val="004F2E97"/>
    <w:rsid w:val="004F3D69"/>
    <w:rsid w:val="0050285A"/>
    <w:rsid w:val="005244E0"/>
    <w:rsid w:val="005278A8"/>
    <w:rsid w:val="00530A3A"/>
    <w:rsid w:val="00536728"/>
    <w:rsid w:val="00543D9A"/>
    <w:rsid w:val="00556DCC"/>
    <w:rsid w:val="00562C84"/>
    <w:rsid w:val="00565A61"/>
    <w:rsid w:val="005740FA"/>
    <w:rsid w:val="00582D51"/>
    <w:rsid w:val="00583A5C"/>
    <w:rsid w:val="005850F1"/>
    <w:rsid w:val="0058548C"/>
    <w:rsid w:val="0058752E"/>
    <w:rsid w:val="00591E4F"/>
    <w:rsid w:val="005A3B94"/>
    <w:rsid w:val="005A5AE2"/>
    <w:rsid w:val="005A684F"/>
    <w:rsid w:val="005B0399"/>
    <w:rsid w:val="005B12B5"/>
    <w:rsid w:val="005B1F5F"/>
    <w:rsid w:val="005B566A"/>
    <w:rsid w:val="005C0BA6"/>
    <w:rsid w:val="005C3FEF"/>
    <w:rsid w:val="005D21A9"/>
    <w:rsid w:val="005D36B9"/>
    <w:rsid w:val="005D4DDD"/>
    <w:rsid w:val="005D5F42"/>
    <w:rsid w:val="005D76C8"/>
    <w:rsid w:val="005D7AE1"/>
    <w:rsid w:val="005D7B1D"/>
    <w:rsid w:val="005E52EA"/>
    <w:rsid w:val="005F2266"/>
    <w:rsid w:val="005F31C2"/>
    <w:rsid w:val="005F3248"/>
    <w:rsid w:val="005F3319"/>
    <w:rsid w:val="005F3487"/>
    <w:rsid w:val="005F61B0"/>
    <w:rsid w:val="006008E4"/>
    <w:rsid w:val="006066B0"/>
    <w:rsid w:val="00607D02"/>
    <w:rsid w:val="00613BB9"/>
    <w:rsid w:val="00615E0F"/>
    <w:rsid w:val="00621FFA"/>
    <w:rsid w:val="00622E92"/>
    <w:rsid w:val="00625493"/>
    <w:rsid w:val="00626E44"/>
    <w:rsid w:val="00630B91"/>
    <w:rsid w:val="006325EF"/>
    <w:rsid w:val="00633646"/>
    <w:rsid w:val="00636CB5"/>
    <w:rsid w:val="00640359"/>
    <w:rsid w:val="00642937"/>
    <w:rsid w:val="006521FE"/>
    <w:rsid w:val="00656A89"/>
    <w:rsid w:val="006609AC"/>
    <w:rsid w:val="006617A6"/>
    <w:rsid w:val="00663E5A"/>
    <w:rsid w:val="0066668B"/>
    <w:rsid w:val="0067057A"/>
    <w:rsid w:val="00674D24"/>
    <w:rsid w:val="0067542A"/>
    <w:rsid w:val="00680EA4"/>
    <w:rsid w:val="00686F4C"/>
    <w:rsid w:val="00690DD1"/>
    <w:rsid w:val="00693494"/>
    <w:rsid w:val="00697156"/>
    <w:rsid w:val="006A359F"/>
    <w:rsid w:val="006A4D39"/>
    <w:rsid w:val="006B04FA"/>
    <w:rsid w:val="006B33CB"/>
    <w:rsid w:val="006C5219"/>
    <w:rsid w:val="006D012B"/>
    <w:rsid w:val="006D0B1C"/>
    <w:rsid w:val="006D53A8"/>
    <w:rsid w:val="006D551D"/>
    <w:rsid w:val="006D6291"/>
    <w:rsid w:val="006D6EBA"/>
    <w:rsid w:val="006E1047"/>
    <w:rsid w:val="006E3BB2"/>
    <w:rsid w:val="006E6BB4"/>
    <w:rsid w:val="006E6D62"/>
    <w:rsid w:val="006F34B0"/>
    <w:rsid w:val="006F44C9"/>
    <w:rsid w:val="006F5A58"/>
    <w:rsid w:val="007059B9"/>
    <w:rsid w:val="00710973"/>
    <w:rsid w:val="0072042D"/>
    <w:rsid w:val="00721A9F"/>
    <w:rsid w:val="00726EBE"/>
    <w:rsid w:val="007279BD"/>
    <w:rsid w:val="00730586"/>
    <w:rsid w:val="007305DF"/>
    <w:rsid w:val="0073144E"/>
    <w:rsid w:val="00734B24"/>
    <w:rsid w:val="00735748"/>
    <w:rsid w:val="00735D62"/>
    <w:rsid w:val="00736A9D"/>
    <w:rsid w:val="0074019E"/>
    <w:rsid w:val="0074201A"/>
    <w:rsid w:val="00752FE4"/>
    <w:rsid w:val="00766780"/>
    <w:rsid w:val="00766DED"/>
    <w:rsid w:val="00771034"/>
    <w:rsid w:val="007738E6"/>
    <w:rsid w:val="00774321"/>
    <w:rsid w:val="00785BB3"/>
    <w:rsid w:val="00793420"/>
    <w:rsid w:val="007A01AD"/>
    <w:rsid w:val="007A4137"/>
    <w:rsid w:val="007A53B3"/>
    <w:rsid w:val="007B0D71"/>
    <w:rsid w:val="007B19B3"/>
    <w:rsid w:val="007B7533"/>
    <w:rsid w:val="007D0666"/>
    <w:rsid w:val="007D2957"/>
    <w:rsid w:val="007D2E64"/>
    <w:rsid w:val="007D6883"/>
    <w:rsid w:val="007D740E"/>
    <w:rsid w:val="007D745F"/>
    <w:rsid w:val="007F4703"/>
    <w:rsid w:val="007F4A46"/>
    <w:rsid w:val="00802C2F"/>
    <w:rsid w:val="00810984"/>
    <w:rsid w:val="00811EED"/>
    <w:rsid w:val="008132E5"/>
    <w:rsid w:val="00814842"/>
    <w:rsid w:val="00815914"/>
    <w:rsid w:val="00827335"/>
    <w:rsid w:val="00830267"/>
    <w:rsid w:val="00830FE3"/>
    <w:rsid w:val="00831F11"/>
    <w:rsid w:val="008366A5"/>
    <w:rsid w:val="00837BCE"/>
    <w:rsid w:val="00845BD7"/>
    <w:rsid w:val="008513A6"/>
    <w:rsid w:val="0086059E"/>
    <w:rsid w:val="00862B67"/>
    <w:rsid w:val="00864700"/>
    <w:rsid w:val="008666FD"/>
    <w:rsid w:val="00866BBD"/>
    <w:rsid w:val="008679EF"/>
    <w:rsid w:val="00870060"/>
    <w:rsid w:val="008717F4"/>
    <w:rsid w:val="00873943"/>
    <w:rsid w:val="008761C7"/>
    <w:rsid w:val="00876FE8"/>
    <w:rsid w:val="00881B9F"/>
    <w:rsid w:val="008867A0"/>
    <w:rsid w:val="00886C35"/>
    <w:rsid w:val="008876C5"/>
    <w:rsid w:val="008916E9"/>
    <w:rsid w:val="008937C7"/>
    <w:rsid w:val="00894830"/>
    <w:rsid w:val="008951D4"/>
    <w:rsid w:val="0089591D"/>
    <w:rsid w:val="008A0BAE"/>
    <w:rsid w:val="008A10E6"/>
    <w:rsid w:val="008A2FC9"/>
    <w:rsid w:val="008A4375"/>
    <w:rsid w:val="008A4DF9"/>
    <w:rsid w:val="008A72B2"/>
    <w:rsid w:val="008B75AC"/>
    <w:rsid w:val="008B7ED0"/>
    <w:rsid w:val="008C6076"/>
    <w:rsid w:val="008E1A93"/>
    <w:rsid w:val="008E3B36"/>
    <w:rsid w:val="008E462F"/>
    <w:rsid w:val="008F09DF"/>
    <w:rsid w:val="008F146F"/>
    <w:rsid w:val="008F245A"/>
    <w:rsid w:val="008F5CAC"/>
    <w:rsid w:val="008F7965"/>
    <w:rsid w:val="00901765"/>
    <w:rsid w:val="00905997"/>
    <w:rsid w:val="00906ABB"/>
    <w:rsid w:val="00912FA1"/>
    <w:rsid w:val="009157F1"/>
    <w:rsid w:val="00917724"/>
    <w:rsid w:val="00922143"/>
    <w:rsid w:val="009238C5"/>
    <w:rsid w:val="00925DEC"/>
    <w:rsid w:val="00951BE2"/>
    <w:rsid w:val="0095495F"/>
    <w:rsid w:val="00954DB0"/>
    <w:rsid w:val="0095564B"/>
    <w:rsid w:val="00956919"/>
    <w:rsid w:val="009634D9"/>
    <w:rsid w:val="00964DB2"/>
    <w:rsid w:val="00966AF6"/>
    <w:rsid w:val="00970DF7"/>
    <w:rsid w:val="009719CB"/>
    <w:rsid w:val="00977EC6"/>
    <w:rsid w:val="00982618"/>
    <w:rsid w:val="0098760F"/>
    <w:rsid w:val="009904B9"/>
    <w:rsid w:val="00991F37"/>
    <w:rsid w:val="009A5036"/>
    <w:rsid w:val="009A69C3"/>
    <w:rsid w:val="009A6B80"/>
    <w:rsid w:val="009A6ED1"/>
    <w:rsid w:val="009B2BD7"/>
    <w:rsid w:val="009B473F"/>
    <w:rsid w:val="009B5811"/>
    <w:rsid w:val="009C23B7"/>
    <w:rsid w:val="009C40CF"/>
    <w:rsid w:val="009D0199"/>
    <w:rsid w:val="009D1143"/>
    <w:rsid w:val="009D1EE5"/>
    <w:rsid w:val="009E25AB"/>
    <w:rsid w:val="009E2CCE"/>
    <w:rsid w:val="009E415A"/>
    <w:rsid w:val="009E4345"/>
    <w:rsid w:val="009E4A2D"/>
    <w:rsid w:val="009E58B1"/>
    <w:rsid w:val="009E6683"/>
    <w:rsid w:val="009E6CF4"/>
    <w:rsid w:val="009E6FE6"/>
    <w:rsid w:val="009E775F"/>
    <w:rsid w:val="009F37AA"/>
    <w:rsid w:val="00A01174"/>
    <w:rsid w:val="00A04D32"/>
    <w:rsid w:val="00A105A2"/>
    <w:rsid w:val="00A1254D"/>
    <w:rsid w:val="00A12676"/>
    <w:rsid w:val="00A1430C"/>
    <w:rsid w:val="00A2073A"/>
    <w:rsid w:val="00A21D29"/>
    <w:rsid w:val="00A21FF6"/>
    <w:rsid w:val="00A258E3"/>
    <w:rsid w:val="00A3253E"/>
    <w:rsid w:val="00A35BB7"/>
    <w:rsid w:val="00A360D3"/>
    <w:rsid w:val="00A4192C"/>
    <w:rsid w:val="00A41FCC"/>
    <w:rsid w:val="00A43D1F"/>
    <w:rsid w:val="00A44786"/>
    <w:rsid w:val="00A510CC"/>
    <w:rsid w:val="00A5127F"/>
    <w:rsid w:val="00A52650"/>
    <w:rsid w:val="00A561AF"/>
    <w:rsid w:val="00A57A0F"/>
    <w:rsid w:val="00A57E46"/>
    <w:rsid w:val="00A63AA9"/>
    <w:rsid w:val="00A64B9C"/>
    <w:rsid w:val="00A71E25"/>
    <w:rsid w:val="00A80B14"/>
    <w:rsid w:val="00A8192A"/>
    <w:rsid w:val="00A81F5F"/>
    <w:rsid w:val="00A8314F"/>
    <w:rsid w:val="00A83928"/>
    <w:rsid w:val="00A90BF7"/>
    <w:rsid w:val="00A90E59"/>
    <w:rsid w:val="00AA009D"/>
    <w:rsid w:val="00AA0335"/>
    <w:rsid w:val="00AA1A16"/>
    <w:rsid w:val="00AB781D"/>
    <w:rsid w:val="00AC0514"/>
    <w:rsid w:val="00AC507B"/>
    <w:rsid w:val="00AD0E52"/>
    <w:rsid w:val="00AD6FBC"/>
    <w:rsid w:val="00AE2B8F"/>
    <w:rsid w:val="00AE3985"/>
    <w:rsid w:val="00AF02DF"/>
    <w:rsid w:val="00B00DE4"/>
    <w:rsid w:val="00B04F0E"/>
    <w:rsid w:val="00B056CD"/>
    <w:rsid w:val="00B12A6B"/>
    <w:rsid w:val="00B16F9C"/>
    <w:rsid w:val="00B17D2B"/>
    <w:rsid w:val="00B23D81"/>
    <w:rsid w:val="00B27385"/>
    <w:rsid w:val="00B3263D"/>
    <w:rsid w:val="00B336A7"/>
    <w:rsid w:val="00B34A3A"/>
    <w:rsid w:val="00B3655F"/>
    <w:rsid w:val="00B449CE"/>
    <w:rsid w:val="00B4587A"/>
    <w:rsid w:val="00B45C89"/>
    <w:rsid w:val="00B52E5C"/>
    <w:rsid w:val="00B57BA4"/>
    <w:rsid w:val="00B609EA"/>
    <w:rsid w:val="00B64949"/>
    <w:rsid w:val="00B661BC"/>
    <w:rsid w:val="00B72256"/>
    <w:rsid w:val="00B73B69"/>
    <w:rsid w:val="00B84E0E"/>
    <w:rsid w:val="00B91448"/>
    <w:rsid w:val="00B9471E"/>
    <w:rsid w:val="00B95236"/>
    <w:rsid w:val="00B96A4E"/>
    <w:rsid w:val="00B97130"/>
    <w:rsid w:val="00BA101D"/>
    <w:rsid w:val="00BA4796"/>
    <w:rsid w:val="00BB2B6C"/>
    <w:rsid w:val="00BB3454"/>
    <w:rsid w:val="00BC49A4"/>
    <w:rsid w:val="00BC49AF"/>
    <w:rsid w:val="00BC5C21"/>
    <w:rsid w:val="00BD0C39"/>
    <w:rsid w:val="00BD3764"/>
    <w:rsid w:val="00BD6D7C"/>
    <w:rsid w:val="00BE104B"/>
    <w:rsid w:val="00BE7A35"/>
    <w:rsid w:val="00BF1355"/>
    <w:rsid w:val="00BF4E28"/>
    <w:rsid w:val="00BF5F01"/>
    <w:rsid w:val="00C015CA"/>
    <w:rsid w:val="00C05B42"/>
    <w:rsid w:val="00C13BE6"/>
    <w:rsid w:val="00C15142"/>
    <w:rsid w:val="00C34A76"/>
    <w:rsid w:val="00C419C0"/>
    <w:rsid w:val="00C51E3B"/>
    <w:rsid w:val="00C52327"/>
    <w:rsid w:val="00C56EC4"/>
    <w:rsid w:val="00C60E94"/>
    <w:rsid w:val="00C61440"/>
    <w:rsid w:val="00C62CF2"/>
    <w:rsid w:val="00C6731D"/>
    <w:rsid w:val="00C76DDE"/>
    <w:rsid w:val="00C90E8E"/>
    <w:rsid w:val="00C92E0E"/>
    <w:rsid w:val="00C94AEA"/>
    <w:rsid w:val="00CA401F"/>
    <w:rsid w:val="00CA6B2F"/>
    <w:rsid w:val="00CB00F3"/>
    <w:rsid w:val="00CB0DDB"/>
    <w:rsid w:val="00CB1B9B"/>
    <w:rsid w:val="00CB734F"/>
    <w:rsid w:val="00CB7C59"/>
    <w:rsid w:val="00CD0919"/>
    <w:rsid w:val="00CD45EB"/>
    <w:rsid w:val="00CE0676"/>
    <w:rsid w:val="00CE4791"/>
    <w:rsid w:val="00CF679E"/>
    <w:rsid w:val="00D0669B"/>
    <w:rsid w:val="00D06885"/>
    <w:rsid w:val="00D0688D"/>
    <w:rsid w:val="00D07DF4"/>
    <w:rsid w:val="00D109CF"/>
    <w:rsid w:val="00D11DC2"/>
    <w:rsid w:val="00D1414C"/>
    <w:rsid w:val="00D24530"/>
    <w:rsid w:val="00D27961"/>
    <w:rsid w:val="00D31B8A"/>
    <w:rsid w:val="00D35858"/>
    <w:rsid w:val="00D4082A"/>
    <w:rsid w:val="00D4104D"/>
    <w:rsid w:val="00D4254B"/>
    <w:rsid w:val="00D42D80"/>
    <w:rsid w:val="00D45468"/>
    <w:rsid w:val="00D45622"/>
    <w:rsid w:val="00D457C0"/>
    <w:rsid w:val="00D50906"/>
    <w:rsid w:val="00D51817"/>
    <w:rsid w:val="00D56103"/>
    <w:rsid w:val="00D66D30"/>
    <w:rsid w:val="00D670E7"/>
    <w:rsid w:val="00D76A41"/>
    <w:rsid w:val="00D841AA"/>
    <w:rsid w:val="00D86227"/>
    <w:rsid w:val="00D91384"/>
    <w:rsid w:val="00D92B85"/>
    <w:rsid w:val="00D92C8B"/>
    <w:rsid w:val="00D938D1"/>
    <w:rsid w:val="00D95886"/>
    <w:rsid w:val="00DA2A5D"/>
    <w:rsid w:val="00DA3521"/>
    <w:rsid w:val="00DA7F9A"/>
    <w:rsid w:val="00DB3A10"/>
    <w:rsid w:val="00DB42CC"/>
    <w:rsid w:val="00DB513A"/>
    <w:rsid w:val="00DB5EC9"/>
    <w:rsid w:val="00DB7C32"/>
    <w:rsid w:val="00DC26FB"/>
    <w:rsid w:val="00DC7DDE"/>
    <w:rsid w:val="00DD0931"/>
    <w:rsid w:val="00DD6E66"/>
    <w:rsid w:val="00DE2DE2"/>
    <w:rsid w:val="00DE77E7"/>
    <w:rsid w:val="00DF50AA"/>
    <w:rsid w:val="00DF50B0"/>
    <w:rsid w:val="00E02F94"/>
    <w:rsid w:val="00E0597F"/>
    <w:rsid w:val="00E11E8C"/>
    <w:rsid w:val="00E12A68"/>
    <w:rsid w:val="00E166F9"/>
    <w:rsid w:val="00E17091"/>
    <w:rsid w:val="00E204EE"/>
    <w:rsid w:val="00E233B5"/>
    <w:rsid w:val="00E2424B"/>
    <w:rsid w:val="00E30D50"/>
    <w:rsid w:val="00E312D1"/>
    <w:rsid w:val="00E329B0"/>
    <w:rsid w:val="00E349E0"/>
    <w:rsid w:val="00E35EDA"/>
    <w:rsid w:val="00E41817"/>
    <w:rsid w:val="00E437FD"/>
    <w:rsid w:val="00E43EF7"/>
    <w:rsid w:val="00E50675"/>
    <w:rsid w:val="00E51FDB"/>
    <w:rsid w:val="00E55B9D"/>
    <w:rsid w:val="00E64935"/>
    <w:rsid w:val="00E65C03"/>
    <w:rsid w:val="00E6715B"/>
    <w:rsid w:val="00E73F50"/>
    <w:rsid w:val="00E77E0E"/>
    <w:rsid w:val="00E82F98"/>
    <w:rsid w:val="00E8474E"/>
    <w:rsid w:val="00E87245"/>
    <w:rsid w:val="00E915A9"/>
    <w:rsid w:val="00EA1DD7"/>
    <w:rsid w:val="00EA46CA"/>
    <w:rsid w:val="00EA6235"/>
    <w:rsid w:val="00EB125C"/>
    <w:rsid w:val="00EB3617"/>
    <w:rsid w:val="00EB6E98"/>
    <w:rsid w:val="00EB7DE5"/>
    <w:rsid w:val="00EC59DA"/>
    <w:rsid w:val="00EC739F"/>
    <w:rsid w:val="00ED094E"/>
    <w:rsid w:val="00ED1683"/>
    <w:rsid w:val="00ED173C"/>
    <w:rsid w:val="00ED4810"/>
    <w:rsid w:val="00ED5EF9"/>
    <w:rsid w:val="00EE0A20"/>
    <w:rsid w:val="00EE2129"/>
    <w:rsid w:val="00EE7F9B"/>
    <w:rsid w:val="00EF06F2"/>
    <w:rsid w:val="00F040BA"/>
    <w:rsid w:val="00F076F4"/>
    <w:rsid w:val="00F1018F"/>
    <w:rsid w:val="00F14CE0"/>
    <w:rsid w:val="00F20218"/>
    <w:rsid w:val="00F25872"/>
    <w:rsid w:val="00F26C34"/>
    <w:rsid w:val="00F26C51"/>
    <w:rsid w:val="00F3485E"/>
    <w:rsid w:val="00F35F99"/>
    <w:rsid w:val="00F4498C"/>
    <w:rsid w:val="00F47E6D"/>
    <w:rsid w:val="00F50763"/>
    <w:rsid w:val="00F52D7F"/>
    <w:rsid w:val="00F55D96"/>
    <w:rsid w:val="00F600F4"/>
    <w:rsid w:val="00F60ACD"/>
    <w:rsid w:val="00F60ED7"/>
    <w:rsid w:val="00F611B3"/>
    <w:rsid w:val="00F66FDE"/>
    <w:rsid w:val="00F76A2D"/>
    <w:rsid w:val="00F76DAE"/>
    <w:rsid w:val="00F85406"/>
    <w:rsid w:val="00F93993"/>
    <w:rsid w:val="00FB55EC"/>
    <w:rsid w:val="00FB6E27"/>
    <w:rsid w:val="00FC0FA6"/>
    <w:rsid w:val="00FC6F10"/>
    <w:rsid w:val="00FC73B4"/>
    <w:rsid w:val="00FD0E1A"/>
    <w:rsid w:val="00FD0F94"/>
    <w:rsid w:val="00FD2048"/>
    <w:rsid w:val="00FE7490"/>
    <w:rsid w:val="00FF0D7D"/>
    <w:rsid w:val="00FF116A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ED847"/>
  <w15:docId w15:val="{4DD6751F-AF6A-419B-A967-63CDB33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59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1F359D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1F359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F35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F359D"/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paragraph" w:customStyle="1" w:styleId="odsek">
    <w:name w:val="odsek"/>
    <w:basedOn w:val="Normlny"/>
    <w:rsid w:val="001F359D"/>
    <w:pPr>
      <w:keepNext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7DB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0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B7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0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B7C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E56B6"/>
    <w:rPr>
      <w:color w:val="0000FF"/>
      <w:u w:val="single"/>
    </w:rPr>
  </w:style>
  <w:style w:type="paragraph" w:customStyle="1" w:styleId="title-article-norm">
    <w:name w:val="title-article-norm"/>
    <w:basedOn w:val="Normlny"/>
    <w:rsid w:val="00D4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D4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ubscript">
    <w:name w:val="subscript"/>
    <w:basedOn w:val="Predvolenpsmoodseku"/>
    <w:rsid w:val="00D457C0"/>
  </w:style>
  <w:style w:type="paragraph" w:customStyle="1" w:styleId="oj-ti-art">
    <w:name w:val="oj-ti-art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j-sti-art">
    <w:name w:val="oj-sti-art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j-italic">
    <w:name w:val="oj-italic"/>
    <w:basedOn w:val="Predvolenpsmoodseku"/>
    <w:rsid w:val="009E415A"/>
  </w:style>
  <w:style w:type="paragraph" w:customStyle="1" w:styleId="stitle-article-norm">
    <w:name w:val="stitle-article-norm"/>
    <w:basedOn w:val="Normlny"/>
    <w:rsid w:val="00AF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6C5219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4E26A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04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04F0E"/>
    <w:rPr>
      <w:b/>
      <w:bCs/>
    </w:rPr>
  </w:style>
  <w:style w:type="paragraph" w:customStyle="1" w:styleId="doc-ti">
    <w:name w:val="doc-ti"/>
    <w:basedOn w:val="Normlny"/>
    <w:rsid w:val="00486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938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8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8D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8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8D1"/>
    <w:rPr>
      <w:rFonts w:ascii="Calibri" w:eastAsia="Calibri" w:hAnsi="Calibri" w:cs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E02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3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3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7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0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2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0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1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5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8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85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4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Kozlíková, Barbora, Mgr."/>
    <f:field ref="objcreatedat" par="" text="7.2.2022 15:01:41"/>
    <f:field ref="objchangedby" par="" text="Administrator, System"/>
    <f:field ref="objmodifiedat" par="" text="7.2.2022 15:01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1B4427-DAF2-4751-A03D-6E8CED45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Martiška Marián</dc:creator>
  <cp:lastModifiedBy>Podmajerská, Alena</cp:lastModifiedBy>
  <cp:revision>2</cp:revision>
  <cp:lastPrinted>2022-06-15T10:36:00Z</cp:lastPrinted>
  <dcterms:created xsi:type="dcterms:W3CDTF">2022-06-15T10:39:00Z</dcterms:created>
  <dcterms:modified xsi:type="dcterms:W3CDTF">2022-06-15T10:39:00Z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136/2000 Z. z. o hnojivách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136/2000 Z. z. o hnojivách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4314/2022-410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zákona, ktorým sa mení a&amp;nbsp;dopĺňa zákon č.&amp;nbsp;136/2000 Z.&amp;nbsp;z. o&amp;nbsp;hnojivách v&amp;nbsp;znení neskorších predpisov (ďalej len </vt:lpwstr>
  </property>
  <property fmtid="{D5CDD505-2E9C-101B-9397-08002B2CF9AE}" pid="150" name="FSC#SKEDITIONSLOVLEX@103.510:vytvorenedna">
    <vt:lpwstr>7. 2. 2022</vt:lpwstr>
  </property>
  <property fmtid="{D5CDD505-2E9C-101B-9397-08002B2CF9AE}" pid="151" name="FSC#COOSYSTEM@1.1:Container">
    <vt:lpwstr>COO.2145.1000.3.4812983</vt:lpwstr>
  </property>
  <property fmtid="{D5CDD505-2E9C-101B-9397-08002B2CF9AE}" pid="152" name="FSC#FSCFOLIO@1.1001:docpropproject">
    <vt:lpwstr/>
  </property>
</Properties>
</file>