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113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833F2B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400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8853BC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3F7A68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D50BB2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310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5463D4" w:rsidR="00657B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5463D4" w:rsidR="00833F2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zákona, ktorým sa menia a dopĺňajú niektoré zákony v súvislosti so zlepšovaním podnikateľského prostredia</w:t>
      </w:r>
      <w:r w:rsidRPr="008676E0" w:rsidR="00833F2B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886)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Pr="005463D4" w:rsidR="00833F2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zákona, ktorým sa menia a dopĺňajú niektoré zákony v súvislosti so zlepšovaním podnikateľského prostredia</w:t>
      </w:r>
      <w:r w:rsidRPr="00833F2B" w:rsidR="00833F2B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886)</w:t>
      </w:r>
      <w:r w:rsidRPr="00833F2B" w:rsidR="00B70D4C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5463D4" w:rsidR="00657B97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Pr="005463D4" w:rsidR="00833F2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zákona, ktorým sa menia a dopĺňajú niektoré zákony v súvislosti so zlepšovaním podnikateľského prostredia</w:t>
      </w:r>
      <w:r w:rsidRPr="00833F2B" w:rsidR="00833F2B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(tlač 886)</w:t>
      </w:r>
      <w:r w:rsidRPr="00C60C08" w:rsidR="007B39DE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A46160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A46160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DD3EE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AD3B5D" w:rsidRPr="00F95756" w:rsidP="00AD3B5D">
      <w:pPr>
        <w:framePr w:wrap="auto"/>
        <w:widowControl/>
        <w:autoSpaceDE/>
        <w:autoSpaceDN/>
        <w:bidi w:val="0"/>
        <w:adjustRightInd/>
        <w:spacing w:after="120"/>
        <w:ind w:left="71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833F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R. Kazdu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BA71DC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0C30" w:rsidRPr="00A00DCE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C8303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113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="000D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 310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E08D9" w:rsidP="00DE08D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Arial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</w:t>
      </w:r>
      <w:r w:rsidRPr="006476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6476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76E0" w:rsidR="00833F2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zákona, ktorým sa menia a dopĺňajú niektoré zákony v súvislosti so zlepšovaním podnikateľského prostredia (tlač 886)</w:t>
      </w:r>
    </w:p>
    <w:p w:rsidR="00B24EF7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after="16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 bode 2 sa označenie „§ 80ak“ nahrádza označením „§ 80al“ a zároveň sa primerane upraví predvetie.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after="160"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Legislatívno-technická úprava reflektujúca ostatnú novelu zákona</w:t>
      </w:r>
      <w:r>
        <w:rPr>
          <w:rFonts w:ascii="Times New Roman" w:eastAsia="Times New Roman" w:hAnsi="Times New Roman" w:cs="Times New Roman" w:hint="cs"/>
          <w:b/>
          <w:i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č. 455/1991 Zb. o živnostenskom podnikaní (živnostenský zákon) v znení neskorších predpisov. 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after="160"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IV v § 170 sa označenie novo vkladaného odseku „26“ nahrádza označením „27“  a zároveň sa táto úprava spraví aj v predvetí. Odkaz na poznámku pod čiarou „93adea“ sa nahrádza označením „93ado“ a táto úprava sa urobí aj v samotnej vkladanej poznámke pod čiarou a predvetí k nej. Za slová „zákona č. 273/2015 Z. z.“ sa vkladá čiarka.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after="160"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iCs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iCs/>
          <w:noProof/>
          <w:sz w:val="24"/>
          <w:szCs w:val="24"/>
          <w:rtl w:val="0"/>
          <w:cs w:val="0"/>
          <w:lang w:val="sk-SK" w:eastAsia="sk-SK" w:bidi="ar-SA"/>
        </w:rPr>
        <w:t>Legislatívno-technická úprava reflektujúca ostatnú novelu zákona č. 461/2003 Z. z.  o sociálnom poistení.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after="160"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after="16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VI, 1. bode, § 2 ods. 4 písm. p) sa slová  „na diaľku.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 ad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  nahrádzajú slovami „na diaľku.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 1ad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 a súčasne sa v poznámke pod čiarou k odkazu 1ad) vypúšťajú slová „čl. 2 ods. 2 písm. u) nariadenia (EÚ) č. 1169/2011 v platnom znení.“.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úprava; doplnenie správneho odkazu a vypustenie </w:t>
      </w: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en-US" w:bidi="ar-SA"/>
        </w:rPr>
        <w:t>citovaného nariadenia, nakoľko toto sa nevzťahuje na predmetný pojem.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VI v 3. bode v § 7 ods. 4 sa slová „neobsahujú tabak, bezdymové tabakové výrobky“  nahrádzajú slovami „neobsahujú tabak  a užívať bezdymové tabakové výrobky“.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V nadväznosti na sankcie v platnom § 11 ods. 1 písm.  c) je potrebné premietnuť použitú terminológiu aj do ustanovenia upravujúceho samotný zákaz fajčenia.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after="16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VI, 6. bod znie: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50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„6. V § 11 ods. 1 písmeno c) znie: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709" w:right="0" w:hanging="20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„c) umožní užívať tabakové výrobky, výrobky, ktoré sú určené na fajčenie a neobsahujú     tabak, bezdymové tabakové výrobky a elektronické cigarety osobe mladšej ako 18  rokov,“.“.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552" w:right="0" w:firstLine="28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Legislatívno-technická úprava; precizovanie textu.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after="16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VI, 7. bod znie: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„7. V § 11 ods. 3 sa slová „1 písm. c)“ nahrádzajú slovami „1 písm. c) a e)“.“.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552" w:right="0" w:firstLine="28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Legislatívno-technická úprava; precizovanie textu.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VI, 8. bod znie: 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„8. v § 11 ods. 4 sa za slová „písm. a)“ vkladajú slová „a e)“ a na konci sa pripája táto veta „Priestupky, ktorých sa dopustia osoby do 18. rokov, budú prejednané so zákonným zástupcom osoby do 18. rokov, ktorá porušila ustanovenie zákona podľa § 7 ods. 4.“.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484" w:right="0" w:firstLine="348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Legislatívno-technická úprava; precizovanie textu.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4253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 v bode 2. sa slová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odsek 9“ nahrádzajú slovami „ods. 10“.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Legislatívno-technická úprava reflektujúca vloženie nového odseku 8 a prečíslovanie nasledujúcich odsekov v § 30 predošlým bodom v tomto článku.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694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F77CAA" w:rsidRP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szCs w:val="22"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sz w:val="22"/>
          <w:szCs w:val="22"/>
          <w:rtl w:val="0"/>
          <w:cs w:val="0"/>
          <w:lang w:val="sk-SK" w:eastAsia="en-US" w:bidi="ar-SA"/>
        </w:rPr>
        <w:t>V čl. X v bode 3 v Prílohe č. 9 sa v 4. bode slová „z vystavenia účinkom karcinogénov alebo mutagénov“ nahrádzajú slovami „súvisiacimi s expozíciou karcinogénom alebo mutagénom“.</w:t>
      </w:r>
    </w:p>
    <w:p w:rsidR="00F77CAA" w:rsidRP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i/>
          <w:sz w:val="22"/>
          <w:szCs w:val="22"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i/>
          <w:sz w:val="22"/>
          <w:szCs w:val="22"/>
          <w:rtl w:val="0"/>
          <w:cs w:val="0"/>
          <w:lang w:val="sk-SK" w:eastAsia="en-US" w:bidi="ar-SA"/>
        </w:rPr>
        <w:t>Legislatívno-technická úprava, ktorou sa aktualizuje názov právne záväzného aktu EÚ.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694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F77CAA" w:rsidRP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X v 3. bode v Prílohe č. 9 v bodoch 8. a 12. sa za poslednú okrúhlu zátvorku na konci vety dopĺňajú slová „v znení smernice Európskeho parlamentu a Rady 2007/30/ES z 20. júna 2007 (Ú. v. EÚ L 165, 27. 6. 2007)“.</w:t>
      </w:r>
    </w:p>
    <w:p w:rsidR="00F77CAA" w:rsidRP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14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>Legislatívno-technická úprava, ktorou sa dopĺňa novelizácia preberaných právne záväzných aktov EÚ.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F77CAA" w:rsidRP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szCs w:val="22"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sz w:val="22"/>
          <w:szCs w:val="22"/>
          <w:rtl w:val="0"/>
          <w:cs w:val="0"/>
          <w:lang w:val="sk-SK" w:eastAsia="en-US" w:bidi="ar-SA"/>
        </w:rPr>
        <w:t>V čl. X v 3. bode v Prílohe č. 9 v bodoch 9., 10. a 11. bode sa na konci vety dopĺňajú slová „„v znení smernice Európskeho parlamentu a Rady 2007/30/ES z 20. júna 2007 (Ú. v. EÚ L 165, 27. 6. 2007) a nariadenia Európskeho parlamentu a Rady (ES) č. 1137/2008 z 22. októbra 2008 (Ú. v. EÚ L 311, 21. 11. 2008)“.</w:t>
      </w:r>
    </w:p>
    <w:p w:rsidR="00F77CAA" w:rsidRP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i/>
          <w:sz w:val="22"/>
          <w:szCs w:val="22"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i/>
          <w:sz w:val="22"/>
          <w:szCs w:val="22"/>
          <w:rtl w:val="0"/>
          <w:cs w:val="0"/>
          <w:lang w:val="sk-SK" w:eastAsia="en-US" w:bidi="ar-SA"/>
        </w:rPr>
        <w:t xml:space="preserve">Legislatívno-technická úprava, ktorou sa aktualizujú platné znenia preberaných právne záväzných aktov EÚ. </w:t>
      </w:r>
    </w:p>
    <w:p w:rsidR="00F77CAA" w:rsidRP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F77CAA" w:rsidRP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sz w:val="22"/>
          <w:szCs w:val="22"/>
          <w:rtl w:val="0"/>
          <w:cs w:val="0"/>
          <w:lang w:val="sk-SK" w:eastAsia="en-US" w:bidi="ar-SA"/>
        </w:rPr>
        <w:t>V čl. X v 3. bode v Prílohe č. 9 sa vypúšťa 14. bod.</w:t>
      </w:r>
    </w:p>
    <w:p w:rsidR="00F77CAA" w:rsidRP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sz w:val="22"/>
          <w:szCs w:val="22"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sz w:val="22"/>
          <w:szCs w:val="22"/>
          <w:rtl w:val="0"/>
          <w:cs w:val="0"/>
          <w:lang w:val="sk-SK" w:eastAsia="en-US" w:bidi="ar-SA"/>
        </w:rPr>
        <w:t>Nasledujúce body sa prečíslujú.</w:t>
      </w:r>
    </w:p>
    <w:p w:rsidR="00F77CAA" w:rsidRP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sz w:val="22"/>
          <w:szCs w:val="22"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i/>
          <w:sz w:val="22"/>
          <w:szCs w:val="22"/>
          <w:rtl w:val="0"/>
          <w:cs w:val="0"/>
          <w:lang w:val="sk-SK" w:eastAsia="en-US" w:bidi="ar-SA"/>
        </w:rPr>
        <w:t xml:space="preserve">Legislatívno-technická úprava, ktorou sa vypúšťa už zrušená smernica (nahradená smernicou uvedenou v 20. bode zoznamu). </w:t>
      </w:r>
    </w:p>
    <w:p w:rsidR="00F77CAA" w:rsidRP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F77CAA" w:rsidRP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sz w:val="22"/>
          <w:szCs w:val="22"/>
          <w:rtl w:val="0"/>
          <w:cs w:val="0"/>
          <w:lang w:val="sk-SK" w:eastAsia="en-US" w:bidi="ar-SA"/>
        </w:rPr>
        <w:t>V čl. X v 3. bode v Prílohe č. 9 v 21. bode sa za slová „pri práci“ vkladajú slová „(kodifikované znenie)“.</w:t>
      </w:r>
    </w:p>
    <w:p w:rsidR="00F77CAA" w:rsidRPr="00C43DED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en-US" w:bidi="ar-SA"/>
        </w:rPr>
      </w:pPr>
      <w:r w:rsidRPr="00F77CAA">
        <w:rPr>
          <w:rFonts w:ascii="Times New Roman" w:eastAsia="Times New Roman" w:hAnsi="Times New Roman" w:cs="Times New Roman" w:hint="cs"/>
          <w:i/>
          <w:sz w:val="22"/>
          <w:szCs w:val="22"/>
          <w:rtl w:val="0"/>
          <w:cs w:val="0"/>
          <w:lang w:val="sk-SK" w:eastAsia="en-US" w:bidi="ar-SA"/>
        </w:rPr>
        <w:t>Legislatívno-technická úprava, ktorou sa dopĺňa</w:t>
      </w:r>
      <w:r>
        <w:rPr>
          <w:rFonts w:ascii="Calibri" w:eastAsia="Times New Roman" w:hAnsi="Calibri" w:cs="Times New Roman" w:hint="cs"/>
          <w:i/>
          <w:sz w:val="22"/>
          <w:szCs w:val="22"/>
          <w:rtl w:val="0"/>
          <w:cs w:val="0"/>
          <w:lang w:val="sk-SK" w:eastAsia="en-US" w:bidi="ar-SA"/>
        </w:rPr>
        <w:t xml:space="preserve"> </w:t>
      </w:r>
      <w:r w:rsidRPr="00C43DED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>názov právne záväzného aktu EÚ podľa jeho oficiálneho znenia.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XIII v bode 4. v § 14 ods. 12 prvá veta sa slová „a g) až l),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“ nahrádzajú slovami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 g) až k),“.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Legislatívno-technická úprava, ktorou sa upravuje vnútorný odkaz na § 11 ods. 1 v ktorom sa písmeno l) nenachádza.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XIII v bode 5. v § 14 ods. 14 sa slová „a g) až l),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“ nahrádzajú slovami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 g) až k),“.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Legislatívno-technická úprava, ktorou sa upravuje vnútorný odkaz na § 11 ods. 1 v ktorom sa písmeno l) nenachádza.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69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XIV sa za bod 1 vkladá nový bod 2, ktorý znie: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„2. V § 9 ods. 3 sa slová „držiteľa povolenia“ nahrádzajú slovami „osobu, ktorej bolo vydané povolenie na podnikanie v energetike podľa § 6 ods. 2 (ďalej len "držiteľ povolenia")“.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Legislatívno-technická úprava, ktorou sa opätovne zavádza legislatívna skratka "držiteľ povolenia", ktorá vypadla vypustením odseku 5 v § 8 (čl. XIV bod 1.).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XIV v bode 16. sa slová „2 písm. d) až h)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“ nahrádzajú slovami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 písm. d) až g)“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Legislatívno-technická úprava, ktorou sa vypúšťaný text zosúlaďujú s platným znením tohto textu v § 91 ods. 1 písm. b) treťom bode.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124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F77CAA" w:rsidP="00F77CAA">
      <w:pPr>
        <w:framePr w:wrap="auto"/>
        <w:widowControl/>
        <w:numPr>
          <w:numId w:val="31"/>
        </w:numPr>
        <w:autoSpaceDE/>
        <w:autoSpaceDN/>
        <w:bidi w:val="0"/>
        <w:adjustRightInd/>
        <w:spacing w:line="276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XV v poznámke pod čiarou k odkazu 15a) sa slová „v znení neskorších predpisov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“ nahrádzajú slovami „v znení zákona č. .../2022 Z. z.“.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Citovaný odsek 26 sa do § 170 vkladá až touto novelou v čl. IV. Túto skutočnosť je potrebné premietnuť do vkladanej poznámky pod čiarou.</w:t>
      </w:r>
    </w:p>
    <w:p w:rsidR="00F77CAA" w:rsidP="00F77CAA">
      <w:pPr>
        <w:framePr w:wrap="auto"/>
        <w:widowControl/>
        <w:autoSpaceDE/>
        <w:autoSpaceDN/>
        <w:bidi w:val="0"/>
        <w:adjustRightInd/>
        <w:spacing w:line="276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@SimSun">
    <w:panose1 w:val="00000000000000000000"/>
    <w:charset w:val="86"/>
    <w:family w:val="auto"/>
    <w:pitch w:val="variable"/>
  </w:font>
  <w:font w:name="Lucida Sans">
    <w:panose1 w:val="00000000000000000000"/>
    <w:charset w:val="00"/>
    <w:family w:val="swiss"/>
    <w:pitch w:val="variable"/>
  </w:font>
  <w:font w:name="@MS Gothic">
    <w:panose1 w:val="00000000000000000000"/>
    <w:charset w:val="80"/>
    <w:family w:val="modern"/>
    <w:pitch w:val="fixed"/>
  </w:font>
  <w:font w:name="AT*Toronto CE">
    <w:altName w:val="Times New Roman"/>
    <w:panose1 w:val="00000000000000000000"/>
    <w:charset w:val="EE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0D2932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2"/>
  </w:num>
  <w:num w:numId="20">
    <w:abstractNumId w:val="28"/>
  </w:num>
  <w:num w:numId="21">
    <w:abstractNumId w:val="8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4</Pages>
  <Words>1129</Words>
  <Characters>6439</Characters>
  <Application>Microsoft Office Word</Application>
  <DocSecurity>0</DocSecurity>
  <Lines>0</Lines>
  <Paragraphs>0</Paragraphs>
  <ScaleCrop>false</ScaleCrop>
  <Company>Kancelaria NR SR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Egyenesová, Eva</cp:lastModifiedBy>
  <cp:revision>15</cp:revision>
  <cp:lastPrinted>2022-03-09T13:28:00Z</cp:lastPrinted>
  <dcterms:created xsi:type="dcterms:W3CDTF">2022-04-06T10:10:00Z</dcterms:created>
  <dcterms:modified xsi:type="dcterms:W3CDTF">2022-06-14T10:16:00Z</dcterms:modified>
</cp:coreProperties>
</file>