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AT*Zurich Calligraphic" w:eastAsia="Times New Roman" w:hAnsi="AT*Zurich Calligraphic" w:cs="Times New Roman" w:hint="cs"/>
          <w:b/>
          <w:szCs w:val="20"/>
          <w:rtl w:val="0"/>
          <w:cs w:val="0"/>
          <w:lang w:val="sk-SK" w:eastAsia="sk-SK" w:bidi="ar-SA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="003B675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="00AE236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093809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9380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="00AE236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771</w:t>
      </w:r>
      <w:r w:rsidRPr="0009380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093809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Pr="00093809" w:rsidR="00E273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91494A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3B6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B675A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EE1A4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342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09380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3B6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E273C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B6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B1E1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outlineLvl w:val="1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3B675A" w:rsidP="003B675A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3B675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3B675A" w:rsidR="00366A9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37F7C" w:rsidR="003B675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 návrh zákona, ktorým sa mení a dopĺňa zákon č. 442/2012 Z. z. o medzinárodnej pomoci a spolupráci pri správe daní v znení neskorších predpisov a ktorým sa menia a dopĺňajú niektoré zákony</w:t>
      </w:r>
      <w:r w:rsidRPr="003B675A" w:rsidR="003B6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943) </w:t>
      </w:r>
      <w:r w:rsidRPr="003B6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B0375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8684D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91507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273C8" w:rsidRPr="00366A99" w:rsidP="008E200A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366A99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366A99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B675A" w:rsidR="003B675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vládnym návrhom zákona, ktorým sa mení a dopĺňa zákon č. 442/2012 Z. z. o medzinárodnej pomoci a spolupráci pri správe daní v znení neskorších predpisov a ktorým sa menia a dopĺňajú niektoré zákony</w:t>
      </w:r>
      <w:r w:rsidRPr="003B675A" w:rsidR="003B6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943)</w:t>
      </w:r>
    </w:p>
    <w:p w:rsidR="00E91507" w:rsidRPr="00366A99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8E200A" w:rsidRPr="00366A99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366A99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366A9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366A9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RPr="00366A99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366A99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366A9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366A99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B675A" w:rsidRPr="008E200A" w:rsidP="003B675A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="00366A99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vlá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442/2012 Z. z. o medziná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pomoci a spoluprá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ci pri sprá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ve daní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v znení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pr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edpisov a ktorý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menia a dopĺň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ajú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niektoré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3B675A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kony </w:t>
      </w:r>
      <w:r w:rsidRPr="003B675A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3B675A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943)</w:t>
      </w:r>
      <w:r w:rsidRPr="003B675A">
        <w:rPr>
          <w:rFonts w:ascii="Times New Roman" w:eastAsia="Times New Roman" w:hAnsi="Times New Roman" w:cs="Times New Roman" w:hint="default"/>
          <w:b/>
          <w:bCs/>
          <w:color w:val="2E74B5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 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8E200A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8B4542" w:rsidRPr="00366A99" w:rsidP="00366A99">
      <w:pPr>
        <w:keepNext/>
        <w:keepLines/>
        <w:framePr w:wrap="auto"/>
        <w:widowControl/>
        <w:autoSpaceDE/>
        <w:autoSpaceDN/>
        <w:bidi w:val="0"/>
        <w:adjustRightInd/>
        <w:ind w:left="57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</w:p>
    <w:p w:rsidR="00B052CE" w:rsidP="008B4542">
      <w:pPr>
        <w:keepNext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BB1E1F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8B454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2B4261" w:rsidP="002B4261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cs"/>
          <w:b/>
          <w:color w:val="auto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2B4261" w:rsidP="002B4261">
      <w:pPr>
        <w:keepNext/>
        <w:keepLines/>
        <w:framePr w:wrap="auto"/>
        <w:widowControl/>
        <w:autoSpaceDE/>
        <w:autoSpaceDN/>
        <w:bidi w:val="0"/>
        <w:adjustRightInd/>
        <w:ind w:left="57" w:right="0" w:firstLine="342"/>
        <w:jc w:val="both"/>
        <w:textAlignment w:val="auto"/>
        <w:outlineLvl w:val="4"/>
        <w:rPr>
          <w:rFonts w:ascii="Times New Roman" w:eastAsia="Times New Roman" w:hAnsi="Times New Roman" w:cs="Times New Roman" w:hint="cs"/>
          <w:b/>
          <w:color w:val="auto"/>
          <w:rtl w:val="0"/>
          <w:cs w:val="0"/>
          <w:lang w:val="sk-SK" w:eastAsia="sk-SK" w:bidi="ar-SA"/>
        </w:rPr>
      </w:pPr>
    </w:p>
    <w:p w:rsidR="00366A99" w:rsidRPr="00F342A4" w:rsidP="00366A9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Calibri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informovať predsedu Národnej rady Slovenskej republiky o 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ýsledku prerokovania uvedeného 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návrhu zákona vo výbore.</w:t>
      </w:r>
    </w:p>
    <w:p w:rsidR="008B4542" w:rsidRPr="008E200A" w:rsidP="002B4261">
      <w:pPr>
        <w:keepNext/>
        <w:keepLines/>
        <w:framePr w:wrap="auto"/>
        <w:widowControl/>
        <w:autoSpaceDE/>
        <w:autoSpaceDN/>
        <w:bidi w:val="0"/>
        <w:adjustRightInd/>
        <w:ind w:left="57" w:right="0" w:firstLine="342"/>
        <w:jc w:val="both"/>
        <w:textAlignment w:val="auto"/>
        <w:outlineLvl w:val="4"/>
        <w:rPr>
          <w:rFonts w:ascii="Times New Roman" w:eastAsia="Times New Roman" w:hAnsi="Times New Roman" w:cs="Times New Roman" w:hint="cs"/>
          <w:b/>
          <w:color w:val="auto"/>
          <w:rtl w:val="0"/>
          <w:cs w:val="0"/>
          <w:lang w:val="sk-SK" w:eastAsia="sk-SK" w:bidi="ar-SA"/>
        </w:rPr>
      </w:pPr>
    </w:p>
    <w:p w:rsidR="008B4542" w:rsidRPr="00841EA3" w:rsidP="008B4542">
      <w:pPr>
        <w:framePr w:wrap="auto"/>
        <w:widowControl/>
        <w:autoSpaceDE/>
        <w:autoSpaceDN/>
        <w:bidi w:val="0"/>
        <w:adjustRightInd/>
        <w:spacing w:after="120" w:line="259" w:lineRule="auto"/>
        <w:ind w:left="1416" w:right="0" w:firstLine="708"/>
        <w:jc w:val="left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371D00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91494A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B675A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B675A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B675A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B675A" w:rsidRPr="00F9720F" w:rsidP="003B675A">
      <w:pPr>
        <w:keepNext/>
        <w:framePr w:wrap="auto"/>
        <w:widowControl w:val="0"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3B675A" w:rsidRPr="00F9720F" w:rsidP="003B675A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3B675A" w:rsidRPr="00F9720F" w:rsidP="003B675A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</w:t>
      </w:r>
    </w:p>
    <w:p w:rsidR="003B675A" w:rsidP="003B675A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 w:rsidR="00EE1A4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č. 342</w:t>
      </w:r>
    </w:p>
    <w:p w:rsidR="003B675A" w:rsidRPr="00F9720F" w:rsidP="003B675A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="00AE23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3B675A" w:rsidP="003B675A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3B675A" w:rsidP="003B675A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3B675A" w:rsidRPr="00F9720F" w:rsidP="003B675A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3B675A" w:rsidRPr="00F9720F" w:rsidP="003B675A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a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doplňujúce návrhy</w:t>
      </w:r>
    </w:p>
    <w:p w:rsidR="003B675A" w:rsidRPr="00BE70EE" w:rsidP="003B675A">
      <w:pPr>
        <w:keepNext/>
        <w:framePr w:wrap="auto"/>
        <w:widowControl/>
        <w:pBdr>
          <w:bottom w:val="single" w:sz="6" w:space="1" w:color="auto"/>
        </w:pBdr>
        <w:autoSpaceDE/>
        <w:autoSpaceDN/>
        <w:bidi w:val="0"/>
        <w:adjustRightInd/>
        <w:ind w:left="360" w:right="0"/>
        <w:jc w:val="center"/>
        <w:textAlignment w:val="auto"/>
        <w:outlineLvl w:val="0"/>
        <w:rPr>
          <w:rFonts w:ascii="Times New Roman" w:eastAsia="Times New Roman" w:hAnsi="Times New Roman" w:cs="Calibri" w:hint="cs"/>
          <w:b/>
          <w:rtl w:val="0"/>
          <w:cs w:val="0"/>
          <w:lang w:val="sk-SK" w:eastAsia="sk-SK" w:bidi="ar-SA"/>
        </w:rPr>
      </w:pPr>
      <w:r w:rsidRPr="00B841C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vládnemu</w:t>
      </w:r>
      <w:r w:rsidRPr="003B6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</w:t>
      </w:r>
      <w:r w:rsidRPr="003B6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zákona, ktorým sa mení a dopĺňa zákon č. 442/2012 Z. z. o medzinárodnej pomoci a spolupráci pri správe daní v znení neskorších predpisov a ktorým sa menia a dopĺňajú niektoré zákony (tlač 943)</w:t>
      </w:r>
    </w:p>
    <w:p w:rsidR="00EE1A44" w:rsidRPr="00CA4D89" w:rsidP="00CA4D89">
      <w:pPr>
        <w:framePr w:wrap="auto"/>
        <w:widowControl/>
        <w:numPr>
          <w:numId w:val="40"/>
        </w:numPr>
        <w:overflowPunct w:val="0"/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3. bodu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786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I, 3. bode (§ 6 ods. 3) sa slová „identifikovateľného subjektu“ nahrádzajú slovami „identifikovaného a identifikovateľného subjektu“.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788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terminologicky precizuje navrhované znenie tak, aby vymedzenie pojmu subjektu ako kontrolovanej právnickej osoby korešpondovalo s vymedzením pojmu kontrolovanej fyzickej osoby.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788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EE1A44" w:rsidRPr="00CA4D89" w:rsidP="00CA4D89">
      <w:pPr>
        <w:framePr w:wrap="auto"/>
        <w:widowControl/>
        <w:numPr>
          <w:numId w:val="40"/>
        </w:numPr>
        <w:overflowPunct w:val="0"/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11. bodu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786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čl. I, 11. bode (§ 7 ods. 4) sa slová „keď bude toto číslo k dispozícii“ nahrádzajú slovami „ak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bude mať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toto číslo k dispozícii“.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štylisticky koriguje citované znenie tak, aby bolo zrejmé, za akých podmienok poskytne príslušný orgán Slovenskej republiky predmetnú informáciu orgánu členského štátu. </w:t>
      </w:r>
    </w:p>
    <w:p w:rsidR="00CA4D89" w:rsidP="00CA4D89">
      <w:pPr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A4D89" w:rsidRPr="00CA4D89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I, bod 14 </w:t>
      </w:r>
    </w:p>
    <w:p w:rsidR="00CA4D89" w:rsidRPr="000C4122" w:rsidP="00CA4D89">
      <w:pPr>
        <w:framePr w:wrap="auto"/>
        <w:widowControl/>
        <w:autoSpaceDE/>
        <w:autoSpaceDN/>
        <w:bidi w:val="0"/>
        <w:adjustRightInd/>
        <w:ind w:left="720" w:right="0" w:firstLine="21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0C41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doterajšom bode 14 v § 11 ods. 2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sa slová</w:t>
      </w:r>
      <w:r w:rsidRPr="000C41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„príslušn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ého</w:t>
      </w:r>
      <w:r w:rsidRPr="000C41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orgán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u iného členského štátu</w:t>
      </w:r>
      <w:r w:rsidRPr="000C41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“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nahrádzajú slovami</w:t>
      </w:r>
      <w:r w:rsidRPr="000C41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„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príslušného orgánu členského štátu</w:t>
      </w:r>
      <w:r w:rsidRPr="000C41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a slová „príslušným orgánom iného členského štátu“ slovami „príslušným orgánom členského štátu“</w:t>
      </w:r>
      <w:r w:rsidRPr="000C41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. </w:t>
      </w:r>
    </w:p>
    <w:p w:rsidR="00CA4D89" w:rsidP="00CA4D89">
      <w:pPr>
        <w:framePr w:wrap="auto"/>
        <w:widowControl/>
        <w:autoSpaceDE/>
        <w:autoSpaceDN/>
        <w:bidi w:val="0"/>
        <w:adjustRightInd/>
        <w:ind w:left="36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</w:p>
    <w:p w:rsidR="00CA4D89" w:rsidRPr="000C3CC3" w:rsidP="00CA4D89">
      <w:pPr>
        <w:framePr w:wrap="auto"/>
        <w:widowControl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 návrh zosúlaďuje pojem „príslušný orgán členského štátu“ v prvom a druhom odseku  predmetného ustanovenia.</w:t>
      </w:r>
    </w:p>
    <w:p w:rsidR="00CA4D89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3969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1A44" w:rsidRPr="00CA4D89" w:rsidP="00CA4D89">
      <w:pPr>
        <w:framePr w:wrap="auto"/>
        <w:widowControl/>
        <w:numPr>
          <w:numId w:val="40"/>
        </w:numPr>
        <w:overflowPunct w:val="0"/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16. bodu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786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I, 16. bode (§ 12a ods. 2) sa za slovo „súhlas“ vkladajú slová „s vykonaním spoločnej kontroly“.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pojmovo dopĺňa predmetné ustanovenie v zmysle navrhovaného znenia § 12a ods. 1. </w:t>
      </w:r>
    </w:p>
    <w:p w:rsidR="00EE1A44" w:rsidRPr="009B67B1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</w:pPr>
    </w:p>
    <w:p w:rsidR="00EE1A44" w:rsidRPr="00CA4D89" w:rsidP="00CA4D89">
      <w:pPr>
        <w:framePr w:wrap="auto"/>
        <w:widowControl/>
        <w:numPr>
          <w:numId w:val="40"/>
        </w:numPr>
        <w:overflowPunct w:val="0"/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16. bodu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786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I, 16. bode (§ 12a ods. 5) sa za slová „Ak je“ vkladajú slová „poverený zamestnanec“.</w:t>
      </w:r>
    </w:p>
    <w:p w:rsidR="00622371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štylistickej povahy dopĺňa do vety povinný subjekt.</w:t>
      </w:r>
    </w:p>
    <w:p w:rsidR="00EE1A44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</w:pPr>
    </w:p>
    <w:p w:rsidR="00EE1A44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</w:pPr>
    </w:p>
    <w:p w:rsidR="00CA4D89" w:rsidRPr="00BA7E77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ind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</w:t>
      </w:r>
      <w:r w:rsidRPr="000C3CC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 čl. 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,  bod </w:t>
      </w:r>
      <w:r w:rsidRPr="000C3CC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16 </w:t>
      </w:r>
    </w:p>
    <w:p w:rsidR="00CA4D89" w:rsidRPr="00BA7E77" w:rsidP="00CA4D89">
      <w:pPr>
        <w:framePr w:wrap="auto"/>
        <w:widowControl/>
        <w:autoSpaceDE/>
        <w:autoSpaceDN/>
        <w:bidi w:val="0"/>
        <w:adjustRightInd/>
        <w:ind w:left="720" w:right="0" w:firstLine="21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A7E7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doterajšom bode 16 v § 12a ods. 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sa</w:t>
      </w:r>
      <w:r w:rsidRPr="00BA7E7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za slovami „príslušného orgánu“ vypúšťa slovo „iného“.</w:t>
      </w:r>
    </w:p>
    <w:p w:rsidR="00CA4D89" w:rsidP="00CA4D89">
      <w:pPr>
        <w:framePr w:wrap="auto"/>
        <w:widowControl/>
        <w:autoSpaceDE/>
        <w:autoSpaceDN/>
        <w:bidi w:val="0"/>
        <w:adjustRightInd/>
        <w:ind w:left="284"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P="00CA4D89">
      <w:pPr>
        <w:framePr w:wrap="auto"/>
        <w:widowControl/>
        <w:autoSpaceDE/>
        <w:autoSpaceDN/>
        <w:bidi w:val="0"/>
        <w:adjustRightInd/>
        <w:ind w:left="4111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Pozmeňujúci návrh zosúlaďuje pojem „príslušný orgán členského štátu“ so znením prvého a druhého odseku v § 11 návrhu zákona. </w:t>
      </w:r>
    </w:p>
    <w:p w:rsidR="00CA4D89" w:rsidP="00CA4D89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RPr="008B7206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spacing w:after="160" w:line="259" w:lineRule="auto"/>
        <w:ind w:right="0"/>
        <w:contextualSpacing/>
        <w:jc w:val="left"/>
        <w:textAlignment w:val="auto"/>
        <w:rPr>
          <w:rFonts w:ascii="Calibri" w:eastAsia="Times New Roman" w:hAnsi="Calibri" w:cs="Times New Roman" w:hint="cs"/>
          <w:sz w:val="22"/>
          <w:szCs w:val="22"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bod 16</w:t>
      </w:r>
    </w:p>
    <w:p w:rsidR="00CA4D89" w:rsidRPr="008B7206" w:rsidP="00CA4D89">
      <w:pPr>
        <w:framePr w:wrap="auto"/>
        <w:widowControl/>
        <w:autoSpaceDE/>
        <w:autoSpaceDN/>
        <w:bidi w:val="0"/>
        <w:adjustRightInd/>
        <w:spacing w:after="160" w:line="259" w:lineRule="auto"/>
        <w:ind w:left="741" w:right="0"/>
        <w:contextualSpacing/>
        <w:jc w:val="both"/>
        <w:textAlignment w:val="auto"/>
        <w:rPr>
          <w:rFonts w:ascii="Calibri" w:eastAsia="Times New Roman" w:hAnsi="Calibri" w:cs="Times New Roman" w:hint="cs"/>
          <w:sz w:val="22"/>
          <w:szCs w:val="22"/>
          <w:rtl w:val="0"/>
          <w:cs w:val="0"/>
          <w:lang w:val="sk-SK" w:eastAsia="en-US" w:bidi="ar-SA"/>
        </w:rPr>
      </w:pPr>
      <w:r w:rsidR="006223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doterajšom bode 16 </w:t>
      </w:r>
      <w:r w:rsidRPr="008B7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 § 12a ods. 11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sa </w:t>
      </w:r>
      <w:r w:rsidRPr="008B72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za slovo „informuje“ vkladá slovo „kontrolovanú“. </w:t>
      </w:r>
    </w:p>
    <w:p w:rsidR="00CA4D89" w:rsidRPr="006E66CC" w:rsidP="00CA4D89">
      <w:pPr>
        <w:framePr w:wrap="auto"/>
        <w:widowControl/>
        <w:autoSpaceDE/>
        <w:autoSpaceDN/>
        <w:bidi w:val="0"/>
        <w:adjustRightInd/>
        <w:ind w:left="284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P="00CA4D89">
      <w:pPr>
        <w:framePr w:wrap="auto"/>
        <w:widowControl/>
        <w:autoSpaceDE/>
        <w:autoSpaceDN/>
        <w:bidi w:val="0"/>
        <w:adjustRightInd/>
        <w:ind w:left="4111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Pozmeňujúcim návrhom sa konkretizuje, že uvedená osoba je kontrolovanou osobou alebo subjektom podľa §12a ods. 3.</w:t>
      </w:r>
    </w:p>
    <w:p w:rsidR="00CA4D89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</w:pPr>
    </w:p>
    <w:p w:rsidR="00CA4D89" w:rsidRPr="00CA4D89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spacing w:after="160" w:line="259" w:lineRule="auto"/>
        <w:ind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I, nový bod </w:t>
      </w:r>
    </w:p>
    <w:p w:rsidR="00CA4D89" w:rsidRPr="00400E79" w:rsidP="00CA4D89">
      <w:pPr>
        <w:framePr w:wrap="auto"/>
        <w:widowControl/>
        <w:autoSpaceDE/>
        <w:autoSpaceDN/>
        <w:bidi w:val="0"/>
        <w:adjustRightInd/>
        <w:spacing w:after="160" w:line="259" w:lineRule="auto"/>
        <w:ind w:left="645" w:right="0" w:firstLine="39"/>
        <w:contextualSpacing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400E7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Za doterajší bod 16 sa vkladá nový bod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17</w:t>
      </w:r>
      <w:r w:rsidRPr="00400E7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, ktorý znie:</w:t>
      </w:r>
    </w:p>
    <w:p w:rsidR="00CA4D89" w:rsidP="00CA4D89">
      <w:pPr>
        <w:framePr w:wrap="auto"/>
        <w:widowControl/>
        <w:autoSpaceDE/>
        <w:autoSpaceDN/>
        <w:bidi w:val="0"/>
        <w:adjustRightInd/>
        <w:spacing w:after="160" w:line="259" w:lineRule="auto"/>
        <w:ind w:left="606" w:right="0" w:firstLine="39"/>
        <w:contextualSpacing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400E7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„17.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Nadpis </w:t>
      </w:r>
      <w:r w:rsidRPr="00400E7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§14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znie: „Zaobchádzanie s informáciou a dokumentom“.“.</w:t>
      </w:r>
    </w:p>
    <w:p w:rsidR="00CA4D89" w:rsidP="00CA4D89">
      <w:pPr>
        <w:framePr w:wrap="auto"/>
        <w:widowControl/>
        <w:autoSpaceDE/>
        <w:autoSpaceDN/>
        <w:bidi w:val="0"/>
        <w:adjustRightInd/>
        <w:ind w:left="284"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569" w:right="0" w:firstLine="1"/>
        <w:contextualSpacing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Doterajšie body 17 a nasl. sa primerane prečíslujú.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4111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 návrh zosúlaďuje nadpis s obsahom novelizovaného znenia § 14 v návrhu zákona.</w:t>
      </w:r>
    </w:p>
    <w:p w:rsidR="00CA4D89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</w:pPr>
    </w:p>
    <w:p w:rsidR="00CA4D89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</w:pPr>
    </w:p>
    <w:p w:rsidR="00EE1A44" w:rsidRPr="00CA4D89" w:rsidP="00CA4D89">
      <w:pPr>
        <w:framePr w:wrap="auto"/>
        <w:widowControl/>
        <w:numPr>
          <w:numId w:val="40"/>
        </w:numPr>
        <w:overflowPunct w:val="0"/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24. bodu</w:t>
      </w:r>
    </w:p>
    <w:p w:rsidR="00EE1A44" w:rsidRPr="006016D9" w:rsidP="00EE1A44">
      <w:pPr>
        <w:framePr w:wrap="auto"/>
        <w:widowControl/>
        <w:overflowPunct w:val="0"/>
        <w:autoSpaceDE/>
        <w:autoSpaceDN/>
        <w:bidi w:val="0"/>
        <w:adjustRightInd/>
        <w:ind w:left="786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6016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I, 24. bode, § 22h písm. s) 1. bode sa slovo „samospráv“ nahrádza slovami „územnej samosprávy“.</w:t>
      </w:r>
    </w:p>
    <w:p w:rsidR="00EE1A44" w:rsidP="00EE1A44">
      <w:pPr>
        <w:framePr w:wrap="auto"/>
        <w:widowControl/>
        <w:overflowPunct w:val="0"/>
        <w:autoSpaceDE/>
        <w:autoSpaceDN/>
        <w:bidi w:val="0"/>
        <w:adjustRightInd/>
        <w:ind w:left="786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highlight w:val="yellow"/>
          <w:rtl w:val="0"/>
          <w:cs w:val="0"/>
          <w:lang w:val="sk-SK" w:eastAsia="en-US" w:bidi="ar-SA"/>
        </w:rPr>
      </w:pPr>
    </w:p>
    <w:p w:rsidR="00EE1A44" w:rsidRPr="00B267D7" w:rsidP="00CA4D89">
      <w:pPr>
        <w:framePr w:wrap="auto"/>
        <w:widowControl/>
        <w:overflowPunct w:val="0"/>
        <w:autoSpaceDE/>
        <w:autoSpaceDN/>
        <w:bidi w:val="0"/>
        <w:adjustRightInd/>
        <w:ind w:left="4111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pojmovo precizuje navrhované znenie v zmysle zaužívanej praxe.</w:t>
      </w:r>
    </w:p>
    <w:p w:rsidR="00CA4D89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</w:pPr>
    </w:p>
    <w:p w:rsidR="00CA4D89" w:rsidRPr="00CA4D89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bod 24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684" w:right="0" w:firstLine="57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doterajšom bode 24 v § 22i ods. 8 druhej vete sa slová „v mene“ nahrádzajú slovami „je uvedené v prvej vete“ a za slovo „sa“  sa vkladá slovo „odplata“.  </w:t>
      </w:r>
    </w:p>
    <w:p w:rsidR="00CA4D89" w:rsidP="00CA4D89">
      <w:pPr>
        <w:framePr w:wrap="auto"/>
        <w:widowControl/>
        <w:autoSpaceDE/>
        <w:autoSpaceDN/>
        <w:bidi w:val="0"/>
        <w:adjustRightInd/>
        <w:ind w:left="36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4111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Zmena sa navrhuje z dôvodu spresnenia znenia tak, aby bolo zrejmé, že v prípade odplaty vyplatenej v inej forme ako je peňažná mena (tzv. mena s núteným obehom), t.j. napríklad formou virtuálnej meny, prípadne v nepeňažnej forme, tak oznamujúci prevádzkovateľ platformy si sám určí jednotný a konzistentný prístup pri prepočte na eurá.  </w:t>
      </w:r>
    </w:p>
    <w:p w:rsidR="00CA4D89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</w:pPr>
    </w:p>
    <w:p w:rsidR="00EE1A44" w:rsidRPr="00CA4D89" w:rsidP="00CA4D89">
      <w:pPr>
        <w:framePr w:wrap="auto"/>
        <w:widowControl/>
        <w:numPr>
          <w:numId w:val="40"/>
        </w:numPr>
        <w:overflowPunct w:val="0"/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24. bodu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786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čl. I, 24. bode (§ 22j ods. 1) sa slová „elektronického vyhlásenia“ nahrádzajú slovami „elektronického oznámenia“.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786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zosúlaďuje navrhovaný pojem so znením prvej a druhej vety predmetného ustanovenia.</w:t>
      </w:r>
    </w:p>
    <w:p w:rsidR="00EE1A44" w:rsidP="00EE1A44">
      <w:pPr>
        <w:framePr w:wrap="auto"/>
        <w:widowControl/>
        <w:overflowPunct w:val="0"/>
        <w:autoSpaceDE/>
        <w:autoSpaceDN/>
        <w:bidi w:val="0"/>
        <w:adjustRightInd/>
        <w:ind w:left="788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P="00EE1A44">
      <w:pPr>
        <w:framePr w:wrap="auto"/>
        <w:widowControl/>
        <w:overflowPunct w:val="0"/>
        <w:autoSpaceDE/>
        <w:autoSpaceDN/>
        <w:bidi w:val="0"/>
        <w:adjustRightInd/>
        <w:ind w:left="788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P="00EE1A44">
      <w:pPr>
        <w:framePr w:wrap="auto"/>
        <w:widowControl/>
        <w:overflowPunct w:val="0"/>
        <w:autoSpaceDE/>
        <w:autoSpaceDN/>
        <w:bidi w:val="0"/>
        <w:adjustRightInd/>
        <w:ind w:left="788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RPr="00387528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bod 24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720" w:right="0" w:firstLine="21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doterajšom bode 24  v § 22j ods. 2 sa slová „už nie je zaregistrovaný v inom členskom štáte“ nahrádzajú slovami „sa rozhodne registrovať v Slovenskej republike“. 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284"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Zmena sa navrhuje z dôvodu upresnenia pravidiel registrácie pre neusadených prevádzkovateľov platformy, ak sa rozhodnú registrovať v Slovenskej republike.  Smernica zavádza povinnosť registrácie v minimálne jednom členskom štáte, avšak nevylučuje registráciu vo viacerých členských štátoch. </w:t>
      </w:r>
    </w:p>
    <w:p w:rsidR="00CA4D89" w:rsidP="00EE1A44">
      <w:pPr>
        <w:framePr w:wrap="auto"/>
        <w:widowControl/>
        <w:overflowPunct w:val="0"/>
        <w:autoSpaceDE/>
        <w:autoSpaceDN/>
        <w:bidi w:val="0"/>
        <w:adjustRightInd/>
        <w:ind w:left="788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EE1A44" w:rsidRPr="00CA4D89" w:rsidP="00CA4D89">
      <w:pPr>
        <w:framePr w:wrap="auto"/>
        <w:widowControl/>
        <w:numPr>
          <w:numId w:val="40"/>
        </w:numPr>
        <w:overflowPunct w:val="0"/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24. bodu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786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 čl. I, 24. bode, 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§ 22j ods. 9 sa slovo „sankciu“ nahrádza slovom „pokutu“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a v § 22m ods. 3 sa slová „na uplatnenie sankcií“ nahrádzajú slovami „na uloženie pokuty“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. 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EE1A44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Pozmeňujúci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terminologicky harmonizuje citované ustanovenia, nakoľko návrh zákona, ako aj jeho platné znenie umožňuje za správny delikt výhradne uloženie pokuty.</w:t>
      </w:r>
    </w:p>
    <w:p w:rsidR="00EE1A44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RPr="00CA4D89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bod 24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436" w:right="0" w:firstLine="284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doterajšom bode 24 sa  § 22j dopĺňa odsekom 10, ktorý znie: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627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„(10) Oznamujúci prevádzkovateľ platformy podľa § 22h písm. e) druhého bodu je povinný  oznamovať skutočnosti podľa § 22i ods. 5 a § 22j ods. 2 až 4 a 9 správcovi dane, ktorým je Daňový úrad Bratislava, elektronickými prostriedkami, pričom na takéto oznamovanie skutočností sa nevzťahuje spôsob doručovania písomností podľa osobitného predpisu</w:t>
      </w:r>
      <w:r w:rsidRPr="00387528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23b</w:t>
      </w: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).“. 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284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P="00CA4D89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Ustanovenie odseku 10 upravuje oznamovanie skutočností oznamujúcim prevádzkovateľom platformy podľa § 22h písm. e) druhého bodu (ďalej len „neusadený oznamujúci prevádzkovateľ platformy“). Neusadený oznamujúci prevádzkovateľ platformy je povinný oznamovať skutočnosti Daňovému úradu Bratislava výlučne elektronickými prostriedkami. Nakoľko v prípade neusadených oznamujúcich prevádzkovateľov platforiem ide o subjekty, ktoré nie sú usadené a nezdržiavajú sa na území Slovenskej republiky, spôsob doručovania písomností sa v tomto prípade upravuje inak, pričom sa na doručovanie písomností neuplatnia ustanovenia § 13 ods. 5 a 6  zákona č. 563/2009 Z. z. o správe daní (daňový poriadok) a o zmene a doplnení niektorých zákonov v znení neskorších predpisov, ktoré vyžadujú podpis kvalifikovaným elektronickým podpisom, resp. doručenie podania v listinnej forme do 5 pracovných dní od odoslania podania urobeného elektronickými prostriedkami.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O</w:t>
      </w: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znamovanie skutočností neusadenými oznamujúcimi prevádzkovateľmi platforiem sa bude realizovať prostredníctvom webového sídla finančnej správy. Zo strany Daňového úradu Bratislava sú písomnosti doručované neusadeným oznamujúcim prevádzkovateľom platforiem tiež výlučne elektronicky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.</w:t>
      </w:r>
    </w:p>
    <w:p w:rsidR="00CA4D89" w:rsidP="00EE1A44">
      <w:pPr>
        <w:framePr w:wrap="auto"/>
        <w:widowControl/>
        <w:overflowPunct w:val="0"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EE1A44" w:rsidRPr="00CA4D89" w:rsidP="00CA4D89">
      <w:pPr>
        <w:framePr w:wrap="auto"/>
        <w:widowControl/>
        <w:numPr>
          <w:numId w:val="40"/>
        </w:numPr>
        <w:overflowPunct w:val="0"/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CA4D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I, 24. bodu </w:t>
      </w:r>
    </w:p>
    <w:p w:rsidR="00EE1A44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78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4. bode, § 22k ods. 8 druhej vete sa slovo „príslušných“ nahrádza slovom „vybraných“. </w:t>
      </w:r>
    </w:p>
    <w:p w:rsidR="00622371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3969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1A44" w:rsidRPr="00B267D7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3969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Pozmeňujúci návrh s cieľom zjednotiť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pojem používaný v danom ustanovení zákona t. j. vybrané činnosti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Symbol" w:eastAsia="Times New Roman" w:hAnsi="Symbol" w:cs="Times New Roman"/>
          <w:sz w:val="24"/>
          <w:szCs w:val="24"/>
          <w:cs w:val="0"/>
          <w:lang w:val="sk-SK" w:eastAsia="sk-SK" w:bidi="ar-SA"/>
        </w:rPr>
        <w:sym w:font="Symbol" w:char="F05B"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napr. čl. I, 24. bod - § 22h písm. f), § 22k ods. 3 písm. f)</w:t>
      </w:r>
      <w:r>
        <w:rPr>
          <w:rFonts w:ascii="Symbol" w:eastAsia="Times New Roman" w:hAnsi="Symbol" w:cs="Times New Roman"/>
          <w:sz w:val="24"/>
          <w:szCs w:val="24"/>
          <w:cs w:val="0"/>
          <w:lang w:val="sk-SK" w:eastAsia="sk-SK" w:bidi="ar-SA"/>
        </w:rPr>
        <w:sym w:font="Symbol" w:char="F05D"/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</w:pPr>
    </w:p>
    <w:p w:rsidR="00EE1A44" w:rsidRPr="00B267D7" w:rsidP="00CA4D89">
      <w:pPr>
        <w:framePr w:wrap="auto"/>
        <w:widowControl/>
        <w:numPr>
          <w:numId w:val="40"/>
        </w:numPr>
        <w:overflowPunct w:val="0"/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B267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K čl. I,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2</w:t>
      </w:r>
      <w:r w:rsidRPr="00B267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 xml:space="preserve">4. bodu </w:t>
      </w:r>
    </w:p>
    <w:p w:rsidR="00EE1A44" w:rsidRPr="00B267D7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78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4. bode, § 22k ods. 16 písm. a) sa slová „získané, overené“ nahrádzajú slovami „získané a overené“.</w:t>
      </w:r>
    </w:p>
    <w:p w:rsidR="00EE1A44" w:rsidRPr="00B267D7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108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1A44" w:rsidRPr="00B267D7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3969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Pozmeňujúci návrh spresňuje citované ustanovenie 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zmysle smernice </w:t>
      </w:r>
      <w:r>
        <w:rPr>
          <w:rFonts w:ascii="Times New Roman" w:eastAsia="Times New Roman" w:hAnsi="Times New Roman" w:cs="Times New Roman" w:hint="default"/>
          <w:sz w:val="24"/>
          <w:szCs w:val="24"/>
          <w:rtl w:val="0"/>
          <w:cs w:val="0"/>
          <w:lang w:val="sk-SK" w:eastAsia="sk-SK" w:bidi="ar-SA"/>
        </w:rPr>
        <w:t>2021/514</w:t>
      </w:r>
      <w:r w:rsidRPr="00B267D7">
        <w:rPr>
          <w:rFonts w:ascii="Times New Roman" w:eastAsia="Times New Roman" w:hAnsi="Times New Roman" w:cs="Times New Roman" w:hint="default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B267D7">
        <w:rPr>
          <w:rFonts w:ascii="Times New Roman" w:eastAsia="Times New Roman" w:hAnsi="Times New Roman" w:cs="Times New Roman" w:hint="default"/>
          <w:sz w:val="24"/>
          <w:szCs w:val="24"/>
          <w:rtl w:val="0"/>
          <w:cs w:val="0"/>
          <w:lang w:val="sk-SK" w:eastAsia="sk-SK" w:bidi="ar-SA"/>
        </w:rPr>
        <w:t>prí</w:t>
      </w:r>
      <w:r w:rsidRPr="00B267D7">
        <w:rPr>
          <w:rFonts w:ascii="Times New Roman" w:eastAsia="Times New Roman" w:hAnsi="Times New Roman" w:cs="Times New Roman" w:hint="default"/>
          <w:sz w:val="24"/>
          <w:szCs w:val="24"/>
          <w:rtl w:val="0"/>
          <w:cs w:val="0"/>
          <w:lang w:val="sk-SK" w:eastAsia="sk-SK" w:bidi="ar-SA"/>
        </w:rPr>
        <w:t>lohe č</w:t>
      </w:r>
      <w:r w:rsidRPr="00B267D7">
        <w:rPr>
          <w:rFonts w:ascii="Times New Roman" w:eastAsia="Times New Roman" w:hAnsi="Times New Roman" w:cs="Times New Roman" w:hint="default"/>
          <w:sz w:val="24"/>
          <w:szCs w:val="24"/>
          <w:rtl w:val="0"/>
          <w:cs w:val="0"/>
          <w:lang w:val="sk-SK" w:eastAsia="sk-SK" w:bidi="ar-SA"/>
        </w:rPr>
        <w:t>. V </w:t>
      </w:r>
      <w:r w:rsidRPr="00B267D7">
        <w:rPr>
          <w:rFonts w:ascii="Times New Roman" w:eastAsia="Times New Roman" w:hAnsi="Times New Roman" w:cs="Times New Roman" w:hint="default"/>
          <w:sz w:val="24"/>
          <w:szCs w:val="24"/>
          <w:rtl w:val="0"/>
          <w:cs w:val="0"/>
          <w:lang w:val="sk-SK" w:eastAsia="sk-SK" w:bidi="ar-SA"/>
        </w:rPr>
        <w:t>oddiele II pí</w:t>
      </w:r>
      <w:r w:rsidRPr="00B267D7">
        <w:rPr>
          <w:rFonts w:ascii="Times New Roman" w:eastAsia="Times New Roman" w:hAnsi="Times New Roman" w:cs="Times New Roman" w:hint="default"/>
          <w:sz w:val="24"/>
          <w:szCs w:val="24"/>
          <w:rtl w:val="0"/>
          <w:cs w:val="0"/>
          <w:lang w:val="sk-SK" w:eastAsia="sk-SK" w:bidi="ar-SA"/>
        </w:rPr>
        <w:t>smeno F bod 3 pí</w:t>
      </w:r>
      <w:r w:rsidRPr="00B267D7">
        <w:rPr>
          <w:rFonts w:ascii="Times New Roman" w:eastAsia="Times New Roman" w:hAnsi="Times New Roman" w:cs="Times New Roman" w:hint="default"/>
          <w:sz w:val="24"/>
          <w:szCs w:val="24"/>
          <w:rtl w:val="0"/>
          <w:cs w:val="0"/>
          <w:lang w:val="sk-SK" w:eastAsia="sk-SK" w:bidi="ar-SA"/>
        </w:rPr>
        <w:t>sm. a).</w:t>
      </w:r>
    </w:p>
    <w:p w:rsidR="00EE1A44" w:rsidRPr="00B267D7" w:rsidP="00EE1A44">
      <w:pPr>
        <w:framePr w:wrap="auto"/>
        <w:widowControl/>
        <w:overflowPunct w:val="0"/>
        <w:autoSpaceDE/>
        <w:autoSpaceDN/>
        <w:bidi w:val="0"/>
        <w:adjustRightInd/>
        <w:ind w:left="0" w:right="0"/>
        <w:jc w:val="both"/>
        <w:textAlignment w:val="auto"/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</w:pPr>
    </w:p>
    <w:p w:rsidR="00EE1A44" w:rsidRPr="00B267D7" w:rsidP="00CA4D89">
      <w:pPr>
        <w:framePr w:wrap="auto"/>
        <w:widowControl/>
        <w:numPr>
          <w:numId w:val="40"/>
        </w:numPr>
        <w:shd w:val="clear" w:color="auto" w:fill="FFFFFF"/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B267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K čl. I,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</w:t>
      </w:r>
      <w:r w:rsidRPr="00B267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4. bodu</w:t>
      </w:r>
    </w:p>
    <w:p w:rsidR="00EE1A44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78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4. bode, § 22l ods. 1 sa slová „v odseku 2“ nahrádzajú slovami „v odsekoch 2 a 3“.</w:t>
      </w:r>
    </w:p>
    <w:p w:rsidR="00622371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3969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1A44" w:rsidRPr="00B267D7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3969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Pozmeňujúci návrh transponuje do návrhu zákona znenie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čl. 8ac smernice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2021/514, podľa ktorého sa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oznamujú aj informácie, ktoré sú uvedené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22l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ods. 3 návrhu zákona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E1A44" w:rsidRPr="00B267D7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3969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1A44" w:rsidRPr="00B267D7" w:rsidP="00CA4D89">
      <w:pPr>
        <w:framePr w:wrap="auto"/>
        <w:widowControl/>
        <w:numPr>
          <w:numId w:val="40"/>
        </w:numPr>
        <w:shd w:val="clear" w:color="auto" w:fill="FFFFFF"/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B267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K čl. I,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2</w:t>
      </w:r>
      <w:r w:rsidRPr="00B267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4. bodu</w:t>
      </w:r>
    </w:p>
    <w:p w:rsidR="00EE1A44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78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4. bode, § 22l ods. 3 písm. a) sa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slová „adresa každej položky na zozname nehnuteľností“ nahrádzajú slovami „adresu každej položky na zozname nehnuteľností zistenú“ a v 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§ 22l ods. 3 písm.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sa slová „celková odplata vyplatená a pripísaná“ nahrádzajú slovami „celkovú odplatu vyplatenú a pripísanú“.</w:t>
      </w:r>
    </w:p>
    <w:p w:rsidR="00EE1A44" w:rsidRPr="00B267D7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3969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E1A44" w:rsidP="00EE1A44">
      <w:pPr>
        <w:framePr w:wrap="auto"/>
        <w:widowControl/>
        <w:shd w:val="clear" w:color="auto" w:fill="FFFFFF"/>
        <w:autoSpaceDE/>
        <w:autoSpaceDN/>
        <w:bidi w:val="0"/>
        <w:adjustRightInd/>
        <w:ind w:left="3969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Pozmeňujúci návrh 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legislatívno-technick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ej</w:t>
      </w:r>
      <w:r w:rsidRPr="00B267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povahy formulačne a gramaticky precizuje navrhované znenie vzhľadom na znenie jeho úvodnej vety. </w:t>
      </w:r>
    </w:p>
    <w:p w:rsidR="00CA4D89" w:rsidP="00CA4D89">
      <w:pPr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A4D89" w:rsidRPr="00387528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bod 24</w:t>
      </w:r>
    </w:p>
    <w:p w:rsidR="00CA4D89" w:rsidRPr="00387528" w:rsidP="00DB5123">
      <w:pPr>
        <w:framePr w:wrap="auto"/>
        <w:widowControl/>
        <w:autoSpaceDE/>
        <w:autoSpaceDN/>
        <w:bidi w:val="0"/>
        <w:adjustRightInd/>
        <w:ind w:left="741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doterajšom bode 24  v § 22m ods. 10 sa slová „a príslušné orgány členských štátov dohodnú“ nahrádzajú slovami „dohodne s príslušnými orgánmi členských štátov“.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36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RPr="00387528" w:rsidP="00DB5123">
      <w:pPr>
        <w:framePr w:wrap="auto"/>
        <w:widowControl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Pozmeňujúcim návrhom sa spresňuje povinnosť pre príslušný orgán Slovenskej republiky. 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4253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</w:p>
    <w:p w:rsidR="00CA4D89" w:rsidRPr="00387528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ind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K čl. I, bod 24</w:t>
      </w:r>
    </w:p>
    <w:p w:rsidR="00CA4D89" w:rsidRPr="00387528" w:rsidP="00DB5123">
      <w:pPr>
        <w:framePr w:wrap="auto"/>
        <w:widowControl/>
        <w:autoSpaceDE/>
        <w:autoSpaceDN/>
        <w:bidi w:val="0"/>
        <w:adjustRightInd/>
        <w:ind w:left="684" w:right="0" w:firstLine="57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doterajšom bode 24 v § 22n ods. 2 sa vypúšťajú slová „konanie o správnom delikte a“.</w:t>
        <w:tab/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4253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CA4D89" w:rsidRPr="00387528" w:rsidP="00DB5123">
      <w:pPr>
        <w:framePr w:wrap="auto"/>
        <w:widowControl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Navrhuje sa úprava ustanovenia z dôvodu zosúladenia jeho znenia so znením v § 22g ods. 3 zákona č. 442/2012 Z. z. o medzinárodnej pomoci a spolupráci pri správe daní v znení neskorších predpisov. Rovnako ako v prípade pokút za správne delikty v oblasti automatickej výmeny správ podľa jednotlivých štátov sa na ukladanie pokút pre účely výmeny informácií oznamovaných prevádzkovateľmi platforiem vzťahuje osobitný predpis, ktorým je zákon č. 563/2009 Z. z. o správe daní (daňový poriadok) a o zmene a doplnení niektorých zákonov v znení neskorších predpisov. 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284"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284"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</w:p>
    <w:p w:rsidR="00CA4D89" w:rsidRPr="00387528" w:rsidP="00CA4D89">
      <w:pPr>
        <w:framePr w:wrap="auto"/>
        <w:widowControl/>
        <w:numPr>
          <w:numId w:val="40"/>
        </w:numPr>
        <w:autoSpaceDE/>
        <w:autoSpaceDN/>
        <w:bidi w:val="0"/>
        <w:adjustRightInd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K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č</w:t>
      </w:r>
      <w:r w:rsidRPr="0038752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l. I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>,</w:t>
      </w:r>
      <w:r w:rsidRPr="0038752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en-US" w:bidi="ar-SA"/>
        </w:rPr>
        <w:t xml:space="preserve"> bod 24 </w:t>
      </w:r>
    </w:p>
    <w:p w:rsidR="00CA4D89" w:rsidRPr="00387528" w:rsidP="00DB5123">
      <w:pPr>
        <w:framePr w:wrap="auto"/>
        <w:widowControl/>
        <w:autoSpaceDE/>
        <w:autoSpaceDN/>
        <w:bidi w:val="0"/>
        <w:adjustRightInd/>
        <w:ind w:left="720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8752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 doterajšom bode 24 v § 22p ods. 5 sa nad slovom „predpisu“ odkaz 23b označuje ako odkaz 23c a text „</w:t>
      </w: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Poznámky pod čiarou k odkazom 23a a 23b znejú:</w:t>
      </w:r>
    </w:p>
    <w:p w:rsidR="00CA4D89" w:rsidRPr="00004B8E" w:rsidP="00DB5123">
      <w:pPr>
        <w:framePr w:wrap="auto"/>
        <w:widowControl/>
        <w:autoSpaceDE/>
        <w:autoSpaceDN/>
        <w:bidi w:val="0"/>
        <w:adjustRightInd/>
        <w:ind w:left="627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04B8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23a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§ 68a a  68b zákona č. 222/2004 Z. z. o dani z pridanej hodnoty v znení neskorších predpisov.</w:t>
      </w:r>
    </w:p>
    <w:p w:rsidR="00CA4D89" w:rsidRPr="00004B8E" w:rsidP="00DB5123">
      <w:pPr>
        <w:framePr w:wrap="auto"/>
        <w:widowControl/>
        <w:autoSpaceDE/>
        <w:autoSpaceDN/>
        <w:bidi w:val="0"/>
        <w:adjustRightInd/>
        <w:ind w:left="627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04B8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23b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 xml:space="preserve"> 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Kapitola V nariadenia (EÚ) 2016/679.“  sa nahrádza textom „Poznámky pod čiarou k odkazom 23a až 23c znejú:</w:t>
      </w:r>
    </w:p>
    <w:p w:rsidR="00CA4D89" w:rsidRPr="00004B8E" w:rsidP="00DB5123">
      <w:pPr>
        <w:framePr w:wrap="auto"/>
        <w:widowControl/>
        <w:autoSpaceDE/>
        <w:autoSpaceDN/>
        <w:bidi w:val="0"/>
        <w:adjustRightInd/>
        <w:ind w:left="570" w:right="0" w:firstLine="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04B8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23a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§ 68a a  68b zákona č. 222/2004 Z. z. o dani z pridanej hodnoty v znení neskorších predpisov.</w:t>
      </w:r>
    </w:p>
    <w:p w:rsidR="00CA4D89" w:rsidRPr="00004B8E" w:rsidP="00DB5123">
      <w:pPr>
        <w:framePr w:wrap="auto"/>
        <w:widowControl/>
        <w:autoSpaceDE/>
        <w:autoSpaceDN/>
        <w:bidi w:val="0"/>
        <w:adjustRightInd/>
        <w:ind w:left="324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04B8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23b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§ 13 ods. 5 a 6 zákona č. 563/2009 Z. z.</w:t>
      </w:r>
    </w:p>
    <w:p w:rsidR="00CA4D89" w:rsidRPr="00004B8E" w:rsidP="00DB5123">
      <w:pPr>
        <w:framePr w:wrap="auto"/>
        <w:widowControl/>
        <w:autoSpaceDE/>
        <w:autoSpaceDN/>
        <w:bidi w:val="0"/>
        <w:adjustRightInd/>
        <w:ind w:left="324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04B8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23c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 xml:space="preserve"> </w:t>
      </w:r>
      <w:r w:rsidRPr="00004B8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Kapitola V nariadenia (EÚ) 2016/679.“.“.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CA4D89" w:rsidRPr="00387528" w:rsidP="00DB5123">
      <w:pPr>
        <w:framePr w:wrap="auto"/>
        <w:widowControl/>
        <w:autoSpaceDE/>
        <w:autoSpaceDN/>
        <w:bidi w:val="0"/>
        <w:adjustRightInd/>
        <w:ind w:left="3969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en-US" w:bidi="ar-SA"/>
        </w:rPr>
      </w:pPr>
      <w:r w:rsidRPr="003875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Pozmeňujúcim návrhom sa upravuje legislatívno – technické označenie poznámok pod čiarou, v súvislosti s doplnením § 22j ods. 10. </w:t>
      </w:r>
    </w:p>
    <w:p w:rsidR="00CA4D89" w:rsidRPr="00387528" w:rsidP="00CA4D8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CA4D89" w:rsidP="00CA4D89">
      <w:pPr>
        <w:framePr w:wrap="auto"/>
        <w:widowControl/>
        <w:shd w:val="clear" w:color="auto" w:fill="FFFFFF"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Symbol">
    <w:panose1 w:val="05050102010706020507"/>
    <w:charset w:val="02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68E3169"/>
    <w:multiLevelType w:val="hybridMultilevel"/>
    <w:tmpl w:val="DE04F2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D936AEA"/>
    <w:multiLevelType w:val="hybridMultilevel"/>
    <w:tmpl w:val="0C64A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7A64239"/>
    <w:multiLevelType w:val="hybridMultilevel"/>
    <w:tmpl w:val="9954C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6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7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71E05AB"/>
    <w:multiLevelType w:val="hybridMultilevel"/>
    <w:tmpl w:val="2C587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4">
    <w:nsid w:val="4BF82297"/>
    <w:multiLevelType w:val="hybridMultilevel"/>
    <w:tmpl w:val="005872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8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77834D2"/>
    <w:multiLevelType w:val="hybridMultilevel"/>
    <w:tmpl w:val="36782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7E920632"/>
    <w:multiLevelType w:val="hybridMultilevel"/>
    <w:tmpl w:val="06AE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17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28"/>
  </w:num>
  <w:num w:numId="15">
    <w:abstractNumId w:val="26"/>
  </w:num>
  <w:num w:numId="16">
    <w:abstractNumId w:val="25"/>
  </w:num>
  <w:num w:numId="17">
    <w:abstractNumId w:val="18"/>
  </w:num>
  <w:num w:numId="18">
    <w:abstractNumId w:val="20"/>
  </w:num>
  <w:num w:numId="19">
    <w:abstractNumId w:val="33"/>
  </w:num>
  <w:num w:numId="20">
    <w:abstractNumId w:val="22"/>
  </w:num>
  <w:num w:numId="21">
    <w:abstractNumId w:val="23"/>
  </w:num>
  <w:num w:numId="22">
    <w:abstractNumId w:val="36"/>
  </w:num>
  <w:num w:numId="23">
    <w:abstractNumId w:val="3"/>
  </w:num>
  <w:num w:numId="24">
    <w:abstractNumId w:val="29"/>
  </w:num>
  <w:num w:numId="25">
    <w:abstractNumId w:va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3"/>
  </w:num>
  <w:num w:numId="30">
    <w:abstractNumId w:val="15"/>
  </w:num>
  <w:num w:numId="31">
    <w:abstractNumId w:val="3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1"/>
  </w:num>
  <w:num w:numId="35">
    <w:abstractNumId w:val="21"/>
  </w:num>
  <w:num w:numId="36">
    <w:abstractNumId w:val="5"/>
  </w:num>
  <w:num w:numId="37">
    <w:abstractNumId w:val="14"/>
  </w:num>
  <w:num w:numId="38">
    <w:abstractNumId w:val="2"/>
  </w:num>
  <w:num w:numId="39">
    <w:abstractNumId w:val="24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183</TotalTime>
  <Pages>6</Pages>
  <Words>1553</Words>
  <Characters>8858</Characters>
  <Application>Microsoft Office Word</Application>
  <DocSecurity>0</DocSecurity>
  <Lines>0</Lines>
  <Paragraphs>0</Paragraphs>
  <ScaleCrop>false</ScaleCrop>
  <Company>Kancelaria NRSR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124</cp:revision>
  <cp:lastPrinted>2020-11-05T12:16:00Z</cp:lastPrinted>
  <dcterms:created xsi:type="dcterms:W3CDTF">2017-11-07T09:36:00Z</dcterms:created>
  <dcterms:modified xsi:type="dcterms:W3CDTF">2022-06-13T13:06:00Z</dcterms:modified>
</cp:coreProperties>
</file>