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76C9" w14:textId="77777777" w:rsidR="00366E68" w:rsidRDefault="00366E68" w:rsidP="00366E6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2EFC7C" w14:textId="77777777" w:rsidR="00B06533" w:rsidRPr="00B06533" w:rsidRDefault="007035FA" w:rsidP="00B06533">
            <w:pPr>
              <w:rPr>
                <w:color w:val="000000"/>
              </w:rPr>
            </w:pPr>
            <w:r w:rsidRPr="00B06533">
              <w:rPr>
                <w:rFonts w:eastAsia="Times New Roman"/>
                <w:color w:val="000000"/>
                <w:lang w:eastAsia="en-GB"/>
              </w:rPr>
              <w:t>Návrh</w:t>
            </w:r>
            <w:r w:rsidRPr="00B06533">
              <w:rPr>
                <w:rFonts w:eastAsia="Times New Roman"/>
                <w:color w:val="000000"/>
                <w:spacing w:val="11"/>
                <w:lang w:eastAsia="en-GB"/>
              </w:rPr>
              <w:t xml:space="preserve"> </w:t>
            </w:r>
            <w:r w:rsidRPr="00B06533">
              <w:rPr>
                <w:rFonts w:eastAsia="Times New Roman"/>
                <w:color w:val="000000"/>
                <w:lang w:eastAsia="en-GB"/>
              </w:rPr>
              <w:t>zákona,</w:t>
            </w:r>
            <w:r w:rsidRPr="00B06533">
              <w:rPr>
                <w:rFonts w:eastAsia="Times New Roman"/>
                <w:color w:val="000000"/>
                <w:spacing w:val="11"/>
                <w:lang w:eastAsia="en-GB"/>
              </w:rPr>
              <w:t xml:space="preserve"> </w:t>
            </w:r>
            <w:r w:rsidR="00B06533" w:rsidRPr="00B06533">
              <w:rPr>
                <w:color w:val="000000"/>
              </w:rPr>
              <w:t>ktorým sa mení a dopĺňa</w:t>
            </w:r>
            <w:r w:rsidR="00B06533" w:rsidRPr="00B06533">
              <w:rPr>
                <w:b/>
                <w:bCs/>
                <w:color w:val="000000"/>
              </w:rPr>
              <w:t xml:space="preserve"> </w:t>
            </w:r>
            <w:r w:rsidR="00B06533" w:rsidRPr="00B06533">
              <w:rPr>
                <w:color w:val="000000"/>
              </w:rPr>
              <w:t>zákon č. 600/2003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Z.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z.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o prídavku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na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dieťa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a o zmene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a doplnení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zákona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č.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461/2003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Z.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z.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o sociálnom</w:t>
            </w:r>
            <w:r w:rsidR="00B06533" w:rsidRPr="00B06533">
              <w:rPr>
                <w:color w:val="000000"/>
                <w:spacing w:val="-7"/>
              </w:rPr>
              <w:t xml:space="preserve"> </w:t>
            </w:r>
            <w:r w:rsidR="00B06533" w:rsidRPr="00B06533">
              <w:rPr>
                <w:color w:val="000000"/>
              </w:rPr>
              <w:t>poistení v znení neskorších predpisov.</w:t>
            </w:r>
          </w:p>
          <w:p w14:paraId="69C03EAC" w14:textId="77992B96" w:rsidR="007035FA" w:rsidRPr="00536029" w:rsidRDefault="007035FA" w:rsidP="007035FA">
            <w:pPr>
              <w:rPr>
                <w:rFonts w:eastAsia="Times New Roman"/>
                <w:color w:val="000000"/>
                <w:lang w:eastAsia="en-GB"/>
              </w:rPr>
            </w:pPr>
          </w:p>
          <w:p w14:paraId="7BA664B0" w14:textId="64CEB9F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77777777" w:rsidR="00366E68" w:rsidRPr="00536029" w:rsidRDefault="00693B46" w:rsidP="00576EAC">
            <w:pPr>
              <w:spacing w:line="276" w:lineRule="auto"/>
            </w:pPr>
            <w:r w:rsidRPr="00536029">
              <w:t>Poslanci Národnej rady Slovenskej republiky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437321">
        <w:trPr>
          <w:trHeight w:val="26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ECF79C3" w14:textId="381C9ECF" w:rsidR="00B06533" w:rsidRPr="00B06533" w:rsidRDefault="00B06533" w:rsidP="00B06533">
            <w:pPr>
              <w:rPr>
                <w:sz w:val="22"/>
                <w:szCs w:val="22"/>
              </w:rPr>
            </w:pPr>
            <w:r w:rsidRPr="00B06533">
              <w:rPr>
                <w:sz w:val="22"/>
                <w:szCs w:val="22"/>
              </w:rPr>
              <w:t>Napriek tomu, že parlament v máji 2022 schválil tzv. inflačný balík pomoci rodinám s deťmi, ktorý obsahuje aj postupné zvýšenie pravidelných mesačných prídavkov na dieťa v lete 2022 a následne od 1.1.2023 je predkladateľ presvedčený, že problémy s krytím zvýšených výdavkov práve pri deťoch nastupujúcich na prvého ročníka ZŠ je a bude aktuálny</w:t>
            </w:r>
            <w:r w:rsidR="008974C7">
              <w:rPr>
                <w:sz w:val="22"/>
                <w:szCs w:val="22"/>
              </w:rPr>
              <w:t xml:space="preserve"> aj budúcich rokoch</w:t>
            </w:r>
            <w:r w:rsidRPr="00B06533">
              <w:rPr>
                <w:sz w:val="22"/>
                <w:szCs w:val="22"/>
              </w:rPr>
              <w:t>.</w:t>
            </w:r>
          </w:p>
          <w:p w14:paraId="187EDDF2" w14:textId="224F690E" w:rsidR="00B06533" w:rsidRPr="00B06533" w:rsidRDefault="00B06533" w:rsidP="00B06533">
            <w:pPr>
              <w:rPr>
                <w:sz w:val="22"/>
                <w:szCs w:val="22"/>
              </w:rPr>
            </w:pPr>
            <w:r w:rsidRPr="00B06533">
              <w:rPr>
                <w:sz w:val="22"/>
                <w:szCs w:val="22"/>
              </w:rPr>
              <w:t xml:space="preserve">Tento zvýšený prídavok pre rodičov detí nastupujúcich do prvého ročníka základnej školy však bol v predmetnej novele zákona </w:t>
            </w:r>
            <w:r w:rsidR="008974C7">
              <w:rPr>
                <w:sz w:val="22"/>
                <w:szCs w:val="22"/>
              </w:rPr>
              <w:t xml:space="preserve">k 1.1. 2023 </w:t>
            </w:r>
            <w:r w:rsidRPr="00B06533">
              <w:rPr>
                <w:sz w:val="22"/>
                <w:szCs w:val="22"/>
              </w:rPr>
              <w:t>zrušený bez akejkoľvek predchádzajúcej diskusie a analýzy.</w:t>
            </w:r>
          </w:p>
          <w:p w14:paraId="0889E829" w14:textId="26942EC1" w:rsidR="00B06533" w:rsidRPr="00B06533" w:rsidRDefault="00B06533" w:rsidP="00B06533">
            <w:pPr>
              <w:rPr>
                <w:sz w:val="22"/>
                <w:szCs w:val="22"/>
              </w:rPr>
            </w:pPr>
            <w:r w:rsidRPr="00B06533">
              <w:rPr>
                <w:sz w:val="22"/>
                <w:szCs w:val="22"/>
              </w:rPr>
              <w:t xml:space="preserve">Tieto výdavky pritom stúpajú aj vplyvom mimoriadne vysokej inflácie a súvisiacim rastom cien tovarov a služieb, preto je možné považovať potrebu zvýšenej pozornosti k týmto deťom a ich rodičom za naďalej aktuálnu. Navrhované </w:t>
            </w:r>
            <w:proofErr w:type="spellStart"/>
            <w:r w:rsidRPr="00B06533">
              <w:rPr>
                <w:sz w:val="22"/>
                <w:szCs w:val="22"/>
              </w:rPr>
              <w:t>zvýšenie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prídavku</w:t>
            </w:r>
            <w:proofErr w:type="spellEnd"/>
            <w:r w:rsidRPr="00B06533">
              <w:rPr>
                <w:sz w:val="22"/>
                <w:szCs w:val="22"/>
              </w:rPr>
              <w:t xml:space="preserve"> na </w:t>
            </w:r>
            <w:proofErr w:type="spellStart"/>
            <w:r w:rsidRPr="00B06533">
              <w:rPr>
                <w:sz w:val="22"/>
                <w:szCs w:val="22"/>
              </w:rPr>
              <w:t>dieťa</w:t>
            </w:r>
            <w:proofErr w:type="spellEnd"/>
            <w:r w:rsidRPr="00B06533">
              <w:rPr>
                <w:sz w:val="22"/>
                <w:szCs w:val="22"/>
              </w:rPr>
              <w:t xml:space="preserve"> predstavuje </w:t>
            </w:r>
            <w:proofErr w:type="spellStart"/>
            <w:r w:rsidRPr="00B06533">
              <w:rPr>
                <w:sz w:val="22"/>
                <w:szCs w:val="22"/>
              </w:rPr>
              <w:t>adresnu</w:t>
            </w:r>
            <w:proofErr w:type="spellEnd"/>
            <w:r w:rsidRPr="00B06533">
              <w:rPr>
                <w:sz w:val="22"/>
                <w:szCs w:val="22"/>
              </w:rPr>
              <w:t xml:space="preserve">́ a </w:t>
            </w:r>
            <w:proofErr w:type="spellStart"/>
            <w:r w:rsidRPr="00B06533">
              <w:rPr>
                <w:sz w:val="22"/>
                <w:szCs w:val="22"/>
              </w:rPr>
              <w:t>systémovu</w:t>
            </w:r>
            <w:proofErr w:type="spellEnd"/>
            <w:r w:rsidRPr="00B06533">
              <w:rPr>
                <w:sz w:val="22"/>
                <w:szCs w:val="22"/>
              </w:rPr>
              <w:t xml:space="preserve">́ formu </w:t>
            </w:r>
            <w:proofErr w:type="spellStart"/>
            <w:r w:rsidRPr="00B06533">
              <w:rPr>
                <w:sz w:val="22"/>
                <w:szCs w:val="22"/>
              </w:rPr>
              <w:t>finančnej</w:t>
            </w:r>
            <w:proofErr w:type="spellEnd"/>
            <w:r w:rsidRPr="00B06533">
              <w:rPr>
                <w:sz w:val="22"/>
                <w:szCs w:val="22"/>
              </w:rPr>
              <w:t xml:space="preserve"> pomoci pre </w:t>
            </w:r>
            <w:proofErr w:type="spellStart"/>
            <w:r w:rsidRPr="00B06533">
              <w:rPr>
                <w:sz w:val="22"/>
                <w:szCs w:val="22"/>
              </w:rPr>
              <w:t>rodičov</w:t>
            </w:r>
            <w:proofErr w:type="spellEnd"/>
            <w:r w:rsidRPr="00B06533">
              <w:rPr>
                <w:sz w:val="22"/>
                <w:szCs w:val="22"/>
              </w:rPr>
              <w:t xml:space="preserve"> detí nastupujúcich do </w:t>
            </w:r>
            <w:proofErr w:type="spellStart"/>
            <w:r w:rsidRPr="00B06533">
              <w:rPr>
                <w:sz w:val="22"/>
                <w:szCs w:val="22"/>
              </w:rPr>
              <w:t>prvého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ročníka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základnej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školy</w:t>
            </w:r>
            <w:proofErr w:type="spellEnd"/>
            <w:r w:rsidRPr="00B06533">
              <w:rPr>
                <w:sz w:val="22"/>
                <w:szCs w:val="22"/>
              </w:rPr>
              <w:t>.</w:t>
            </w:r>
            <w:r w:rsidR="00437321">
              <w:rPr>
                <w:sz w:val="22"/>
                <w:szCs w:val="22"/>
              </w:rPr>
              <w:t xml:space="preserve"> </w:t>
            </w:r>
            <w:r w:rsidRPr="00B06533">
              <w:rPr>
                <w:sz w:val="22"/>
                <w:szCs w:val="22"/>
              </w:rPr>
              <w:t xml:space="preserve">Predkladateľ je na základe 3-ročnej praxe vyplácania tohto mimoriadneho „príspevku pre rodičov prvákov“, presvedčený, že naďalej existuje opodstatnenie jeho vyplácania. </w:t>
            </w:r>
          </w:p>
          <w:p w14:paraId="6AF6C758" w14:textId="4FD322C0" w:rsidR="00366E68" w:rsidRPr="007035FA" w:rsidRDefault="00366E68" w:rsidP="008B3B9B">
            <w:pPr>
              <w:spacing w:line="276" w:lineRule="auto"/>
              <w:jc w:val="both"/>
              <w:rPr>
                <w:rFonts w:ascii="Times" w:hAnsi="Times" w:cs="Times"/>
                <w:strike/>
                <w:color w:val="FF0000"/>
                <w:sz w:val="22"/>
                <w:szCs w:val="22"/>
              </w:rPr>
            </w:pP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437321">
        <w:trPr>
          <w:trHeight w:val="40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39B8642" w14:textId="6A870238" w:rsidR="00936D7A" w:rsidRPr="00936D7A" w:rsidRDefault="00B06533" w:rsidP="00936D7A">
            <w:pPr>
              <w:rPr>
                <w:sz w:val="22"/>
                <w:szCs w:val="22"/>
              </w:rPr>
            </w:pPr>
            <w:r w:rsidRPr="00B06533">
              <w:rPr>
                <w:sz w:val="22"/>
                <w:szCs w:val="22"/>
              </w:rPr>
              <w:t xml:space="preserve">Predmetom </w:t>
            </w:r>
            <w:proofErr w:type="spellStart"/>
            <w:r w:rsidRPr="00B06533">
              <w:rPr>
                <w:sz w:val="22"/>
                <w:szCs w:val="22"/>
              </w:rPr>
              <w:t>návrhu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zákona</w:t>
            </w:r>
            <w:proofErr w:type="spellEnd"/>
            <w:r w:rsidRPr="00B06533">
              <w:rPr>
                <w:sz w:val="22"/>
                <w:szCs w:val="22"/>
              </w:rPr>
              <w:t xml:space="preserve"> je opätovné zavedenie </w:t>
            </w:r>
            <w:proofErr w:type="spellStart"/>
            <w:r w:rsidRPr="00B06533">
              <w:rPr>
                <w:sz w:val="22"/>
                <w:szCs w:val="22"/>
              </w:rPr>
              <w:t>jednorazového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zvýšenia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prídavku</w:t>
            </w:r>
            <w:proofErr w:type="spellEnd"/>
            <w:r w:rsidRPr="00B06533">
              <w:rPr>
                <w:sz w:val="22"/>
                <w:szCs w:val="22"/>
              </w:rPr>
              <w:t xml:space="preserve"> na </w:t>
            </w:r>
            <w:proofErr w:type="spellStart"/>
            <w:r w:rsidRPr="00B06533">
              <w:rPr>
                <w:sz w:val="22"/>
                <w:szCs w:val="22"/>
              </w:rPr>
              <w:t>dieťa</w:t>
            </w:r>
            <w:proofErr w:type="spellEnd"/>
            <w:r w:rsidRPr="00B06533">
              <w:rPr>
                <w:sz w:val="22"/>
                <w:szCs w:val="22"/>
              </w:rPr>
              <w:t xml:space="preserve">. Suma </w:t>
            </w:r>
            <w:proofErr w:type="spellStart"/>
            <w:r w:rsidRPr="00B06533">
              <w:rPr>
                <w:sz w:val="22"/>
                <w:szCs w:val="22"/>
              </w:rPr>
              <w:t>prídavku</w:t>
            </w:r>
            <w:proofErr w:type="spellEnd"/>
            <w:r w:rsidRPr="00B06533">
              <w:rPr>
                <w:sz w:val="22"/>
                <w:szCs w:val="22"/>
              </w:rPr>
              <w:t xml:space="preserve"> na </w:t>
            </w:r>
            <w:proofErr w:type="spellStart"/>
            <w:r w:rsidRPr="00B06533">
              <w:rPr>
                <w:sz w:val="22"/>
                <w:szCs w:val="22"/>
              </w:rPr>
              <w:t>dieťa</w:t>
            </w:r>
            <w:proofErr w:type="spellEnd"/>
            <w:r w:rsidRPr="00B06533">
              <w:rPr>
                <w:sz w:val="22"/>
                <w:szCs w:val="22"/>
              </w:rPr>
              <w:t xml:space="preserve"> sa </w:t>
            </w:r>
            <w:proofErr w:type="spellStart"/>
            <w:r w:rsidRPr="00B06533">
              <w:rPr>
                <w:sz w:val="22"/>
                <w:szCs w:val="22"/>
              </w:rPr>
              <w:t>zvýši</w:t>
            </w:r>
            <w:proofErr w:type="spellEnd"/>
            <w:r w:rsidRPr="00B06533">
              <w:rPr>
                <w:sz w:val="22"/>
                <w:szCs w:val="22"/>
              </w:rPr>
              <w:t xml:space="preserve"> o </w:t>
            </w:r>
            <w:r w:rsidR="008A0B81" w:rsidRPr="00936D7A">
              <w:rPr>
                <w:color w:val="000000" w:themeColor="text1"/>
                <w:sz w:val="22"/>
                <w:szCs w:val="22"/>
              </w:rPr>
              <w:t>106,33 eur</w:t>
            </w:r>
            <w:r w:rsidR="008A0B81" w:rsidRPr="00B06533">
              <w:rPr>
                <w:sz w:val="22"/>
                <w:szCs w:val="22"/>
              </w:rPr>
              <w:t xml:space="preserve"> </w:t>
            </w:r>
            <w:r w:rsidRPr="00B06533">
              <w:rPr>
                <w:sz w:val="22"/>
                <w:szCs w:val="22"/>
              </w:rPr>
              <w:t xml:space="preserve">za ten </w:t>
            </w:r>
            <w:proofErr w:type="spellStart"/>
            <w:r w:rsidRPr="00B06533">
              <w:rPr>
                <w:sz w:val="22"/>
                <w:szCs w:val="22"/>
              </w:rPr>
              <w:t>kalendárny</w:t>
            </w:r>
            <w:proofErr w:type="spellEnd"/>
            <w:r w:rsidRPr="00B06533">
              <w:rPr>
                <w:sz w:val="22"/>
                <w:szCs w:val="22"/>
              </w:rPr>
              <w:t xml:space="preserve"> mesiac, v ktorom </w:t>
            </w:r>
            <w:r w:rsidRPr="00B06533">
              <w:rPr>
                <w:color w:val="000000" w:themeColor="text1"/>
                <w:sz w:val="22"/>
                <w:szCs w:val="22"/>
              </w:rPr>
              <w:t xml:space="preserve">nezaopatrené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dieťa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oprávnenej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osoby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prvýkrát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nastúpilo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prvého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ročníka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základnej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color w:val="000000" w:themeColor="text1"/>
                <w:sz w:val="22"/>
                <w:szCs w:val="22"/>
              </w:rPr>
              <w:t>školy</w:t>
            </w:r>
            <w:proofErr w:type="spellEnd"/>
            <w:r w:rsidRPr="00B06533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Spravidla ide o september, prídavky na deti vyššie o </w:t>
            </w:r>
            <w:r w:rsidR="008A0B81" w:rsidRPr="00936D7A">
              <w:rPr>
                <w:color w:val="000000" w:themeColor="text1"/>
                <w:sz w:val="22"/>
                <w:szCs w:val="22"/>
              </w:rPr>
              <w:t>106,33 eur</w:t>
            </w:r>
            <w:r w:rsidR="008A0B81"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 </w:t>
            </w:r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teda </w:t>
            </w:r>
            <w:r w:rsidRPr="00B06533">
              <w:rPr>
                <w:color w:val="000000" w:themeColor="text1"/>
                <w:spacing w:val="-5"/>
                <w:sz w:val="22"/>
                <w:szCs w:val="22"/>
              </w:rPr>
              <w:t xml:space="preserve">rodiny </w:t>
            </w:r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dostanú už v októbri </w:t>
            </w:r>
            <w:r w:rsidRPr="00B06533">
              <w:rPr>
                <w:color w:val="000000" w:themeColor="text1"/>
                <w:spacing w:val="-5"/>
                <w:sz w:val="22"/>
                <w:szCs w:val="22"/>
              </w:rPr>
              <w:t>daného</w:t>
            </w:r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 roka.</w:t>
            </w:r>
            <w:r w:rsidRPr="00B0653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Znamená to, že rodič prváka, ktorý si začal v septembri plniť školskú dochádzku, dostane príspevok </w:t>
            </w:r>
            <w:r w:rsidR="008A0B81" w:rsidRPr="00936D7A">
              <w:rPr>
                <w:color w:val="000000" w:themeColor="text1"/>
                <w:sz w:val="22"/>
                <w:szCs w:val="22"/>
              </w:rPr>
              <w:t>106,33</w:t>
            </w:r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>eur</w:t>
            </w:r>
            <w:proofErr w:type="spellEnd"/>
            <w:r w:rsidRPr="005C20B9">
              <w:rPr>
                <w:color w:val="000000" w:themeColor="text1"/>
                <w:spacing w:val="-5"/>
                <w:sz w:val="22"/>
                <w:szCs w:val="22"/>
                <w:lang w:eastAsia="en-GB"/>
              </w:rPr>
              <w:t xml:space="preserve"> vyplatený spolu s rodinným prídavkom v obvyklom čase a obvyklým spôsobom</w:t>
            </w:r>
            <w:r w:rsidRPr="00B06533">
              <w:rPr>
                <w:color w:val="000000" w:themeColor="text1"/>
                <w:spacing w:val="-5"/>
                <w:sz w:val="22"/>
                <w:szCs w:val="22"/>
              </w:rPr>
              <w:t xml:space="preserve">. </w:t>
            </w:r>
            <w:r w:rsidRPr="00B06533">
              <w:rPr>
                <w:sz w:val="22"/>
                <w:szCs w:val="22"/>
              </w:rPr>
              <w:t xml:space="preserve">Tak ako bolo cieľom pri jeho zavedení v roku 2019,  jednorazové </w:t>
            </w:r>
            <w:proofErr w:type="spellStart"/>
            <w:r w:rsidRPr="00B06533">
              <w:rPr>
                <w:sz w:val="22"/>
                <w:szCs w:val="22"/>
              </w:rPr>
              <w:t>zvýšenie</w:t>
            </w:r>
            <w:proofErr w:type="spellEnd"/>
            <w:r w:rsidRPr="00B06533">
              <w:rPr>
                <w:sz w:val="22"/>
                <w:szCs w:val="22"/>
              </w:rPr>
              <w:t xml:space="preserve"> sumy </w:t>
            </w:r>
            <w:proofErr w:type="spellStart"/>
            <w:r w:rsidRPr="00B06533">
              <w:rPr>
                <w:sz w:val="22"/>
                <w:szCs w:val="22"/>
              </w:rPr>
              <w:t>prídavku</w:t>
            </w:r>
            <w:proofErr w:type="spellEnd"/>
            <w:r w:rsidRPr="00B06533">
              <w:rPr>
                <w:sz w:val="22"/>
                <w:szCs w:val="22"/>
              </w:rPr>
              <w:t xml:space="preserve"> na </w:t>
            </w:r>
            <w:proofErr w:type="spellStart"/>
            <w:r w:rsidRPr="00B06533">
              <w:rPr>
                <w:sz w:val="22"/>
                <w:szCs w:val="22"/>
              </w:rPr>
              <w:t>dieťa</w:t>
            </w:r>
            <w:proofErr w:type="spellEnd"/>
            <w:r w:rsidRPr="00B06533">
              <w:rPr>
                <w:sz w:val="22"/>
                <w:szCs w:val="22"/>
              </w:rPr>
              <w:t xml:space="preserve"> za </w:t>
            </w:r>
            <w:proofErr w:type="spellStart"/>
            <w:r w:rsidRPr="00B06533">
              <w:rPr>
                <w:sz w:val="22"/>
                <w:szCs w:val="22"/>
              </w:rPr>
              <w:t>kalendárny</w:t>
            </w:r>
            <w:proofErr w:type="spellEnd"/>
            <w:r w:rsidRPr="00B06533">
              <w:rPr>
                <w:sz w:val="22"/>
                <w:szCs w:val="22"/>
              </w:rPr>
              <w:t xml:space="preserve"> mesiac, v ktorom nezaopatrené </w:t>
            </w:r>
            <w:proofErr w:type="spellStart"/>
            <w:r w:rsidRPr="00B06533">
              <w:rPr>
                <w:sz w:val="22"/>
                <w:szCs w:val="22"/>
              </w:rPr>
              <w:t>dieťa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prvýkrát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nastúpi</w:t>
            </w:r>
            <w:proofErr w:type="spellEnd"/>
            <w:r w:rsidRPr="00B06533">
              <w:rPr>
                <w:sz w:val="22"/>
                <w:szCs w:val="22"/>
              </w:rPr>
              <w:t xml:space="preserve"> do </w:t>
            </w:r>
            <w:proofErr w:type="spellStart"/>
            <w:r w:rsidRPr="00B06533">
              <w:rPr>
                <w:sz w:val="22"/>
                <w:szCs w:val="22"/>
              </w:rPr>
              <w:t>prvého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ročníka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základnej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školy</w:t>
            </w:r>
            <w:proofErr w:type="spellEnd"/>
            <w:r w:rsidRPr="00B06533">
              <w:rPr>
                <w:sz w:val="22"/>
                <w:szCs w:val="22"/>
              </w:rPr>
              <w:t xml:space="preserve">, niektoré rodiny čiastočne, ale mnohé významne </w:t>
            </w:r>
            <w:proofErr w:type="spellStart"/>
            <w:r w:rsidRPr="00B06533">
              <w:rPr>
                <w:sz w:val="22"/>
                <w:szCs w:val="22"/>
              </w:rPr>
              <w:t>finančne</w:t>
            </w:r>
            <w:proofErr w:type="spellEnd"/>
            <w:r w:rsidRPr="00B06533">
              <w:rPr>
                <w:sz w:val="22"/>
                <w:szCs w:val="22"/>
              </w:rPr>
              <w:t xml:space="preserve"> odbremeňuje od </w:t>
            </w:r>
            <w:proofErr w:type="spellStart"/>
            <w:r w:rsidRPr="00B06533">
              <w:rPr>
                <w:sz w:val="22"/>
                <w:szCs w:val="22"/>
              </w:rPr>
              <w:t>zvýšených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výdavkov</w:t>
            </w:r>
            <w:proofErr w:type="spellEnd"/>
            <w:r w:rsidRPr="00B06533">
              <w:rPr>
                <w:sz w:val="22"/>
                <w:szCs w:val="22"/>
              </w:rPr>
              <w:t xml:space="preserve">, </w:t>
            </w:r>
            <w:proofErr w:type="spellStart"/>
            <w:r w:rsidRPr="00B06533">
              <w:rPr>
                <w:sz w:val="22"/>
                <w:szCs w:val="22"/>
              </w:rPr>
              <w:t>ktore</w:t>
            </w:r>
            <w:proofErr w:type="spellEnd"/>
            <w:r w:rsidRPr="00B06533">
              <w:rPr>
                <w:sz w:val="22"/>
                <w:szCs w:val="22"/>
              </w:rPr>
              <w:t xml:space="preserve">́ im vznikajú v </w:t>
            </w:r>
            <w:proofErr w:type="spellStart"/>
            <w:r w:rsidRPr="00B06533">
              <w:rPr>
                <w:sz w:val="22"/>
                <w:szCs w:val="22"/>
              </w:rPr>
              <w:t>dôsledku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nástupu</w:t>
            </w:r>
            <w:proofErr w:type="spellEnd"/>
            <w:r w:rsidRPr="00B06533">
              <w:rPr>
                <w:sz w:val="22"/>
                <w:szCs w:val="22"/>
              </w:rPr>
              <w:t xml:space="preserve"> ich </w:t>
            </w:r>
            <w:proofErr w:type="spellStart"/>
            <w:r w:rsidRPr="00B06533">
              <w:rPr>
                <w:sz w:val="22"/>
                <w:szCs w:val="22"/>
              </w:rPr>
              <w:t>dieťaťa</w:t>
            </w:r>
            <w:proofErr w:type="spellEnd"/>
            <w:r w:rsidRPr="00B06533">
              <w:rPr>
                <w:sz w:val="22"/>
                <w:szCs w:val="22"/>
              </w:rPr>
              <w:t xml:space="preserve"> do </w:t>
            </w:r>
            <w:proofErr w:type="spellStart"/>
            <w:r w:rsidRPr="00B06533">
              <w:rPr>
                <w:sz w:val="22"/>
                <w:szCs w:val="22"/>
              </w:rPr>
              <w:t>základnej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školy</w:t>
            </w:r>
            <w:proofErr w:type="spellEnd"/>
            <w:r w:rsidRPr="00B06533">
              <w:rPr>
                <w:sz w:val="22"/>
                <w:szCs w:val="22"/>
              </w:rPr>
              <w:t xml:space="preserve">. Po opätovnom </w:t>
            </w:r>
            <w:proofErr w:type="spellStart"/>
            <w:r w:rsidRPr="00B06533">
              <w:rPr>
                <w:sz w:val="22"/>
                <w:szCs w:val="22"/>
              </w:rPr>
              <w:t>zavedeni</w:t>
            </w:r>
            <w:proofErr w:type="spellEnd"/>
            <w:r w:rsidRPr="00B06533">
              <w:rPr>
                <w:sz w:val="22"/>
                <w:szCs w:val="22"/>
              </w:rPr>
              <w:t xml:space="preserve">́, resp. pokračovaní </w:t>
            </w:r>
            <w:proofErr w:type="spellStart"/>
            <w:r w:rsidRPr="00B06533">
              <w:rPr>
                <w:sz w:val="22"/>
                <w:szCs w:val="22"/>
              </w:rPr>
              <w:t>predmetného</w:t>
            </w:r>
            <w:proofErr w:type="spellEnd"/>
            <w:r w:rsidRPr="00B06533">
              <w:rPr>
                <w:sz w:val="22"/>
                <w:szCs w:val="22"/>
              </w:rPr>
              <w:t xml:space="preserve"> opatrenia je možné </w:t>
            </w:r>
            <w:proofErr w:type="spellStart"/>
            <w:r w:rsidRPr="00B06533">
              <w:rPr>
                <w:sz w:val="22"/>
                <w:szCs w:val="22"/>
              </w:rPr>
              <w:t>očakávať</w:t>
            </w:r>
            <w:proofErr w:type="spellEnd"/>
            <w:r w:rsidRPr="00B06533">
              <w:rPr>
                <w:sz w:val="22"/>
                <w:szCs w:val="22"/>
              </w:rPr>
              <w:t xml:space="preserve">, </w:t>
            </w:r>
            <w:proofErr w:type="spellStart"/>
            <w:r w:rsidRPr="00B06533">
              <w:rPr>
                <w:sz w:val="22"/>
                <w:szCs w:val="22"/>
              </w:rPr>
              <w:t>že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každe</w:t>
            </w:r>
            <w:proofErr w:type="spellEnd"/>
            <w:r w:rsidRPr="00B06533">
              <w:rPr>
                <w:sz w:val="22"/>
                <w:szCs w:val="22"/>
              </w:rPr>
              <w:t xml:space="preserve">́ </w:t>
            </w:r>
            <w:proofErr w:type="spellStart"/>
            <w:r w:rsidRPr="00B06533">
              <w:rPr>
                <w:sz w:val="22"/>
                <w:szCs w:val="22"/>
              </w:rPr>
              <w:t>dieťa</w:t>
            </w:r>
            <w:proofErr w:type="spellEnd"/>
            <w:r w:rsidRPr="00B06533">
              <w:rPr>
                <w:sz w:val="22"/>
                <w:szCs w:val="22"/>
              </w:rPr>
              <w:t xml:space="preserve">, </w:t>
            </w:r>
            <w:proofErr w:type="spellStart"/>
            <w:r w:rsidRPr="00B06533">
              <w:rPr>
                <w:sz w:val="22"/>
                <w:szCs w:val="22"/>
              </w:rPr>
              <w:t>ktore</w:t>
            </w:r>
            <w:proofErr w:type="spellEnd"/>
            <w:r w:rsidRPr="00B06533">
              <w:rPr>
                <w:sz w:val="22"/>
                <w:szCs w:val="22"/>
              </w:rPr>
              <w:t xml:space="preserve">́ </w:t>
            </w:r>
            <w:proofErr w:type="spellStart"/>
            <w:r w:rsidRPr="00B06533">
              <w:rPr>
                <w:sz w:val="22"/>
                <w:szCs w:val="22"/>
              </w:rPr>
              <w:t>začne</w:t>
            </w:r>
            <w:proofErr w:type="spellEnd"/>
            <w:r w:rsidRPr="00B06533">
              <w:rPr>
                <w:sz w:val="22"/>
                <w:szCs w:val="22"/>
              </w:rPr>
              <w:t xml:space="preserve"> </w:t>
            </w:r>
            <w:proofErr w:type="spellStart"/>
            <w:r w:rsidRPr="00B06533">
              <w:rPr>
                <w:sz w:val="22"/>
                <w:szCs w:val="22"/>
              </w:rPr>
              <w:t>plnit</w:t>
            </w:r>
            <w:proofErr w:type="spellEnd"/>
            <w:r w:rsidRPr="00B06533">
              <w:rPr>
                <w:sz w:val="22"/>
                <w:szCs w:val="22"/>
              </w:rPr>
              <w:t xml:space="preserve">̌ </w:t>
            </w:r>
            <w:proofErr w:type="spellStart"/>
            <w:r w:rsidRPr="00B06533">
              <w:rPr>
                <w:sz w:val="22"/>
                <w:szCs w:val="22"/>
              </w:rPr>
              <w:t>povinnu</w:t>
            </w:r>
            <w:proofErr w:type="spellEnd"/>
            <w:r w:rsidRPr="00B06533">
              <w:rPr>
                <w:sz w:val="22"/>
                <w:szCs w:val="22"/>
              </w:rPr>
              <w:t xml:space="preserve">́ </w:t>
            </w:r>
            <w:proofErr w:type="spellStart"/>
            <w:r w:rsidRPr="00B06533">
              <w:rPr>
                <w:sz w:val="22"/>
                <w:szCs w:val="22"/>
              </w:rPr>
              <w:t>školsku</w:t>
            </w:r>
            <w:proofErr w:type="spellEnd"/>
            <w:r w:rsidRPr="00B06533">
              <w:rPr>
                <w:sz w:val="22"/>
                <w:szCs w:val="22"/>
              </w:rPr>
              <w:t xml:space="preserve">́ </w:t>
            </w:r>
            <w:proofErr w:type="spellStart"/>
            <w:r w:rsidRPr="00B06533">
              <w:rPr>
                <w:sz w:val="22"/>
                <w:szCs w:val="22"/>
              </w:rPr>
              <w:t>dochádzku</w:t>
            </w:r>
            <w:proofErr w:type="spellEnd"/>
            <w:r w:rsidRPr="00B06533">
              <w:rPr>
                <w:sz w:val="22"/>
                <w:szCs w:val="22"/>
              </w:rPr>
              <w:t xml:space="preserve">, bude mať </w:t>
            </w:r>
            <w:proofErr w:type="spellStart"/>
            <w:r w:rsidRPr="00B06533">
              <w:rPr>
                <w:sz w:val="22"/>
                <w:szCs w:val="22"/>
              </w:rPr>
              <w:t>zabezpečene</w:t>
            </w:r>
            <w:proofErr w:type="spellEnd"/>
            <w:r w:rsidRPr="00B06533">
              <w:rPr>
                <w:sz w:val="22"/>
                <w:szCs w:val="22"/>
              </w:rPr>
              <w:t xml:space="preserve">́ </w:t>
            </w:r>
            <w:proofErr w:type="spellStart"/>
            <w:r w:rsidRPr="00B06533">
              <w:rPr>
                <w:sz w:val="22"/>
                <w:szCs w:val="22"/>
              </w:rPr>
              <w:t>základne</w:t>
            </w:r>
            <w:proofErr w:type="spellEnd"/>
            <w:r w:rsidRPr="00B06533">
              <w:rPr>
                <w:sz w:val="22"/>
                <w:szCs w:val="22"/>
              </w:rPr>
              <w:t xml:space="preserve">́ </w:t>
            </w:r>
            <w:proofErr w:type="spellStart"/>
            <w:r w:rsidRPr="00B06533">
              <w:rPr>
                <w:sz w:val="22"/>
                <w:szCs w:val="22"/>
              </w:rPr>
              <w:t>školske</w:t>
            </w:r>
            <w:proofErr w:type="spellEnd"/>
            <w:r w:rsidRPr="00B06533">
              <w:rPr>
                <w:sz w:val="22"/>
                <w:szCs w:val="22"/>
              </w:rPr>
              <w:t xml:space="preserve">́ potreby pri </w:t>
            </w:r>
            <w:proofErr w:type="spellStart"/>
            <w:r w:rsidRPr="00B06533">
              <w:rPr>
                <w:sz w:val="22"/>
                <w:szCs w:val="22"/>
              </w:rPr>
              <w:t>nástupe</w:t>
            </w:r>
            <w:proofErr w:type="spellEnd"/>
            <w:r w:rsidRPr="00B06533">
              <w:rPr>
                <w:sz w:val="22"/>
                <w:szCs w:val="22"/>
              </w:rPr>
              <w:t xml:space="preserve"> do </w:t>
            </w:r>
            <w:proofErr w:type="spellStart"/>
            <w:r w:rsidRPr="00B06533">
              <w:rPr>
                <w:sz w:val="22"/>
                <w:szCs w:val="22"/>
              </w:rPr>
              <w:t>školy</w:t>
            </w:r>
            <w:proofErr w:type="spellEnd"/>
            <w:r w:rsidRPr="00B06533">
              <w:rPr>
                <w:sz w:val="22"/>
                <w:szCs w:val="22"/>
              </w:rPr>
              <w:t xml:space="preserve">. Predkladateľ to </w:t>
            </w:r>
            <w:r w:rsidRPr="00437321">
              <w:rPr>
                <w:sz w:val="22"/>
                <w:szCs w:val="22"/>
              </w:rPr>
              <w:t xml:space="preserve">považuje za záujem dieťaťa, jeho rodiny, školy aj celej spoločnosti. </w:t>
            </w:r>
            <w:r w:rsidR="00437321" w:rsidRPr="00437321">
              <w:rPr>
                <w:color w:val="1D1D2F"/>
                <w:spacing w:val="-5"/>
                <w:sz w:val="22"/>
                <w:szCs w:val="22"/>
              </w:rPr>
              <w:t xml:space="preserve">Pri cielení tejto pomoci nie je možné hovoriť výhradne o rodinách </w:t>
            </w:r>
            <w:r w:rsidR="00437321" w:rsidRPr="00936D7A">
              <w:rPr>
                <w:color w:val="1D1D2F"/>
                <w:spacing w:val="-5"/>
                <w:sz w:val="22"/>
                <w:szCs w:val="22"/>
              </w:rPr>
              <w:t>v hmotnej núdzi, problémy s ich vykrytím mávajú aj rodiny zamestnaných rodičov s nižšími mzdami.</w:t>
            </w:r>
            <w:r w:rsidR="006C1AF5" w:rsidRPr="00936D7A">
              <w:rPr>
                <w:color w:val="000000" w:themeColor="text1"/>
                <w:sz w:val="22"/>
                <w:szCs w:val="22"/>
              </w:rPr>
              <w:t xml:space="preserve"> </w:t>
            </w:r>
            <w:r w:rsidR="00936D7A" w:rsidRPr="00936D7A">
              <w:rPr>
                <w:color w:val="000000" w:themeColor="text1"/>
                <w:sz w:val="22"/>
                <w:szCs w:val="22"/>
              </w:rPr>
              <w:t>Pre rok 2022 MPSVR SR</w:t>
            </w:r>
            <w:r w:rsidR="00936D7A">
              <w:rPr>
                <w:color w:val="000000" w:themeColor="text1"/>
                <w:sz w:val="22"/>
                <w:szCs w:val="22"/>
              </w:rPr>
              <w:t xml:space="preserve"> </w:t>
            </w:r>
            <w:r w:rsidR="00936D7A" w:rsidRPr="00936D7A">
              <w:rPr>
                <w:color w:val="000000" w:themeColor="text1"/>
                <w:sz w:val="22"/>
                <w:szCs w:val="22"/>
              </w:rPr>
              <w:t xml:space="preserve">predpokladalo nástup približne 60 000 detí do prvého ročníka </w:t>
            </w:r>
            <w:r w:rsidR="00936D7A" w:rsidRPr="00936D7A">
              <w:rPr>
                <w:color w:val="000000" w:themeColor="text1"/>
                <w:sz w:val="22"/>
                <w:szCs w:val="22"/>
              </w:rPr>
              <w:lastRenderedPageBreak/>
              <w:t xml:space="preserve">základnej školy. Pri stanovenej výške tohto zvýšeného príspevku boli v kapitole rozpočtu MPSVR SR pre 2022 (106,33 eur) plánované výdavky cca 6,42 mil. Eur. </w:t>
            </w:r>
          </w:p>
          <w:p w14:paraId="5B411B33" w14:textId="0A091EDB" w:rsidR="007D786B" w:rsidRPr="00936D7A" w:rsidRDefault="00936D7A" w:rsidP="007D786B">
            <w:pPr>
              <w:rPr>
                <w:color w:val="000000"/>
                <w:sz w:val="22"/>
                <w:szCs w:val="22"/>
              </w:rPr>
            </w:pPr>
            <w:r w:rsidRPr="00936D7A">
              <w:rPr>
                <w:color w:val="000000" w:themeColor="text1"/>
                <w:sz w:val="22"/>
                <w:szCs w:val="22"/>
              </w:rPr>
              <w:t xml:space="preserve">Keďže predkladateľ navrhuje opätovné stanovenie tejto pomoci od roku 2023 na 106,33 eur, je možné predpokladať približne rovnakú úroveň výdavkov </w:t>
            </w:r>
            <w:r w:rsidRPr="00936D7A">
              <w:rPr>
                <w:color w:val="000000"/>
                <w:sz w:val="22"/>
                <w:szCs w:val="22"/>
              </w:rPr>
              <w:t>pre aj rok 2023.</w:t>
            </w:r>
          </w:p>
          <w:p w14:paraId="2F419418" w14:textId="6BBD5F59" w:rsidR="00E86F00" w:rsidRDefault="00E86F00" w:rsidP="00B06533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4.  Dotknuté subjekty</w:t>
            </w:r>
          </w:p>
        </w:tc>
      </w:tr>
      <w:tr w:rsidR="00366E68" w14:paraId="49AA9834" w14:textId="77777777" w:rsidTr="00437321">
        <w:trPr>
          <w:trHeight w:val="152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14A6E513" w:rsidR="00366E68" w:rsidRPr="005D7167" w:rsidRDefault="00366E68" w:rsidP="00576EAC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437321">
        <w:trPr>
          <w:trHeight w:val="222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ListParagraph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437321">
        <w:trPr>
          <w:trHeight w:val="43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437321">
        <w:trPr>
          <w:trHeight w:val="219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437321">
        <w:trPr>
          <w:trHeight w:val="302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</w:p>
    <w:tbl>
      <w:tblPr>
        <w:tblpPr w:leftFromText="180" w:rightFromText="180" w:vertAnchor="text" w:horzAnchor="margin" w:tblpY="-21"/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437321" w14:paraId="74451304" w14:textId="77777777" w:rsidTr="00437321">
        <w:trPr>
          <w:trHeight w:val="450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CC031D7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37321" w14:paraId="2D81B5F6" w14:textId="77777777" w:rsidTr="00437321">
        <w:trPr>
          <w:trHeight w:val="270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8F781DB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7CB5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616E7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D096C04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16AD941D" w14:textId="77777777" w:rsidTr="00437321">
        <w:trPr>
          <w:trHeight w:val="270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E7668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5E07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221D" w14:textId="4EB959B0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8974C7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98677C5" w14:textId="68399AF2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8974C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37321" w14:paraId="729A5338" w14:textId="77777777" w:rsidTr="00437321">
        <w:trPr>
          <w:trHeight w:val="270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C17E452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ED1B7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02E99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1688A9D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6B53C61A" w14:textId="77777777" w:rsidTr="00437321">
        <w:trPr>
          <w:trHeight w:val="270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6F4D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9C6F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48C1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C170CD4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6F8EA818" w14:textId="77777777" w:rsidTr="00437321">
        <w:trPr>
          <w:trHeight w:val="270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7E3D048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9FEF2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66ADE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EEC87F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4E13817C" w14:textId="77777777" w:rsidTr="00437321">
        <w:trPr>
          <w:trHeight w:val="270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ED39994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9C28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E78C1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39B763B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20C2EA07" w14:textId="77777777" w:rsidTr="00437321">
        <w:trPr>
          <w:trHeight w:val="270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D5B59E5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49CF5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12A9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516A4F4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6250876A" w14:textId="77777777" w:rsidTr="00437321">
        <w:trPr>
          <w:trHeight w:val="675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098C9A9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D3E4C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BC4A6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743E261" w14:textId="77777777" w:rsidR="00437321" w:rsidRPr="00235E06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1C7281B0" w14:textId="77777777" w:rsidTr="00437321">
        <w:trPr>
          <w:trHeight w:val="150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E817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9A7E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688F8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59190F2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37321" w14:paraId="7E9B3BAE" w14:textId="77777777" w:rsidTr="00437321">
        <w:trPr>
          <w:trHeight w:val="270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E5F462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3D53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67E62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7AB3849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59D421C0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pPr w:leftFromText="180" w:rightFromText="180" w:vertAnchor="text" w:horzAnchor="margin" w:tblpY="16"/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37321" w14:paraId="3475CB2C" w14:textId="77777777" w:rsidTr="00437321"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6325863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37321" w14:paraId="6D9DA002" w14:textId="77777777" w:rsidTr="00437321">
        <w:trPr>
          <w:trHeight w:val="226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6001E78" w14:textId="77777777" w:rsidR="00437321" w:rsidRDefault="00437321" w:rsidP="0043732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37321" w14:paraId="3433460B" w14:textId="77777777" w:rsidTr="00437321"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3105254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37321" w14:paraId="27F01445" w14:textId="77777777" w:rsidTr="00437321">
        <w:trPr>
          <w:trHeight w:val="249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E12F28F" w14:textId="77777777" w:rsidR="00437321" w:rsidRDefault="00437321" w:rsidP="00437321">
            <w:pPr>
              <w:pStyle w:val="NormalWeb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37321" w14:paraId="6584CD8D" w14:textId="77777777" w:rsidTr="00437321"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0465702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37321" w14:paraId="3A29C33A" w14:textId="77777777" w:rsidTr="00437321">
        <w:trPr>
          <w:trHeight w:val="269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2CE94A8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37321" w14:paraId="22BE481E" w14:textId="77777777" w:rsidTr="00437321"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F336BDF" w14:textId="77777777" w:rsidR="00437321" w:rsidRDefault="00437321" w:rsidP="00437321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37321" w14:paraId="7C5FB7FC" w14:textId="77777777" w:rsidTr="00437321">
        <w:trPr>
          <w:trHeight w:val="233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8E17558" w14:textId="77777777" w:rsidR="00437321" w:rsidRDefault="00437321" w:rsidP="0043732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2644F6EE" w14:textId="77777777" w:rsidR="00366E68" w:rsidRDefault="00366E68" w:rsidP="00366E68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0DC34F67" w14:textId="77777777" w:rsidR="00642C04" w:rsidRDefault="00642C04" w:rsidP="00536029">
      <w:pPr>
        <w:rPr>
          <w:b/>
          <w:caps/>
          <w:spacing w:val="30"/>
          <w:sz w:val="25"/>
          <w:szCs w:val="25"/>
        </w:rPr>
      </w:pPr>
    </w:p>
    <w:p w14:paraId="18C9DA9E" w14:textId="77777777" w:rsidR="00643E95" w:rsidRDefault="00643E95" w:rsidP="00366E68">
      <w:pPr>
        <w:jc w:val="center"/>
        <w:rPr>
          <w:b/>
          <w:caps/>
          <w:spacing w:val="30"/>
          <w:sz w:val="25"/>
          <w:szCs w:val="25"/>
        </w:rPr>
      </w:pPr>
    </w:p>
    <w:p w14:paraId="1D52B047" w14:textId="77777777" w:rsidR="00E86F00" w:rsidRDefault="00E86F00"/>
    <w:p w14:paraId="62D75839" w14:textId="7777777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77777777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Poslanci Národnej rady Slovenskej republiky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45EFC470" w14:textId="77777777" w:rsidR="00437321" w:rsidRPr="00B06533" w:rsidRDefault="002363CC" w:rsidP="00437321">
            <w:pPr>
              <w:rPr>
                <w:color w:val="000000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437321" w:rsidRPr="00B06533">
              <w:rPr>
                <w:rFonts w:eastAsia="Times New Roman"/>
                <w:color w:val="000000"/>
                <w:lang w:eastAsia="en-GB"/>
              </w:rPr>
              <w:t>Návrh</w:t>
            </w:r>
            <w:r w:rsidR="00437321" w:rsidRPr="00B06533">
              <w:rPr>
                <w:rFonts w:eastAsia="Times New Roman"/>
                <w:color w:val="000000"/>
                <w:spacing w:val="11"/>
                <w:lang w:eastAsia="en-GB"/>
              </w:rPr>
              <w:t xml:space="preserve"> </w:t>
            </w:r>
            <w:r w:rsidR="00437321" w:rsidRPr="00B06533">
              <w:rPr>
                <w:rFonts w:eastAsia="Times New Roman"/>
                <w:color w:val="000000"/>
                <w:lang w:eastAsia="en-GB"/>
              </w:rPr>
              <w:t>zákona,</w:t>
            </w:r>
            <w:r w:rsidR="00437321" w:rsidRPr="00B06533">
              <w:rPr>
                <w:rFonts w:eastAsia="Times New Roman"/>
                <w:color w:val="000000"/>
                <w:spacing w:val="11"/>
                <w:lang w:eastAsia="en-GB"/>
              </w:rPr>
              <w:t xml:space="preserve"> </w:t>
            </w:r>
            <w:r w:rsidR="00437321" w:rsidRPr="00B06533">
              <w:rPr>
                <w:color w:val="000000"/>
              </w:rPr>
              <w:t>ktorým sa mení a dopĺňa</w:t>
            </w:r>
            <w:r w:rsidR="00437321" w:rsidRPr="00B06533">
              <w:rPr>
                <w:b/>
                <w:bCs/>
                <w:color w:val="000000"/>
              </w:rPr>
              <w:t xml:space="preserve"> </w:t>
            </w:r>
            <w:r w:rsidR="00437321" w:rsidRPr="00B06533">
              <w:rPr>
                <w:color w:val="000000"/>
              </w:rPr>
              <w:t>zákon č. 600/2003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Z.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z.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o prídavku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na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dieťa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a o zmene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a doplnení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zákona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č.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461/2003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Z.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z.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o sociálnom</w:t>
            </w:r>
            <w:r w:rsidR="00437321" w:rsidRPr="00B06533">
              <w:rPr>
                <w:color w:val="000000"/>
                <w:spacing w:val="-7"/>
              </w:rPr>
              <w:t xml:space="preserve"> </w:t>
            </w:r>
            <w:r w:rsidR="00437321" w:rsidRPr="00B06533">
              <w:rPr>
                <w:color w:val="000000"/>
              </w:rPr>
              <w:t>poistení v znení neskorších predpisov.</w:t>
            </w:r>
          </w:p>
          <w:p w14:paraId="288E6649" w14:textId="1A4FCEF6" w:rsidR="002363CC" w:rsidRPr="00536029" w:rsidRDefault="002363CC" w:rsidP="00536029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DB72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68A6AB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14:paraId="272D13D9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14:paraId="075F411B" w14:textId="77777777" w:rsidR="002363CC" w:rsidRDefault="002363CC" w:rsidP="00275C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6C51510B" w14:textId="77777777" w:rsidR="002363CC" w:rsidRDefault="002363CC" w:rsidP="00275CA9">
            <w:pPr>
              <w:pStyle w:val="ListParagraph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ListParagraph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5905C0A9" w14:textId="77777777" w:rsidR="002363CC" w:rsidRDefault="002363CC" w:rsidP="002363CC">
      <w:pPr>
        <w:tabs>
          <w:tab w:val="left" w:pos="360"/>
        </w:tabs>
      </w:pPr>
    </w:p>
    <w:p w14:paraId="4CBCED02" w14:textId="77777777" w:rsidR="002363CC" w:rsidRDefault="002363CC" w:rsidP="002363CC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nevypĺňajú.</w:t>
      </w:r>
    </w:p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0C63B361" w14:textId="77777777" w:rsidR="00366E68" w:rsidRDefault="00366E68"/>
    <w:sectPr w:rsidR="0036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39319754">
    <w:abstractNumId w:val="2"/>
  </w:num>
  <w:num w:numId="2" w16cid:durableId="1111054370">
    <w:abstractNumId w:val="0"/>
  </w:num>
  <w:num w:numId="3" w16cid:durableId="185599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F1622"/>
    <w:rsid w:val="00150021"/>
    <w:rsid w:val="00154480"/>
    <w:rsid w:val="00194F85"/>
    <w:rsid w:val="002363CC"/>
    <w:rsid w:val="00366E68"/>
    <w:rsid w:val="00437321"/>
    <w:rsid w:val="004D56A3"/>
    <w:rsid w:val="004F1D6F"/>
    <w:rsid w:val="0052758C"/>
    <w:rsid w:val="00536029"/>
    <w:rsid w:val="005B393F"/>
    <w:rsid w:val="005C4F87"/>
    <w:rsid w:val="005D7167"/>
    <w:rsid w:val="00642C04"/>
    <w:rsid w:val="00643E95"/>
    <w:rsid w:val="00693B46"/>
    <w:rsid w:val="006A1DBE"/>
    <w:rsid w:val="006C1AF5"/>
    <w:rsid w:val="007035FA"/>
    <w:rsid w:val="00741060"/>
    <w:rsid w:val="007D786B"/>
    <w:rsid w:val="00834C2F"/>
    <w:rsid w:val="00882EDF"/>
    <w:rsid w:val="008974C7"/>
    <w:rsid w:val="008A0B81"/>
    <w:rsid w:val="008B358E"/>
    <w:rsid w:val="008B3B9B"/>
    <w:rsid w:val="008B5FD0"/>
    <w:rsid w:val="008F7E39"/>
    <w:rsid w:val="00936D7A"/>
    <w:rsid w:val="00984CFC"/>
    <w:rsid w:val="00985AB6"/>
    <w:rsid w:val="00A217D2"/>
    <w:rsid w:val="00B06533"/>
    <w:rsid w:val="00B13544"/>
    <w:rsid w:val="00B157D0"/>
    <w:rsid w:val="00BB695D"/>
    <w:rsid w:val="00C10F55"/>
    <w:rsid w:val="00C3011C"/>
    <w:rsid w:val="00C45DE2"/>
    <w:rsid w:val="00C65C1B"/>
    <w:rsid w:val="00C75541"/>
    <w:rsid w:val="00D12E03"/>
    <w:rsid w:val="00D14B84"/>
    <w:rsid w:val="00DA7182"/>
    <w:rsid w:val="00E35AE9"/>
    <w:rsid w:val="00E503F6"/>
    <w:rsid w:val="00E86F00"/>
    <w:rsid w:val="00EA21C2"/>
    <w:rsid w:val="00EB59B3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66E68"/>
    <w:pPr>
      <w:ind w:left="720"/>
      <w:contextualSpacing/>
    </w:pPr>
  </w:style>
  <w:style w:type="table" w:styleId="TableGrid">
    <w:name w:val="Table Grid"/>
    <w:basedOn w:val="TableNormal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2021-05-27T08:05:00Z</cp:lastPrinted>
  <dcterms:created xsi:type="dcterms:W3CDTF">2022-05-26T08:31:00Z</dcterms:created>
  <dcterms:modified xsi:type="dcterms:W3CDTF">2022-05-27T10:59:00Z</dcterms:modified>
</cp:coreProperties>
</file>