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rsidTr="000800FC">
        <w:trPr>
          <w:trHeight w:val="534"/>
          <w:jc w:val="center"/>
        </w:trPr>
        <w:tc>
          <w:tcPr>
            <w:tcW w:w="5000" w:type="pct"/>
            <w:gridSpan w:val="3"/>
            <w:tcBorders>
              <w:bottom w:val="single" w:sz="4" w:space="0" w:color="auto"/>
            </w:tcBorders>
            <w:shd w:val="clear" w:color="auto" w:fill="808080" w:themeFill="background1" w:themeFillShade="80"/>
          </w:tcPr>
          <w:p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bookmarkStart w:id="0" w:name="_GoBack"/>
            <w:bookmarkEnd w:id="0"/>
            <w:r w:rsidRPr="002644DE">
              <w:rPr>
                <w:rFonts w:ascii="Times New Roman" w:eastAsia="Calibri" w:hAnsi="Times New Roman" w:cs="Times New Roman"/>
                <w:b/>
                <w:sz w:val="28"/>
                <w:lang w:eastAsia="sk-SK"/>
              </w:rPr>
              <w:t>Analýza sociálnych vplyvov</w:t>
            </w:r>
          </w:p>
          <w:p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rsidTr="000800FC">
        <w:trPr>
          <w:jc w:val="center"/>
        </w:trPr>
        <w:tc>
          <w:tcPr>
            <w:tcW w:w="5000" w:type="pct"/>
            <w:gridSpan w:val="3"/>
            <w:tcBorders>
              <w:bottom w:val="single" w:sz="4" w:space="0" w:color="auto"/>
            </w:tcBorders>
            <w:shd w:val="clear" w:color="auto" w:fill="A6A6A6" w:themeFill="background1" w:themeFillShade="A6"/>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rsidTr="000800FC">
        <w:trPr>
          <w:jc w:val="center"/>
        </w:trPr>
        <w:tc>
          <w:tcPr>
            <w:tcW w:w="5000" w:type="pct"/>
            <w:gridSpan w:val="3"/>
            <w:tcBorders>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D77C19" w:rsidP="00D77C19">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Nepredpokladá sa pozitívny vplyv na hospodárenie domácností.</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9267B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skupina č. </w:t>
            </w:r>
            <w:r w:rsidR="009267B2">
              <w:rPr>
                <w:rFonts w:ascii="Times New Roman" w:eastAsia="Calibri" w:hAnsi="Times New Roman" w:cs="Times New Roman"/>
                <w:i/>
                <w:sz w:val="18"/>
                <w:szCs w:val="20"/>
                <w:lang w:eastAsia="sk-SK"/>
              </w:rPr>
              <w:t>1</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9267B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skupina č. </w:t>
            </w:r>
            <w:r w:rsidR="009267B2">
              <w:rPr>
                <w:rFonts w:ascii="Times New Roman" w:eastAsia="Calibri" w:hAnsi="Times New Roman" w:cs="Times New Roman"/>
                <w:i/>
                <w:sz w:val="18"/>
                <w:szCs w:val="20"/>
                <w:lang w:eastAsia="sk-SK"/>
              </w:rPr>
              <w:t>1</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170"/>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D77C19"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D77C19" w:rsidRPr="002644DE" w:rsidRDefault="00D77C19" w:rsidP="00D77C1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D77C19" w:rsidRPr="002644DE" w:rsidRDefault="00D77C19" w:rsidP="00D77C19">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D77C19" w:rsidRPr="002644DE" w:rsidRDefault="00D77C19" w:rsidP="00D77C19">
            <w:pPr>
              <w:spacing w:after="0" w:line="240" w:lineRule="auto"/>
              <w:contextualSpacing/>
              <w:rPr>
                <w:rFonts w:ascii="Times New Roman" w:eastAsia="Calibri" w:hAnsi="Times New Roman" w:cs="Times New Roman"/>
                <w:sz w:val="20"/>
                <w:szCs w:val="20"/>
                <w:lang w:eastAsia="sk-SK"/>
              </w:rPr>
            </w:pPr>
          </w:p>
        </w:tc>
      </w:tr>
      <w:tr w:rsidR="00D77C19" w:rsidRPr="002644DE" w:rsidTr="000800FC">
        <w:trPr>
          <w:trHeight w:val="397"/>
          <w:jc w:val="center"/>
        </w:trPr>
        <w:tc>
          <w:tcPr>
            <w:tcW w:w="129" w:type="pct"/>
            <w:vMerge w:val="restart"/>
            <w:tcBorders>
              <w:top w:val="single" w:sz="4" w:space="0" w:color="auto"/>
            </w:tcBorders>
            <w:shd w:val="clear" w:color="auto" w:fill="auto"/>
            <w:vAlign w:val="center"/>
          </w:tcPr>
          <w:p w:rsidR="00D77C19" w:rsidRPr="002644DE" w:rsidRDefault="00D77C19" w:rsidP="00D77C1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D77C19" w:rsidRPr="002644DE" w:rsidRDefault="00D77C19" w:rsidP="00D77C1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D77C19" w:rsidRPr="002644DE" w:rsidRDefault="00D77C19" w:rsidP="00D77C19">
            <w:pPr>
              <w:spacing w:after="0" w:line="240" w:lineRule="auto"/>
              <w:rPr>
                <w:rFonts w:ascii="Times New Roman" w:eastAsia="Calibri" w:hAnsi="Times New Roman" w:cs="Times New Roman"/>
                <w:i/>
                <w:sz w:val="18"/>
                <w:szCs w:val="20"/>
                <w:lang w:eastAsia="sk-SK"/>
              </w:rPr>
            </w:pPr>
          </w:p>
        </w:tc>
      </w:tr>
      <w:tr w:rsidR="00D77C19" w:rsidRPr="002644DE" w:rsidTr="000800FC">
        <w:trPr>
          <w:trHeight w:val="397"/>
          <w:jc w:val="center"/>
        </w:trPr>
        <w:tc>
          <w:tcPr>
            <w:tcW w:w="129" w:type="pct"/>
            <w:vMerge/>
            <w:shd w:val="clear" w:color="auto" w:fill="auto"/>
            <w:vAlign w:val="center"/>
          </w:tcPr>
          <w:p w:rsidR="00D77C19" w:rsidRPr="002644DE" w:rsidRDefault="00D77C19" w:rsidP="00D77C19">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D77C19" w:rsidRPr="002644DE" w:rsidRDefault="00D77C19" w:rsidP="009267B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skupina č. </w:t>
            </w:r>
            <w:r w:rsidR="009267B2">
              <w:rPr>
                <w:rFonts w:ascii="Times New Roman" w:eastAsia="Calibri" w:hAnsi="Times New Roman" w:cs="Times New Roman"/>
                <w:i/>
                <w:sz w:val="18"/>
                <w:szCs w:val="20"/>
                <w:lang w:eastAsia="sk-SK"/>
              </w:rPr>
              <w:t>1</w:t>
            </w:r>
          </w:p>
        </w:tc>
        <w:tc>
          <w:tcPr>
            <w:tcW w:w="3229" w:type="pct"/>
            <w:tcBorders>
              <w:top w:val="dotted" w:sz="4" w:space="0" w:color="auto"/>
            </w:tcBorders>
            <w:shd w:val="clear" w:color="auto" w:fill="auto"/>
          </w:tcPr>
          <w:p w:rsidR="00D77C19" w:rsidRPr="002644DE" w:rsidRDefault="00D77C19" w:rsidP="00D77C19">
            <w:pPr>
              <w:spacing w:after="0" w:line="240" w:lineRule="auto"/>
              <w:rPr>
                <w:rFonts w:ascii="Times New Roman" w:eastAsia="Calibri" w:hAnsi="Times New Roman" w:cs="Times New Roman"/>
                <w:sz w:val="20"/>
                <w:szCs w:val="20"/>
                <w:lang w:eastAsia="sk-SK"/>
              </w:rPr>
            </w:pPr>
          </w:p>
        </w:tc>
      </w:tr>
      <w:tr w:rsidR="00D77C19" w:rsidRPr="002644DE" w:rsidTr="000800FC">
        <w:trPr>
          <w:trHeight w:val="397"/>
          <w:jc w:val="center"/>
        </w:trPr>
        <w:tc>
          <w:tcPr>
            <w:tcW w:w="129" w:type="pct"/>
            <w:tcBorders>
              <w:top w:val="dotted" w:sz="4" w:space="0" w:color="auto"/>
            </w:tcBorders>
            <w:shd w:val="clear" w:color="auto" w:fill="F2F2F2"/>
            <w:vAlign w:val="center"/>
          </w:tcPr>
          <w:p w:rsidR="00D77C19" w:rsidRPr="002644DE" w:rsidRDefault="00D77C19" w:rsidP="00D77C19">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D77C19" w:rsidRPr="002644DE" w:rsidRDefault="00D77C19" w:rsidP="00D77C1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D77C19" w:rsidRPr="002644DE" w:rsidTr="000800FC">
        <w:trPr>
          <w:trHeight w:val="680"/>
          <w:jc w:val="center"/>
        </w:trPr>
        <w:tc>
          <w:tcPr>
            <w:tcW w:w="129" w:type="pct"/>
            <w:vMerge w:val="restart"/>
            <w:tcBorders>
              <w:top w:val="dotted" w:sz="4" w:space="0" w:color="auto"/>
            </w:tcBorders>
            <w:shd w:val="clear" w:color="auto" w:fill="auto"/>
            <w:vAlign w:val="center"/>
          </w:tcPr>
          <w:p w:rsidR="00D77C19" w:rsidRPr="002644DE" w:rsidRDefault="00D77C19" w:rsidP="00D77C1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D77C19" w:rsidRPr="002644DE" w:rsidRDefault="00D77C19" w:rsidP="00D77C19">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D77C19" w:rsidRPr="002644DE" w:rsidRDefault="00D77C19" w:rsidP="00D77C19">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D77C19" w:rsidRPr="002644DE" w:rsidRDefault="00D77C19" w:rsidP="00D77C19">
            <w:pPr>
              <w:spacing w:after="0" w:line="240" w:lineRule="auto"/>
              <w:rPr>
                <w:rFonts w:ascii="Times New Roman" w:eastAsia="Calibri" w:hAnsi="Times New Roman" w:cs="Times New Roman"/>
                <w:sz w:val="20"/>
                <w:szCs w:val="20"/>
                <w:lang w:eastAsia="sk-SK"/>
              </w:rPr>
            </w:pPr>
          </w:p>
        </w:tc>
      </w:tr>
      <w:tr w:rsidR="00D77C19" w:rsidRPr="002644DE" w:rsidTr="000800FC">
        <w:trPr>
          <w:trHeight w:val="680"/>
          <w:jc w:val="center"/>
        </w:trPr>
        <w:tc>
          <w:tcPr>
            <w:tcW w:w="129" w:type="pct"/>
            <w:vMerge/>
            <w:shd w:val="clear" w:color="auto" w:fill="auto"/>
            <w:vAlign w:val="center"/>
          </w:tcPr>
          <w:p w:rsidR="00D77C19" w:rsidRPr="002644DE" w:rsidRDefault="00D77C19" w:rsidP="00D77C19">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D77C19" w:rsidRPr="002644DE" w:rsidRDefault="00D77C19" w:rsidP="009267B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skupina č. </w:t>
            </w:r>
            <w:r w:rsidR="009267B2">
              <w:rPr>
                <w:rFonts w:ascii="Times New Roman" w:eastAsia="Calibri" w:hAnsi="Times New Roman" w:cs="Times New Roman"/>
                <w:i/>
                <w:sz w:val="18"/>
                <w:szCs w:val="20"/>
                <w:lang w:eastAsia="sk-SK"/>
              </w:rPr>
              <w:t>1</w:t>
            </w:r>
          </w:p>
        </w:tc>
        <w:tc>
          <w:tcPr>
            <w:tcW w:w="3229" w:type="pct"/>
            <w:tcBorders>
              <w:top w:val="dotted" w:sz="4" w:space="0" w:color="auto"/>
            </w:tcBorders>
            <w:shd w:val="clear" w:color="auto" w:fill="auto"/>
          </w:tcPr>
          <w:p w:rsidR="00D77C19" w:rsidRPr="002644DE" w:rsidRDefault="00D77C19" w:rsidP="00D77C19">
            <w:pPr>
              <w:spacing w:after="0" w:line="240" w:lineRule="auto"/>
              <w:rPr>
                <w:rFonts w:ascii="Times New Roman" w:eastAsia="Calibri" w:hAnsi="Times New Roman" w:cs="Times New Roman"/>
                <w:sz w:val="20"/>
                <w:szCs w:val="20"/>
                <w:lang w:eastAsia="sk-SK"/>
              </w:rPr>
            </w:pPr>
          </w:p>
        </w:tc>
      </w:tr>
      <w:tr w:rsidR="00D77C19" w:rsidRPr="002644DE" w:rsidTr="000800FC">
        <w:trPr>
          <w:trHeight w:val="350"/>
          <w:jc w:val="center"/>
        </w:trPr>
        <w:tc>
          <w:tcPr>
            <w:tcW w:w="129" w:type="pct"/>
            <w:tcBorders>
              <w:top w:val="dotted" w:sz="4" w:space="0" w:color="auto"/>
              <w:bottom w:val="single" w:sz="4" w:space="0" w:color="auto"/>
            </w:tcBorders>
            <w:shd w:val="clear" w:color="auto" w:fill="auto"/>
            <w:vAlign w:val="center"/>
          </w:tcPr>
          <w:p w:rsidR="00D77C19" w:rsidRPr="002644DE" w:rsidRDefault="00D77C19" w:rsidP="00D77C1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D77C19" w:rsidRPr="002644DE" w:rsidRDefault="00D77C19" w:rsidP="00D77C1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D77C19" w:rsidRPr="002644DE" w:rsidRDefault="00D77C19" w:rsidP="00D77C19">
            <w:pPr>
              <w:spacing w:after="0" w:line="240" w:lineRule="auto"/>
              <w:rPr>
                <w:rFonts w:ascii="Times New Roman" w:eastAsia="Calibri" w:hAnsi="Times New Roman" w:cs="Times New Roman"/>
                <w:sz w:val="20"/>
                <w:szCs w:val="20"/>
                <w:lang w:eastAsia="sk-SK"/>
              </w:rPr>
            </w:pPr>
          </w:p>
        </w:tc>
      </w:tr>
      <w:tr w:rsidR="00D77C19"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D77C19" w:rsidRPr="002644DE" w:rsidRDefault="00D77C19" w:rsidP="00D77C1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D77C19" w:rsidRPr="002644DE" w:rsidRDefault="00D77C19" w:rsidP="00D77C19">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D77C19"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D77C19" w:rsidRPr="002644DE" w:rsidRDefault="00D77C19" w:rsidP="00D77C19">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D77C19" w:rsidRPr="002644DE" w:rsidRDefault="00D77C19" w:rsidP="00D77C19">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D77C19" w:rsidRPr="002644DE" w:rsidRDefault="00D77C19" w:rsidP="00D77C19">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D77C19" w:rsidRDefault="00D77C19" w:rsidP="00D77C1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 súvislosti s navrhovaným nárastom </w:t>
            </w:r>
            <w:r w:rsidRPr="007B0014">
              <w:rPr>
                <w:rFonts w:ascii="Times New Roman" w:hAnsi="Times New Roman" w:cs="Times New Roman"/>
                <w:sz w:val="20"/>
                <w:szCs w:val="20"/>
              </w:rPr>
              <w:t>sadzieb základných poplatkov za znečisťovanie ovzdušia</w:t>
            </w:r>
            <w:r>
              <w:rPr>
                <w:rFonts w:ascii="Times New Roman" w:hAnsi="Times New Roman" w:cs="Times New Roman"/>
                <w:sz w:val="20"/>
                <w:szCs w:val="20"/>
              </w:rPr>
              <w:t xml:space="preserve">, ktorý sa dotkne aj výrobcov tepla v SR, je reálne predpokladať plné zohľadnenie zvýšenia poplatkov do cien za dodávky tepla pre koncových užívateľov. </w:t>
            </w:r>
            <w:r w:rsidR="00DB0350">
              <w:rPr>
                <w:rFonts w:ascii="Times New Roman" w:hAnsi="Times New Roman" w:cs="Times New Roman"/>
                <w:sz w:val="20"/>
                <w:szCs w:val="20"/>
              </w:rPr>
              <w:t>V prípade centrálneho vykurovania, ale aj ostatných odvetví, v ktorých pôsobia znečisťujúce podniky, sa tieto poplatky podieľajú len vo veľmi malej miere na celkovej nákladovosti.</w:t>
            </w:r>
          </w:p>
          <w:p w:rsidR="00D77C19" w:rsidRDefault="00D77C19" w:rsidP="00D77C19">
            <w:pPr>
              <w:spacing w:after="0" w:line="240" w:lineRule="auto"/>
              <w:contextualSpacing/>
              <w:rPr>
                <w:rFonts w:ascii="Times New Roman" w:hAnsi="Times New Roman" w:cs="Times New Roman"/>
                <w:sz w:val="20"/>
                <w:szCs w:val="20"/>
              </w:rPr>
            </w:pPr>
          </w:p>
          <w:p w:rsidR="00D77C19" w:rsidRPr="002644DE" w:rsidRDefault="00D77C19" w:rsidP="00D77C19">
            <w:pPr>
              <w:spacing w:after="0" w:line="240" w:lineRule="auto"/>
              <w:contextualSpacing/>
              <w:rPr>
                <w:rFonts w:ascii="Times New Roman" w:eastAsia="Calibri" w:hAnsi="Times New Roman" w:cs="Times New Roman"/>
                <w:sz w:val="20"/>
                <w:szCs w:val="20"/>
                <w:lang w:eastAsia="sk-SK"/>
              </w:rPr>
            </w:pPr>
            <w:r>
              <w:rPr>
                <w:rFonts w:ascii="Times New Roman" w:hAnsi="Times New Roman" w:cs="Times New Roman"/>
                <w:sz w:val="20"/>
                <w:szCs w:val="20"/>
              </w:rPr>
              <w:t xml:space="preserve">Nakoľko </w:t>
            </w:r>
            <w:r w:rsidRPr="007B0014">
              <w:rPr>
                <w:rFonts w:ascii="Times New Roman" w:hAnsi="Times New Roman" w:cs="Times New Roman"/>
                <w:sz w:val="20"/>
                <w:szCs w:val="20"/>
              </w:rPr>
              <w:t xml:space="preserve">cena za </w:t>
            </w:r>
            <w:r>
              <w:rPr>
                <w:rFonts w:ascii="Times New Roman" w:hAnsi="Times New Roman" w:cs="Times New Roman"/>
                <w:sz w:val="20"/>
                <w:szCs w:val="20"/>
              </w:rPr>
              <w:t>dodávku tepla</w:t>
            </w:r>
            <w:r w:rsidRPr="007B0014">
              <w:rPr>
                <w:rFonts w:ascii="Times New Roman" w:hAnsi="Times New Roman" w:cs="Times New Roman"/>
                <w:sz w:val="20"/>
                <w:szCs w:val="20"/>
              </w:rPr>
              <w:t xml:space="preserve"> je regulovaná </w:t>
            </w:r>
            <w:r>
              <w:rPr>
                <w:rFonts w:ascii="Times New Roman" w:hAnsi="Times New Roman" w:cs="Times New Roman"/>
                <w:sz w:val="20"/>
                <w:szCs w:val="20"/>
              </w:rPr>
              <w:t xml:space="preserve">Úradom pre reguláciu sieťových odvetví </w:t>
            </w:r>
            <w:r w:rsidRPr="007B0014">
              <w:rPr>
                <w:rFonts w:ascii="Times New Roman" w:hAnsi="Times New Roman" w:cs="Times New Roman"/>
                <w:sz w:val="20"/>
                <w:szCs w:val="20"/>
              </w:rPr>
              <w:t>(ÚRSO)</w:t>
            </w:r>
            <w:r>
              <w:rPr>
                <w:rFonts w:ascii="Times New Roman" w:hAnsi="Times New Roman" w:cs="Times New Roman"/>
                <w:sz w:val="20"/>
                <w:szCs w:val="20"/>
              </w:rPr>
              <w:t xml:space="preserve">, v </w:t>
            </w:r>
            <w:r w:rsidRPr="007B0014">
              <w:rPr>
                <w:rFonts w:ascii="Times New Roman" w:hAnsi="Times New Roman" w:cs="Times New Roman"/>
                <w:sz w:val="20"/>
                <w:szCs w:val="20"/>
              </w:rPr>
              <w:t xml:space="preserve"> </w:t>
            </w:r>
            <w:r>
              <w:rPr>
                <w:rFonts w:ascii="Times New Roman" w:hAnsi="Times New Roman" w:cs="Times New Roman"/>
                <w:sz w:val="20"/>
                <w:szCs w:val="20"/>
              </w:rPr>
              <w:t xml:space="preserve">súčasnosti nie je možné predikovať do akej </w:t>
            </w:r>
            <w:r>
              <w:rPr>
                <w:rFonts w:ascii="Times New Roman" w:hAnsi="Times New Roman" w:cs="Times New Roman"/>
                <w:sz w:val="20"/>
                <w:szCs w:val="20"/>
              </w:rPr>
              <w:lastRenderedPageBreak/>
              <w:t>miery je premietnutie zvýšených poplatkov do ceny za dodávku tepla pre spotrebiteľov reálne, dôjde teda k rastu výdavkov domácností.</w:t>
            </w:r>
          </w:p>
        </w:tc>
      </w:tr>
      <w:tr w:rsidR="00D77C19" w:rsidRPr="002644DE" w:rsidTr="000800FC">
        <w:trPr>
          <w:trHeight w:val="397"/>
          <w:jc w:val="center"/>
        </w:trPr>
        <w:tc>
          <w:tcPr>
            <w:tcW w:w="129" w:type="pct"/>
            <w:vMerge w:val="restart"/>
            <w:tcBorders>
              <w:top w:val="single" w:sz="4" w:space="0" w:color="auto"/>
            </w:tcBorders>
            <w:shd w:val="clear" w:color="auto" w:fill="auto"/>
            <w:vAlign w:val="center"/>
          </w:tcPr>
          <w:p w:rsidR="00D77C19" w:rsidRPr="002644DE" w:rsidRDefault="00D77C19" w:rsidP="00D77C1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c)</w:t>
            </w:r>
          </w:p>
        </w:tc>
        <w:tc>
          <w:tcPr>
            <w:tcW w:w="1642" w:type="pct"/>
            <w:tcBorders>
              <w:top w:val="single" w:sz="4" w:space="0" w:color="auto"/>
            </w:tcBorders>
            <w:shd w:val="clear" w:color="auto" w:fill="auto"/>
          </w:tcPr>
          <w:p w:rsidR="00D77C19" w:rsidRPr="002644DE" w:rsidRDefault="00D77C19" w:rsidP="00D77C1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D77C19" w:rsidRPr="00D77C19" w:rsidRDefault="00D77C19" w:rsidP="00D77C19">
            <w:pPr>
              <w:spacing w:after="0" w:line="240" w:lineRule="auto"/>
              <w:rPr>
                <w:rFonts w:ascii="Times New Roman" w:eastAsia="Calibri" w:hAnsi="Times New Roman" w:cs="Times New Roman"/>
                <w:sz w:val="20"/>
                <w:szCs w:val="20"/>
                <w:lang w:eastAsia="sk-SK"/>
              </w:rPr>
            </w:pPr>
            <w:r w:rsidRPr="00D77C19">
              <w:rPr>
                <w:rFonts w:ascii="Times New Roman" w:eastAsia="Calibri" w:hAnsi="Times New Roman" w:cs="Times New Roman"/>
                <w:sz w:val="18"/>
                <w:szCs w:val="20"/>
                <w:lang w:eastAsia="sk-SK"/>
              </w:rPr>
              <w:t>Centrálne vykurované domácnosti</w:t>
            </w:r>
          </w:p>
        </w:tc>
      </w:tr>
      <w:tr w:rsidR="00D77C19" w:rsidRPr="002644DE" w:rsidTr="000800FC">
        <w:trPr>
          <w:trHeight w:val="397"/>
          <w:jc w:val="center"/>
        </w:trPr>
        <w:tc>
          <w:tcPr>
            <w:tcW w:w="129" w:type="pct"/>
            <w:vMerge/>
            <w:tcBorders>
              <w:bottom w:val="single" w:sz="4" w:space="0" w:color="auto"/>
            </w:tcBorders>
            <w:shd w:val="clear" w:color="auto" w:fill="auto"/>
            <w:vAlign w:val="center"/>
          </w:tcPr>
          <w:p w:rsidR="00D77C19" w:rsidRPr="002644DE" w:rsidRDefault="00D77C19" w:rsidP="00D77C19">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D77C19" w:rsidRPr="002644DE" w:rsidRDefault="00D77C19" w:rsidP="009267B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skupina č. </w:t>
            </w:r>
            <w:r w:rsidR="009267B2">
              <w:rPr>
                <w:rFonts w:ascii="Times New Roman" w:eastAsia="Calibri" w:hAnsi="Times New Roman" w:cs="Times New Roman"/>
                <w:i/>
                <w:sz w:val="18"/>
                <w:szCs w:val="20"/>
                <w:lang w:eastAsia="sk-SK"/>
              </w:rPr>
              <w:t>1</w:t>
            </w:r>
          </w:p>
        </w:tc>
        <w:tc>
          <w:tcPr>
            <w:tcW w:w="3229" w:type="pct"/>
            <w:tcBorders>
              <w:top w:val="dotted" w:sz="4" w:space="0" w:color="auto"/>
              <w:bottom w:val="single" w:sz="4" w:space="0" w:color="auto"/>
            </w:tcBorders>
            <w:shd w:val="clear" w:color="auto" w:fill="auto"/>
          </w:tcPr>
          <w:p w:rsidR="00D77C19" w:rsidRPr="002644DE" w:rsidRDefault="00D77C19" w:rsidP="00D77C19">
            <w:pPr>
              <w:spacing w:after="0" w:line="240" w:lineRule="auto"/>
              <w:rPr>
                <w:rFonts w:ascii="Times New Roman" w:eastAsia="Calibri" w:hAnsi="Times New Roman" w:cs="Times New Roman"/>
                <w:sz w:val="20"/>
                <w:szCs w:val="20"/>
                <w:lang w:eastAsia="sk-SK"/>
              </w:rPr>
            </w:pPr>
          </w:p>
        </w:tc>
      </w:tr>
      <w:tr w:rsidR="00D77C19" w:rsidRPr="002644DE" w:rsidTr="000800FC">
        <w:trPr>
          <w:trHeight w:val="397"/>
          <w:jc w:val="center"/>
        </w:trPr>
        <w:tc>
          <w:tcPr>
            <w:tcW w:w="129" w:type="pct"/>
            <w:tcBorders>
              <w:top w:val="single" w:sz="4" w:space="0" w:color="auto"/>
            </w:tcBorders>
            <w:shd w:val="clear" w:color="auto" w:fill="F2F2F2"/>
            <w:vAlign w:val="center"/>
          </w:tcPr>
          <w:p w:rsidR="00D77C19" w:rsidRPr="002644DE" w:rsidRDefault="00D77C19" w:rsidP="00D77C1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D77C19" w:rsidRPr="002644DE" w:rsidRDefault="00D77C19" w:rsidP="00D77C19">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D77C19" w:rsidRPr="002644DE" w:rsidTr="000800FC">
        <w:trPr>
          <w:trHeight w:val="680"/>
          <w:jc w:val="center"/>
        </w:trPr>
        <w:tc>
          <w:tcPr>
            <w:tcW w:w="129" w:type="pct"/>
            <w:vMerge w:val="restart"/>
            <w:tcBorders>
              <w:top w:val="dotted" w:sz="4" w:space="0" w:color="auto"/>
            </w:tcBorders>
            <w:shd w:val="clear" w:color="auto" w:fill="auto"/>
            <w:vAlign w:val="center"/>
          </w:tcPr>
          <w:p w:rsidR="00D77C19" w:rsidRPr="002644DE" w:rsidRDefault="00D77C19" w:rsidP="00D77C1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D77C19" w:rsidRPr="002644DE" w:rsidRDefault="00D77C19" w:rsidP="00D77C19">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D77C19" w:rsidRPr="002644DE" w:rsidRDefault="00D77C19" w:rsidP="00D77C19">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D77C19" w:rsidRDefault="00D77C19" w:rsidP="00D77C19">
            <w:pPr>
              <w:spacing w:after="0" w:line="240" w:lineRule="auto"/>
              <w:jc w:val="both"/>
              <w:rPr>
                <w:rFonts w:ascii="Times New Roman" w:hAnsi="Times New Roman" w:cs="Times New Roman"/>
                <w:sz w:val="20"/>
                <w:szCs w:val="20"/>
              </w:rPr>
            </w:pPr>
            <w:r w:rsidRPr="00FA7181">
              <w:rPr>
                <w:rFonts w:ascii="Times New Roman" w:hAnsi="Times New Roman" w:cs="Times New Roman"/>
                <w:sz w:val="20"/>
                <w:szCs w:val="20"/>
              </w:rPr>
              <w:t>V prípade premietnutia</w:t>
            </w:r>
            <w:r>
              <w:rPr>
                <w:rFonts w:ascii="Times New Roman" w:hAnsi="Times New Roman" w:cs="Times New Roman"/>
                <w:sz w:val="20"/>
                <w:szCs w:val="20"/>
              </w:rPr>
              <w:t xml:space="preserve"> </w:t>
            </w:r>
            <w:r w:rsidRPr="00FA7181">
              <w:rPr>
                <w:rFonts w:ascii="Times New Roman" w:hAnsi="Times New Roman" w:cs="Times New Roman"/>
                <w:sz w:val="20"/>
                <w:szCs w:val="20"/>
              </w:rPr>
              <w:t xml:space="preserve">zvýšeného poplatku za znečisťovanie ovzdušia pre teplárov do ceny </w:t>
            </w:r>
            <w:r>
              <w:rPr>
                <w:rFonts w:ascii="Times New Roman" w:hAnsi="Times New Roman" w:cs="Times New Roman"/>
                <w:sz w:val="20"/>
                <w:szCs w:val="20"/>
              </w:rPr>
              <w:t>za dodávku tepla</w:t>
            </w:r>
            <w:r w:rsidRPr="00FA7181">
              <w:rPr>
                <w:rFonts w:ascii="Times New Roman" w:hAnsi="Times New Roman" w:cs="Times New Roman"/>
                <w:sz w:val="20"/>
                <w:szCs w:val="20"/>
              </w:rPr>
              <w:t xml:space="preserve">, </w:t>
            </w:r>
            <w:r w:rsidRPr="00096C61">
              <w:rPr>
                <w:rFonts w:ascii="Times New Roman" w:hAnsi="Times New Roman" w:cs="Times New Roman"/>
                <w:sz w:val="20"/>
                <w:szCs w:val="20"/>
              </w:rPr>
              <w:t xml:space="preserve">možno predpokladať nominálny dopad na jednu domácnosť max. </w:t>
            </w:r>
            <w:r>
              <w:rPr>
                <w:rFonts w:ascii="Times New Roman" w:hAnsi="Times New Roman" w:cs="Times New Roman"/>
                <w:sz w:val="20"/>
                <w:szCs w:val="20"/>
              </w:rPr>
              <w:t xml:space="preserve">približne </w:t>
            </w:r>
            <w:r w:rsidR="00B23236">
              <w:rPr>
                <w:rFonts w:ascii="Times New Roman" w:hAnsi="Times New Roman" w:cs="Times New Roman"/>
                <w:sz w:val="20"/>
                <w:szCs w:val="20"/>
              </w:rPr>
              <w:t>2</w:t>
            </w:r>
            <w:r w:rsidRPr="00096C61">
              <w:rPr>
                <w:rFonts w:ascii="Times New Roman" w:hAnsi="Times New Roman" w:cs="Times New Roman"/>
                <w:sz w:val="20"/>
                <w:szCs w:val="20"/>
              </w:rPr>
              <w:t xml:space="preserve"> eur/rok, t.j. max. 0,</w:t>
            </w:r>
            <w:r w:rsidR="00B23236">
              <w:rPr>
                <w:rFonts w:ascii="Times New Roman" w:hAnsi="Times New Roman" w:cs="Times New Roman"/>
                <w:sz w:val="20"/>
                <w:szCs w:val="20"/>
              </w:rPr>
              <w:t>16</w:t>
            </w:r>
            <w:r w:rsidRPr="00096C61">
              <w:rPr>
                <w:rFonts w:ascii="Times New Roman" w:hAnsi="Times New Roman" w:cs="Times New Roman"/>
                <w:sz w:val="20"/>
                <w:szCs w:val="20"/>
              </w:rPr>
              <w:t xml:space="preserve"> eur/</w:t>
            </w:r>
            <w:r w:rsidRPr="00750A27">
              <w:rPr>
                <w:rFonts w:ascii="Times New Roman" w:hAnsi="Times New Roman" w:cs="Times New Roman"/>
                <w:sz w:val="20"/>
                <w:szCs w:val="20"/>
              </w:rPr>
              <w:t>mesiac</w:t>
            </w:r>
            <w:r>
              <w:rPr>
                <w:rFonts w:ascii="Times New Roman" w:hAnsi="Times New Roman" w:cs="Times New Roman"/>
                <w:sz w:val="20"/>
                <w:szCs w:val="20"/>
              </w:rPr>
              <w:t xml:space="preserve">, ktorý sa prejaví v roku </w:t>
            </w:r>
            <w:r w:rsidR="00B23236">
              <w:rPr>
                <w:rFonts w:ascii="Times New Roman" w:hAnsi="Times New Roman" w:cs="Times New Roman"/>
                <w:sz w:val="20"/>
                <w:szCs w:val="20"/>
              </w:rPr>
              <w:t>2030</w:t>
            </w:r>
            <w:r>
              <w:rPr>
                <w:rFonts w:ascii="Times New Roman" w:hAnsi="Times New Roman" w:cs="Times New Roman"/>
                <w:sz w:val="20"/>
                <w:szCs w:val="20"/>
              </w:rPr>
              <w:t xml:space="preserve"> v súvislosti s úplným nábehom poplatkového režimu. </w:t>
            </w:r>
            <w:r w:rsidRPr="00096C61">
              <w:rPr>
                <w:rFonts w:ascii="Times New Roman" w:hAnsi="Times New Roman" w:cs="Times New Roman"/>
                <w:sz w:val="20"/>
                <w:szCs w:val="20"/>
              </w:rPr>
              <w:t>Predpokladaný dopad na jednu domácnosť v prvom roku postupného nábehu</w:t>
            </w:r>
            <w:r>
              <w:rPr>
                <w:rFonts w:ascii="Times New Roman" w:hAnsi="Times New Roman" w:cs="Times New Roman"/>
                <w:sz w:val="20"/>
                <w:szCs w:val="20"/>
              </w:rPr>
              <w:t>, ktorý sa prejaví v roku 202</w:t>
            </w:r>
            <w:r w:rsidR="00AA4FAA">
              <w:rPr>
                <w:rFonts w:ascii="Times New Roman" w:hAnsi="Times New Roman" w:cs="Times New Roman"/>
                <w:sz w:val="20"/>
                <w:szCs w:val="20"/>
              </w:rPr>
              <w:t>3</w:t>
            </w:r>
            <w:r>
              <w:rPr>
                <w:rFonts w:ascii="Times New Roman" w:hAnsi="Times New Roman" w:cs="Times New Roman"/>
                <w:sz w:val="20"/>
                <w:szCs w:val="20"/>
              </w:rPr>
              <w:t xml:space="preserve"> </w:t>
            </w:r>
            <w:r w:rsidRPr="00096C61">
              <w:rPr>
                <w:rFonts w:ascii="Times New Roman" w:hAnsi="Times New Roman" w:cs="Times New Roman"/>
                <w:sz w:val="20"/>
                <w:szCs w:val="20"/>
              </w:rPr>
              <w:t xml:space="preserve">možno predpokladať nominálny dopad max. </w:t>
            </w:r>
            <w:r w:rsidR="00B23236">
              <w:rPr>
                <w:rFonts w:ascii="Times New Roman" w:hAnsi="Times New Roman" w:cs="Times New Roman"/>
                <w:sz w:val="20"/>
                <w:szCs w:val="20"/>
              </w:rPr>
              <w:t>0,</w:t>
            </w:r>
            <w:r w:rsidR="00AA4FAA">
              <w:rPr>
                <w:rFonts w:ascii="Times New Roman" w:hAnsi="Times New Roman" w:cs="Times New Roman"/>
                <w:sz w:val="20"/>
                <w:szCs w:val="20"/>
              </w:rPr>
              <w:t>2</w:t>
            </w:r>
            <w:r w:rsidR="00B23236">
              <w:rPr>
                <w:rFonts w:ascii="Times New Roman" w:hAnsi="Times New Roman" w:cs="Times New Roman"/>
                <w:sz w:val="20"/>
                <w:szCs w:val="20"/>
              </w:rPr>
              <w:t>0</w:t>
            </w:r>
            <w:r w:rsidRPr="00096C61">
              <w:rPr>
                <w:rFonts w:ascii="Times New Roman" w:hAnsi="Times New Roman" w:cs="Times New Roman"/>
                <w:sz w:val="20"/>
                <w:szCs w:val="20"/>
              </w:rPr>
              <w:t xml:space="preserve"> euro/rok, t.j. max. 0,</w:t>
            </w:r>
            <w:r w:rsidR="00B23236">
              <w:rPr>
                <w:rFonts w:ascii="Times New Roman" w:hAnsi="Times New Roman" w:cs="Times New Roman"/>
                <w:sz w:val="20"/>
                <w:szCs w:val="20"/>
              </w:rPr>
              <w:t>0</w:t>
            </w:r>
            <w:r w:rsidR="00AA4FAA">
              <w:rPr>
                <w:rFonts w:ascii="Times New Roman" w:hAnsi="Times New Roman" w:cs="Times New Roman"/>
                <w:sz w:val="20"/>
                <w:szCs w:val="20"/>
              </w:rPr>
              <w:t>2</w:t>
            </w:r>
            <w:r w:rsidRPr="00096C61">
              <w:rPr>
                <w:rFonts w:ascii="Times New Roman" w:hAnsi="Times New Roman" w:cs="Times New Roman"/>
                <w:sz w:val="20"/>
                <w:szCs w:val="20"/>
              </w:rPr>
              <w:t xml:space="preserve"> eur/mesiac.</w:t>
            </w:r>
          </w:p>
          <w:p w:rsidR="00D77C19" w:rsidRPr="009B2C05" w:rsidRDefault="00D77C19" w:rsidP="00D77C19">
            <w:pPr>
              <w:spacing w:after="0" w:line="240" w:lineRule="auto"/>
              <w:jc w:val="both"/>
              <w:rPr>
                <w:rFonts w:ascii="Times New Roman" w:hAnsi="Times New Roman" w:cs="Times New Roman"/>
                <w:sz w:val="20"/>
                <w:szCs w:val="20"/>
              </w:rPr>
            </w:pPr>
          </w:p>
          <w:p w:rsidR="00D77C19" w:rsidRDefault="00D77C19" w:rsidP="00D77C19">
            <w:pPr>
              <w:spacing w:after="0" w:line="240" w:lineRule="auto"/>
              <w:jc w:val="both"/>
              <w:rPr>
                <w:rFonts w:ascii="Times New Roman" w:hAnsi="Times New Roman" w:cs="Times New Roman"/>
                <w:sz w:val="20"/>
                <w:szCs w:val="20"/>
              </w:rPr>
            </w:pPr>
            <w:r w:rsidRPr="009B2C05">
              <w:rPr>
                <w:rFonts w:ascii="Times New Roman" w:hAnsi="Times New Roman" w:cs="Times New Roman"/>
                <w:sz w:val="20"/>
                <w:szCs w:val="20"/>
              </w:rPr>
              <w:t>Konkrétna výška dopadu</w:t>
            </w:r>
            <w:r w:rsidRPr="006E6C4F">
              <w:rPr>
                <w:rFonts w:ascii="Times New Roman" w:hAnsi="Times New Roman" w:cs="Times New Roman"/>
                <w:sz w:val="20"/>
                <w:szCs w:val="20"/>
              </w:rPr>
              <w:t xml:space="preserve"> vždy závisí od palivového mixu </w:t>
            </w:r>
            <w:r>
              <w:rPr>
                <w:rFonts w:ascii="Times New Roman" w:hAnsi="Times New Roman" w:cs="Times New Roman"/>
                <w:sz w:val="20"/>
                <w:szCs w:val="20"/>
              </w:rPr>
              <w:t xml:space="preserve">a technológie </w:t>
            </w:r>
            <w:r w:rsidRPr="006E6C4F">
              <w:rPr>
                <w:rFonts w:ascii="Times New Roman" w:hAnsi="Times New Roman" w:cs="Times New Roman"/>
                <w:sz w:val="20"/>
                <w:szCs w:val="20"/>
              </w:rPr>
              <w:t>danej teplárne. Suma je vypočítaná na základe podielu dodaného tepla pre domácnosti a počtu domácností, ktoré sú pripojené na tento zdroj, pričom sa uvažuje plné zohľadnenie zvýšenia poplatkov v cene tepla pre koncových užívateľov.</w:t>
            </w:r>
          </w:p>
          <w:p w:rsidR="00D77C19" w:rsidRDefault="00D77C19" w:rsidP="00D77C19">
            <w:pPr>
              <w:spacing w:after="0" w:line="240" w:lineRule="auto"/>
              <w:jc w:val="both"/>
              <w:rPr>
                <w:rFonts w:ascii="Times New Roman" w:hAnsi="Times New Roman" w:cs="Times New Roman"/>
                <w:sz w:val="20"/>
                <w:szCs w:val="20"/>
              </w:rPr>
            </w:pPr>
          </w:p>
          <w:p w:rsidR="00D77C19" w:rsidRPr="00FA7181" w:rsidRDefault="00D77C19" w:rsidP="00D77C1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Ovplyvnených bude približne 1,8 milióna domácností.</w:t>
            </w:r>
            <w:r w:rsidRPr="008A62F6">
              <w:rPr>
                <w:rFonts w:ascii="Times New Roman" w:hAnsi="Times New Roman" w:cs="Times New Roman"/>
                <w:sz w:val="20"/>
                <w:szCs w:val="20"/>
              </w:rPr>
              <w:t xml:space="preserve"> </w:t>
            </w:r>
          </w:p>
        </w:tc>
      </w:tr>
      <w:tr w:rsidR="00D77C19" w:rsidRPr="002644DE" w:rsidTr="000800FC">
        <w:trPr>
          <w:trHeight w:val="680"/>
          <w:jc w:val="center"/>
        </w:trPr>
        <w:tc>
          <w:tcPr>
            <w:tcW w:w="129" w:type="pct"/>
            <w:vMerge/>
            <w:shd w:val="clear" w:color="auto" w:fill="auto"/>
            <w:vAlign w:val="center"/>
          </w:tcPr>
          <w:p w:rsidR="00D77C19" w:rsidRPr="002644DE" w:rsidRDefault="00D77C19" w:rsidP="00D77C19">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D77C19" w:rsidRPr="002644DE" w:rsidRDefault="009267B2" w:rsidP="00D77C19">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c>
          <w:tcPr>
            <w:tcW w:w="3229" w:type="pct"/>
            <w:tcBorders>
              <w:top w:val="dotted" w:sz="4" w:space="0" w:color="auto"/>
            </w:tcBorders>
            <w:shd w:val="clear" w:color="auto" w:fill="auto"/>
          </w:tcPr>
          <w:p w:rsidR="00D77C19" w:rsidRPr="002644DE" w:rsidRDefault="00D77C19" w:rsidP="00D77C19">
            <w:pPr>
              <w:spacing w:after="0" w:line="240" w:lineRule="auto"/>
              <w:rPr>
                <w:rFonts w:ascii="Times New Roman" w:eastAsia="Calibri" w:hAnsi="Times New Roman" w:cs="Times New Roman"/>
                <w:sz w:val="20"/>
                <w:szCs w:val="20"/>
                <w:lang w:eastAsia="sk-SK"/>
              </w:rPr>
            </w:pPr>
          </w:p>
        </w:tc>
      </w:tr>
      <w:tr w:rsidR="00D77C19" w:rsidRPr="002644DE" w:rsidTr="000800FC">
        <w:trPr>
          <w:trHeight w:val="397"/>
          <w:jc w:val="center"/>
        </w:trPr>
        <w:tc>
          <w:tcPr>
            <w:tcW w:w="129" w:type="pct"/>
            <w:tcBorders>
              <w:top w:val="dotted" w:sz="4" w:space="0" w:color="auto"/>
            </w:tcBorders>
            <w:shd w:val="clear" w:color="auto" w:fill="auto"/>
            <w:vAlign w:val="center"/>
          </w:tcPr>
          <w:p w:rsidR="00D77C19" w:rsidRPr="002644DE" w:rsidRDefault="00D77C19" w:rsidP="00D77C1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D77C19" w:rsidRPr="002644DE" w:rsidRDefault="00D77C19" w:rsidP="00D77C1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D77C19" w:rsidRPr="002644DE" w:rsidRDefault="00D77C19" w:rsidP="00D77C19">
            <w:pPr>
              <w:spacing w:after="0" w:line="240" w:lineRule="auto"/>
              <w:rPr>
                <w:rFonts w:ascii="Times New Roman" w:eastAsia="Calibri" w:hAnsi="Times New Roman" w:cs="Times New Roman"/>
                <w:sz w:val="20"/>
                <w:szCs w:val="20"/>
                <w:lang w:eastAsia="sk-SK"/>
              </w:rPr>
            </w:pPr>
          </w:p>
        </w:tc>
      </w:tr>
      <w:tr w:rsidR="00D77C19" w:rsidRPr="002644DE" w:rsidTr="000800FC">
        <w:trPr>
          <w:trHeight w:val="227"/>
          <w:jc w:val="center"/>
        </w:trPr>
        <w:tc>
          <w:tcPr>
            <w:tcW w:w="129" w:type="pct"/>
            <w:tcBorders>
              <w:top w:val="nil"/>
              <w:bottom w:val="single" w:sz="4" w:space="0" w:color="auto"/>
            </w:tcBorders>
            <w:shd w:val="clear" w:color="auto" w:fill="F2F2F2"/>
            <w:vAlign w:val="center"/>
          </w:tcPr>
          <w:p w:rsidR="00D77C19" w:rsidRPr="002644DE" w:rsidRDefault="00D77C19" w:rsidP="00D77C1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D77C19" w:rsidRPr="002644DE" w:rsidRDefault="00D77C19" w:rsidP="00D77C1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D77C19" w:rsidRPr="002644DE" w:rsidRDefault="00D77C19" w:rsidP="00D77C19">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D77C19"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D77C19" w:rsidRPr="002644DE" w:rsidRDefault="00D77C19" w:rsidP="00D77C1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D77C19" w:rsidRPr="002644DE" w:rsidRDefault="00D77C19" w:rsidP="00D77C19">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D77C19" w:rsidRPr="002644DE" w:rsidRDefault="00AA4FAA" w:rsidP="00D77C1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V prípade domácností čeliacich energetickej chudobe môžeme predpokladať relatívne vyšší vnímaný dopad, ktorý je ale v absolútnom vyjadrení mierny.</w:t>
            </w:r>
          </w:p>
        </w:tc>
      </w:tr>
      <w:tr w:rsidR="00D77C19" w:rsidRPr="002644DE" w:rsidTr="000800FC">
        <w:trPr>
          <w:trHeight w:val="397"/>
          <w:jc w:val="center"/>
        </w:trPr>
        <w:tc>
          <w:tcPr>
            <w:tcW w:w="129" w:type="pct"/>
            <w:vMerge w:val="restart"/>
            <w:tcBorders>
              <w:top w:val="single" w:sz="4" w:space="0" w:color="auto"/>
            </w:tcBorders>
            <w:shd w:val="clear" w:color="auto" w:fill="auto"/>
            <w:vAlign w:val="center"/>
          </w:tcPr>
          <w:p w:rsidR="00D77C19" w:rsidRPr="002644DE" w:rsidRDefault="00D77C19" w:rsidP="00D77C1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D77C19" w:rsidRPr="002644DE" w:rsidRDefault="00D77C19" w:rsidP="00D77C1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D77C19" w:rsidRPr="002644DE" w:rsidRDefault="00D77C19" w:rsidP="00D77C19">
            <w:pPr>
              <w:spacing w:after="0" w:line="240" w:lineRule="auto"/>
              <w:rPr>
                <w:rFonts w:ascii="Times New Roman" w:eastAsia="Calibri" w:hAnsi="Times New Roman" w:cs="Times New Roman"/>
                <w:i/>
                <w:sz w:val="18"/>
                <w:szCs w:val="20"/>
                <w:lang w:eastAsia="sk-SK"/>
              </w:rPr>
            </w:pPr>
          </w:p>
        </w:tc>
      </w:tr>
      <w:tr w:rsidR="00D77C19" w:rsidRPr="002644DE" w:rsidTr="000800FC">
        <w:trPr>
          <w:trHeight w:val="397"/>
          <w:jc w:val="center"/>
        </w:trPr>
        <w:tc>
          <w:tcPr>
            <w:tcW w:w="129" w:type="pct"/>
            <w:vMerge/>
            <w:shd w:val="clear" w:color="auto" w:fill="auto"/>
            <w:vAlign w:val="center"/>
          </w:tcPr>
          <w:p w:rsidR="00D77C19" w:rsidRPr="002644DE" w:rsidRDefault="00D77C19" w:rsidP="00D77C19">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D77C19" w:rsidRPr="002644DE" w:rsidRDefault="00D77C19" w:rsidP="009267B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skupina č. </w:t>
            </w:r>
            <w:r w:rsidR="009267B2">
              <w:rPr>
                <w:rFonts w:ascii="Times New Roman" w:eastAsia="Calibri" w:hAnsi="Times New Roman" w:cs="Times New Roman"/>
                <w:i/>
                <w:sz w:val="18"/>
                <w:szCs w:val="20"/>
                <w:lang w:eastAsia="sk-SK"/>
              </w:rPr>
              <w:t>1</w:t>
            </w:r>
          </w:p>
        </w:tc>
        <w:tc>
          <w:tcPr>
            <w:tcW w:w="3229" w:type="pct"/>
            <w:tcBorders>
              <w:top w:val="dotted" w:sz="4" w:space="0" w:color="auto"/>
            </w:tcBorders>
            <w:shd w:val="clear" w:color="auto" w:fill="auto"/>
          </w:tcPr>
          <w:p w:rsidR="00D77C19" w:rsidRPr="002644DE" w:rsidRDefault="00D77C19" w:rsidP="00D77C19">
            <w:pPr>
              <w:spacing w:after="0" w:line="240" w:lineRule="auto"/>
              <w:rPr>
                <w:rFonts w:ascii="Times New Roman" w:eastAsia="Calibri" w:hAnsi="Times New Roman" w:cs="Times New Roman"/>
                <w:sz w:val="20"/>
                <w:szCs w:val="20"/>
                <w:lang w:eastAsia="sk-SK"/>
              </w:rPr>
            </w:pPr>
          </w:p>
        </w:tc>
      </w:tr>
      <w:tr w:rsidR="00D77C19" w:rsidRPr="002644DE" w:rsidTr="000800FC">
        <w:trPr>
          <w:trHeight w:val="454"/>
          <w:jc w:val="center"/>
        </w:trPr>
        <w:tc>
          <w:tcPr>
            <w:tcW w:w="129" w:type="pct"/>
            <w:tcBorders>
              <w:top w:val="dotted" w:sz="4" w:space="0" w:color="auto"/>
            </w:tcBorders>
            <w:shd w:val="clear" w:color="auto" w:fill="F2F2F2"/>
            <w:vAlign w:val="center"/>
          </w:tcPr>
          <w:p w:rsidR="00D77C19" w:rsidRPr="002644DE" w:rsidRDefault="00D77C19" w:rsidP="00D77C19">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D77C19" w:rsidRPr="002644DE" w:rsidRDefault="00D77C19" w:rsidP="00D77C1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D77C19" w:rsidRPr="002644DE" w:rsidTr="000800FC">
        <w:trPr>
          <w:trHeight w:val="680"/>
          <w:jc w:val="center"/>
        </w:trPr>
        <w:tc>
          <w:tcPr>
            <w:tcW w:w="129" w:type="pct"/>
            <w:vMerge w:val="restart"/>
            <w:tcBorders>
              <w:top w:val="dotted" w:sz="4" w:space="0" w:color="auto"/>
            </w:tcBorders>
            <w:shd w:val="clear" w:color="auto" w:fill="auto"/>
            <w:vAlign w:val="center"/>
          </w:tcPr>
          <w:p w:rsidR="00D77C19" w:rsidRPr="002644DE" w:rsidRDefault="00D77C19" w:rsidP="00D77C1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D77C19" w:rsidRPr="002644DE" w:rsidRDefault="00D77C19" w:rsidP="00D77C19">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D77C19" w:rsidRPr="002644DE" w:rsidRDefault="00D77C19" w:rsidP="00D77C19">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D77C19" w:rsidRPr="002644DE" w:rsidRDefault="00D77C19" w:rsidP="00D77C19">
            <w:pPr>
              <w:spacing w:after="0" w:line="240" w:lineRule="auto"/>
              <w:rPr>
                <w:rFonts w:ascii="Times New Roman" w:eastAsia="Calibri" w:hAnsi="Times New Roman" w:cs="Times New Roman"/>
                <w:sz w:val="20"/>
                <w:szCs w:val="20"/>
                <w:lang w:eastAsia="sk-SK"/>
              </w:rPr>
            </w:pPr>
          </w:p>
        </w:tc>
      </w:tr>
      <w:tr w:rsidR="00D77C19" w:rsidRPr="002644DE" w:rsidTr="000800FC">
        <w:trPr>
          <w:trHeight w:val="680"/>
          <w:jc w:val="center"/>
        </w:trPr>
        <w:tc>
          <w:tcPr>
            <w:tcW w:w="129" w:type="pct"/>
            <w:vMerge/>
            <w:shd w:val="clear" w:color="auto" w:fill="auto"/>
            <w:vAlign w:val="center"/>
          </w:tcPr>
          <w:p w:rsidR="00D77C19" w:rsidRPr="002644DE" w:rsidRDefault="00D77C19" w:rsidP="00D77C19">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D77C19" w:rsidRPr="002644DE" w:rsidRDefault="00D77C19" w:rsidP="009267B2">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 xml:space="preserve">Ovplyvnená skupina č. </w:t>
            </w:r>
            <w:r w:rsidR="009267B2">
              <w:rPr>
                <w:rFonts w:ascii="Times New Roman" w:eastAsia="Calibri" w:hAnsi="Times New Roman" w:cs="Times New Roman"/>
                <w:i/>
                <w:sz w:val="18"/>
                <w:szCs w:val="20"/>
                <w:lang w:eastAsia="sk-SK"/>
              </w:rPr>
              <w:t>1</w:t>
            </w:r>
          </w:p>
        </w:tc>
        <w:tc>
          <w:tcPr>
            <w:tcW w:w="3229" w:type="pct"/>
            <w:tcBorders>
              <w:top w:val="dotted" w:sz="4" w:space="0" w:color="auto"/>
            </w:tcBorders>
            <w:shd w:val="clear" w:color="auto" w:fill="auto"/>
          </w:tcPr>
          <w:p w:rsidR="00D77C19" w:rsidRPr="002644DE" w:rsidRDefault="00D77C19" w:rsidP="00D77C19">
            <w:pPr>
              <w:spacing w:after="0" w:line="240" w:lineRule="auto"/>
              <w:rPr>
                <w:rFonts w:ascii="Times New Roman" w:eastAsia="Calibri" w:hAnsi="Times New Roman" w:cs="Times New Roman"/>
                <w:sz w:val="20"/>
                <w:szCs w:val="20"/>
                <w:lang w:eastAsia="sk-SK"/>
              </w:rPr>
            </w:pPr>
          </w:p>
        </w:tc>
      </w:tr>
      <w:tr w:rsidR="00D77C19" w:rsidRPr="002644DE" w:rsidTr="000800FC">
        <w:trPr>
          <w:trHeight w:val="454"/>
          <w:jc w:val="center"/>
        </w:trPr>
        <w:tc>
          <w:tcPr>
            <w:tcW w:w="129" w:type="pct"/>
            <w:tcBorders>
              <w:top w:val="dotted" w:sz="4" w:space="0" w:color="auto"/>
              <w:bottom w:val="single" w:sz="4" w:space="0" w:color="auto"/>
            </w:tcBorders>
            <w:shd w:val="clear" w:color="auto" w:fill="auto"/>
            <w:vAlign w:val="center"/>
          </w:tcPr>
          <w:p w:rsidR="00D77C19" w:rsidRPr="002644DE" w:rsidRDefault="00D77C19" w:rsidP="00D77C1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D77C19" w:rsidRPr="002644DE" w:rsidRDefault="00D77C19" w:rsidP="00D77C19">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D77C19" w:rsidRPr="002644DE" w:rsidRDefault="00AA4FAA" w:rsidP="00D77C1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 dôvodu chýbajúcej definície energetickej chudoby nie je možné dopady kvantifikovať.</w:t>
            </w:r>
          </w:p>
        </w:tc>
      </w:tr>
    </w:tbl>
    <w:p w:rsidR="002644DE" w:rsidRPr="002644DE" w:rsidRDefault="002644DE" w:rsidP="002644DE">
      <w:r w:rsidRPr="002644DE">
        <w:br w:type="page"/>
      </w:r>
    </w:p>
    <w:p w:rsidR="002644DE" w:rsidRPr="002644DE" w:rsidRDefault="002644DE" w:rsidP="002644DE">
      <w:pPr>
        <w:sectPr w:rsidR="002644DE" w:rsidRPr="002644DE" w:rsidSect="00670684">
          <w:headerReference w:type="default" r:id="rId8"/>
          <w:footerReference w:type="default" r:id="rId9"/>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rsidTr="00D77C19">
        <w:trPr>
          <w:trHeight w:val="339"/>
          <w:jc w:val="center"/>
        </w:trPr>
        <w:tc>
          <w:tcPr>
            <w:tcW w:w="5000" w:type="pct"/>
            <w:gridSpan w:val="4"/>
            <w:tcBorders>
              <w:bottom w:val="single" w:sz="4" w:space="0" w:color="auto"/>
            </w:tcBorders>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rsidTr="00D77C19">
        <w:trPr>
          <w:trHeight w:val="290"/>
          <w:jc w:val="center"/>
        </w:trPr>
        <w:tc>
          <w:tcPr>
            <w:tcW w:w="5000" w:type="pct"/>
            <w:gridSpan w:val="4"/>
            <w:tcBorders>
              <w:bottom w:val="single" w:sz="4" w:space="0" w:color="auto"/>
            </w:tcBorders>
            <w:shd w:val="clear" w:color="auto" w:fill="F2F2F2"/>
            <w:vAlign w:val="center"/>
          </w:tcPr>
          <w:p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D77C19" w:rsidRPr="002644DE" w:rsidTr="00D77C19">
        <w:tblPrEx>
          <w:tblBorders>
            <w:top w:val="none" w:sz="0" w:space="0" w:color="auto"/>
            <w:bottom w:val="none" w:sz="0" w:space="0" w:color="auto"/>
          </w:tblBorders>
        </w:tblPrEx>
        <w:trPr>
          <w:trHeight w:val="557"/>
          <w:jc w:val="center"/>
        </w:trPr>
        <w:tc>
          <w:tcPr>
            <w:tcW w:w="180" w:type="pct"/>
            <w:shd w:val="clear" w:color="auto" w:fill="auto"/>
            <w:vAlign w:val="center"/>
          </w:tcPr>
          <w:p w:rsidR="00D77C19" w:rsidRPr="002644DE" w:rsidRDefault="00D77C19" w:rsidP="00D77C19">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D77C19" w:rsidRPr="002644DE" w:rsidRDefault="00D77C19" w:rsidP="00D77C19">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D77C19" w:rsidRPr="002644DE" w:rsidRDefault="00D77C19" w:rsidP="00D77C1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D77C19" w:rsidRPr="002644DE" w:rsidRDefault="00D77C19" w:rsidP="00D77C1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D77C19" w:rsidRPr="002644DE" w:rsidRDefault="00D77C19" w:rsidP="00D77C1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D77C19" w:rsidRPr="002644DE" w:rsidRDefault="00D77C19" w:rsidP="00D77C1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D77C19" w:rsidRPr="002644DE" w:rsidRDefault="00D77C19" w:rsidP="00D77C1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D77C19" w:rsidRPr="002644DE" w:rsidRDefault="00D77C19" w:rsidP="00D77C1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D77C19" w:rsidRPr="002644DE" w:rsidRDefault="00D77C19" w:rsidP="00D77C1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D77C19" w:rsidRPr="002644DE" w:rsidRDefault="00D77C19" w:rsidP="00D77C1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D77C19" w:rsidRPr="002644DE" w:rsidRDefault="00D77C19" w:rsidP="00D77C1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D77C19" w:rsidRPr="002644DE" w:rsidRDefault="00D77C19" w:rsidP="00D77C1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D77C19" w:rsidRPr="002644DE" w:rsidRDefault="00D77C19" w:rsidP="00D77C1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D77C19" w:rsidRPr="002644DE" w:rsidRDefault="00D77C19" w:rsidP="00D77C19">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7" w:type="pct"/>
            <w:shd w:val="clear" w:color="auto" w:fill="auto"/>
          </w:tcPr>
          <w:p w:rsidR="00D77C19" w:rsidRPr="002644DE" w:rsidRDefault="00D77C19" w:rsidP="00D77C19">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Nepredpokladá sa vplyv na sociálnu inklúziu.</w:t>
            </w:r>
          </w:p>
        </w:tc>
      </w:tr>
      <w:tr w:rsidR="00D77C19" w:rsidRPr="002644DE" w:rsidTr="00D77C19">
        <w:trPr>
          <w:jc w:val="center"/>
        </w:trPr>
        <w:tc>
          <w:tcPr>
            <w:tcW w:w="180" w:type="pct"/>
            <w:tcBorders>
              <w:bottom w:val="single" w:sz="4" w:space="0" w:color="auto"/>
            </w:tcBorders>
            <w:shd w:val="clear" w:color="auto" w:fill="F2F2F2"/>
            <w:vAlign w:val="center"/>
          </w:tcPr>
          <w:p w:rsidR="00D77C19" w:rsidRPr="002644DE" w:rsidRDefault="00D77C19" w:rsidP="00D77C19">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20" w:type="pct"/>
            <w:gridSpan w:val="3"/>
            <w:tcBorders>
              <w:bottom w:val="single" w:sz="4" w:space="0" w:color="auto"/>
            </w:tcBorders>
            <w:shd w:val="clear" w:color="auto" w:fill="F2F2F2"/>
          </w:tcPr>
          <w:p w:rsidR="00D77C19" w:rsidRPr="002644DE" w:rsidRDefault="00D77C19" w:rsidP="00D77C19">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D77C19" w:rsidRPr="002644DE" w:rsidRDefault="00D77C19" w:rsidP="00D77C19">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D77C19" w:rsidRPr="002644DE" w:rsidTr="00D77C19">
        <w:tblPrEx>
          <w:tblBorders>
            <w:top w:val="none" w:sz="0" w:space="0" w:color="auto"/>
          </w:tblBorders>
        </w:tblPrEx>
        <w:trPr>
          <w:trHeight w:val="677"/>
          <w:jc w:val="center"/>
        </w:trPr>
        <w:tc>
          <w:tcPr>
            <w:tcW w:w="180" w:type="pct"/>
            <w:shd w:val="clear" w:color="auto" w:fill="auto"/>
            <w:vAlign w:val="center"/>
          </w:tcPr>
          <w:p w:rsidR="00D77C19" w:rsidRPr="002644DE" w:rsidRDefault="00D77C19" w:rsidP="00D77C19">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D77C19" w:rsidRPr="002644DE" w:rsidRDefault="00D77C19" w:rsidP="00D77C19">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D77C19" w:rsidRPr="002644DE" w:rsidRDefault="00D77C19" w:rsidP="00D77C1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D77C19" w:rsidRPr="002644DE" w:rsidRDefault="00D77C19" w:rsidP="00D77C1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D77C19" w:rsidRPr="002644DE" w:rsidRDefault="00D77C19" w:rsidP="00D77C1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D77C19" w:rsidRPr="002644DE" w:rsidRDefault="00D77C19" w:rsidP="00D77C1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D77C19" w:rsidRPr="002644DE" w:rsidRDefault="00D77C19" w:rsidP="00D77C1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D77C19" w:rsidRPr="002644DE" w:rsidRDefault="00D77C19" w:rsidP="00D77C1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D77C19" w:rsidRPr="002644DE" w:rsidRDefault="00D77C19" w:rsidP="00D77C1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D77C19" w:rsidRPr="002644DE" w:rsidRDefault="00D77C19" w:rsidP="00D77C1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D77C19" w:rsidRPr="002644DE" w:rsidRDefault="00D77C19" w:rsidP="00D77C1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D77C19" w:rsidRPr="002644DE" w:rsidRDefault="00D77C19" w:rsidP="00D77C19">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D77C19" w:rsidRPr="002644DE" w:rsidRDefault="00D77C19" w:rsidP="00D77C19">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1" w:type="pct"/>
            <w:gridSpan w:val="2"/>
            <w:shd w:val="clear" w:color="auto" w:fill="auto"/>
          </w:tcPr>
          <w:p w:rsidR="00D77C19" w:rsidRPr="002644DE" w:rsidRDefault="00D77C19" w:rsidP="00D77C19">
            <w:pPr>
              <w:spacing w:after="0" w:line="240" w:lineRule="auto"/>
              <w:jc w:val="both"/>
              <w:rPr>
                <w:rFonts w:ascii="Times New Roman" w:eastAsia="Calibri" w:hAnsi="Times New Roman" w:cs="Times New Roman"/>
                <w:sz w:val="20"/>
                <w:lang w:eastAsia="sk-SK"/>
              </w:rPr>
            </w:pPr>
            <w:r>
              <w:rPr>
                <w:rFonts w:ascii="Times New Roman" w:eastAsia="Calibri" w:hAnsi="Times New Roman" w:cs="Times New Roman"/>
                <w:sz w:val="20"/>
                <w:lang w:eastAsia="sk-SK"/>
              </w:rPr>
              <w:t>Vzhľadom na vysoký podiel výdavkov na energie v nízko-príjmových skupinách obyvateľstva môže byť táto skupina osobitne zasiahnutá, avšak priemerný nominálny vplyv je nízky aj po zohľadnení pl</w:t>
            </w:r>
            <w:r w:rsidR="00162B0C">
              <w:rPr>
                <w:rFonts w:ascii="Times New Roman" w:eastAsia="Calibri" w:hAnsi="Times New Roman" w:cs="Times New Roman"/>
                <w:sz w:val="20"/>
                <w:lang w:eastAsia="sk-SK"/>
              </w:rPr>
              <w:t>ného nábehu poplatkového režimu.</w:t>
            </w:r>
          </w:p>
        </w:tc>
      </w:tr>
    </w:tbl>
    <w:p w:rsidR="002644DE" w:rsidRPr="002644DE" w:rsidRDefault="002644DE" w:rsidP="002644DE">
      <w:pPr>
        <w:sectPr w:rsidR="002644DE" w:rsidRPr="002644DE" w:rsidSect="00670684">
          <w:headerReference w:type="default" r:id="rId10"/>
          <w:footerReference w:type="default" r:id="rId1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7"/>
        <w:gridCol w:w="5514"/>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rsidTr="00D77C19">
        <w:trPr>
          <w:jc w:val="center"/>
        </w:trPr>
        <w:tc>
          <w:tcPr>
            <w:tcW w:w="143"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57" w:type="pct"/>
            <w:gridSpan w:val="2"/>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D77C19" w:rsidRPr="002644DE" w:rsidTr="00D77C19">
        <w:trPr>
          <w:trHeight w:val="928"/>
          <w:jc w:val="center"/>
        </w:trPr>
        <w:tc>
          <w:tcPr>
            <w:tcW w:w="143" w:type="pct"/>
            <w:tcBorders>
              <w:top w:val="nil"/>
              <w:bottom w:val="nil"/>
            </w:tcBorders>
            <w:shd w:val="clear" w:color="auto" w:fill="auto"/>
          </w:tcPr>
          <w:p w:rsidR="00D77C19" w:rsidRPr="002644DE" w:rsidRDefault="00D77C19" w:rsidP="00D77C19">
            <w:pPr>
              <w:spacing w:after="0" w:line="240" w:lineRule="auto"/>
              <w:rPr>
                <w:rFonts w:ascii="Times New Roman" w:eastAsia="Calibri" w:hAnsi="Times New Roman" w:cs="Times New Roman"/>
                <w:sz w:val="20"/>
              </w:rPr>
            </w:pPr>
          </w:p>
          <w:p w:rsidR="00D77C19" w:rsidRPr="002644DE" w:rsidRDefault="00D77C19" w:rsidP="00D77C19">
            <w:pPr>
              <w:spacing w:after="0" w:line="240" w:lineRule="auto"/>
              <w:rPr>
                <w:rFonts w:ascii="Times New Roman" w:eastAsia="Calibri" w:hAnsi="Times New Roman" w:cs="Times New Roman"/>
                <w:i/>
                <w:sz w:val="20"/>
              </w:rPr>
            </w:pPr>
          </w:p>
          <w:p w:rsidR="00D77C19" w:rsidRPr="002644DE" w:rsidRDefault="00D77C19" w:rsidP="00D77C19">
            <w:pPr>
              <w:spacing w:after="0" w:line="240" w:lineRule="auto"/>
              <w:rPr>
                <w:rFonts w:ascii="Times New Roman" w:eastAsia="Calibri" w:hAnsi="Times New Roman" w:cs="Times New Roman"/>
                <w:i/>
                <w:sz w:val="20"/>
              </w:rPr>
            </w:pPr>
          </w:p>
          <w:p w:rsidR="00D77C19" w:rsidRPr="002644DE" w:rsidRDefault="00D77C19" w:rsidP="00D77C19">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D77C19" w:rsidRPr="002644DE" w:rsidRDefault="00D77C19" w:rsidP="00D77C19">
            <w:pPr>
              <w:spacing w:after="0" w:line="240" w:lineRule="auto"/>
              <w:rPr>
                <w:rFonts w:ascii="Times New Roman" w:eastAsia="Calibri" w:hAnsi="Times New Roman" w:cs="Times New Roman"/>
                <w:i/>
                <w:sz w:val="20"/>
              </w:rPr>
            </w:pPr>
          </w:p>
          <w:p w:rsidR="00D77C19" w:rsidRPr="002644DE" w:rsidRDefault="00D77C19" w:rsidP="00D77C19">
            <w:pPr>
              <w:spacing w:after="0" w:line="240" w:lineRule="auto"/>
              <w:rPr>
                <w:rFonts w:ascii="Times New Roman" w:eastAsia="Calibri" w:hAnsi="Times New Roman" w:cs="Times New Roman"/>
                <w:i/>
                <w:sz w:val="20"/>
              </w:rPr>
            </w:pPr>
          </w:p>
          <w:p w:rsidR="00D77C19" w:rsidRPr="002644DE" w:rsidRDefault="00D77C19" w:rsidP="00D77C19">
            <w:pPr>
              <w:spacing w:after="0" w:line="240" w:lineRule="auto"/>
              <w:rPr>
                <w:rFonts w:ascii="Times New Roman" w:eastAsia="Calibri" w:hAnsi="Times New Roman" w:cs="Times New Roman"/>
                <w:i/>
                <w:sz w:val="20"/>
              </w:rPr>
            </w:pPr>
          </w:p>
        </w:tc>
        <w:tc>
          <w:tcPr>
            <w:tcW w:w="4857" w:type="pct"/>
            <w:gridSpan w:val="2"/>
            <w:tcBorders>
              <w:top w:val="nil"/>
              <w:bottom w:val="nil"/>
            </w:tcBorders>
            <w:shd w:val="clear" w:color="auto" w:fill="auto"/>
          </w:tcPr>
          <w:p w:rsidR="00D77C19" w:rsidRPr="002644DE" w:rsidRDefault="00D77C19" w:rsidP="00D77C19">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Nepredpokladá sa vplyv na rovnosť príležitostí.</w:t>
            </w:r>
          </w:p>
        </w:tc>
      </w:tr>
      <w:tr w:rsidR="00D77C19" w:rsidRPr="002644DE" w:rsidTr="00D77C19">
        <w:trPr>
          <w:trHeight w:val="345"/>
          <w:jc w:val="center"/>
        </w:trPr>
        <w:tc>
          <w:tcPr>
            <w:tcW w:w="143" w:type="pct"/>
            <w:tcBorders>
              <w:bottom w:val="single" w:sz="4" w:space="0" w:color="auto"/>
            </w:tcBorders>
            <w:shd w:val="clear" w:color="auto" w:fill="F2F2F2"/>
            <w:vAlign w:val="center"/>
          </w:tcPr>
          <w:p w:rsidR="00D77C19" w:rsidRPr="002644DE" w:rsidRDefault="00D77C19" w:rsidP="00D77C19">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57" w:type="pct"/>
            <w:gridSpan w:val="2"/>
            <w:tcBorders>
              <w:bottom w:val="single" w:sz="4" w:space="0" w:color="auto"/>
            </w:tcBorders>
            <w:shd w:val="clear" w:color="auto" w:fill="F2F2F2"/>
            <w:vAlign w:val="center"/>
          </w:tcPr>
          <w:p w:rsidR="00D77C19" w:rsidRPr="002644DE" w:rsidRDefault="00D77C19" w:rsidP="00D77C19">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D77C19" w:rsidRPr="002644DE" w:rsidTr="00D77C19">
        <w:tblPrEx>
          <w:tblBorders>
            <w:top w:val="none" w:sz="0" w:space="0" w:color="auto"/>
            <w:bottom w:val="none" w:sz="0" w:space="0" w:color="auto"/>
          </w:tblBorders>
        </w:tblPrEx>
        <w:trPr>
          <w:trHeight w:val="372"/>
          <w:jc w:val="center"/>
        </w:trPr>
        <w:tc>
          <w:tcPr>
            <w:tcW w:w="143" w:type="pct"/>
            <w:shd w:val="clear" w:color="auto" w:fill="auto"/>
            <w:vAlign w:val="center"/>
          </w:tcPr>
          <w:p w:rsidR="00D77C19" w:rsidRPr="002644DE" w:rsidRDefault="00D77C19" w:rsidP="00D77C19">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75" w:type="pct"/>
            <w:shd w:val="clear" w:color="auto" w:fill="auto"/>
          </w:tcPr>
          <w:p w:rsidR="00D77C19" w:rsidRPr="002644DE" w:rsidRDefault="00D77C19" w:rsidP="00D77C19">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3" w:type="pct"/>
            <w:shd w:val="clear" w:color="auto" w:fill="auto"/>
          </w:tcPr>
          <w:p w:rsidR="00D77C19" w:rsidRPr="002644DE" w:rsidRDefault="00D77C19" w:rsidP="00D77C19">
            <w:pPr>
              <w:spacing w:after="0" w:line="240" w:lineRule="auto"/>
              <w:jc w:val="both"/>
              <w:rPr>
                <w:rFonts w:ascii="Times New Roman" w:eastAsia="Calibri" w:hAnsi="Times New Roman" w:cs="Times New Roman"/>
                <w:sz w:val="20"/>
              </w:rPr>
            </w:pPr>
          </w:p>
        </w:tc>
      </w:tr>
      <w:tr w:rsidR="00D77C19" w:rsidRPr="002644DE" w:rsidTr="00D77C19">
        <w:tblPrEx>
          <w:tblBorders>
            <w:top w:val="none" w:sz="0" w:space="0" w:color="auto"/>
            <w:bottom w:val="none" w:sz="0" w:space="0" w:color="auto"/>
          </w:tblBorders>
        </w:tblPrEx>
        <w:trPr>
          <w:trHeight w:val="371"/>
          <w:jc w:val="center"/>
        </w:trPr>
        <w:tc>
          <w:tcPr>
            <w:tcW w:w="143" w:type="pct"/>
            <w:shd w:val="clear" w:color="auto" w:fill="auto"/>
            <w:vAlign w:val="center"/>
          </w:tcPr>
          <w:p w:rsidR="00D77C19" w:rsidRPr="002644DE" w:rsidRDefault="00D77C19" w:rsidP="00D77C19">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75" w:type="pct"/>
            <w:shd w:val="clear" w:color="auto" w:fill="auto"/>
          </w:tcPr>
          <w:p w:rsidR="00D77C19" w:rsidRPr="002644DE" w:rsidRDefault="00D77C19" w:rsidP="00D77C19">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3" w:type="pct"/>
            <w:shd w:val="clear" w:color="auto" w:fill="auto"/>
          </w:tcPr>
          <w:p w:rsidR="00D77C19" w:rsidRPr="002644DE" w:rsidRDefault="00D77C19" w:rsidP="00D77C19">
            <w:pPr>
              <w:spacing w:after="0" w:line="240" w:lineRule="auto"/>
              <w:jc w:val="both"/>
              <w:rPr>
                <w:rFonts w:ascii="Times New Roman" w:eastAsia="Calibri" w:hAnsi="Times New Roman" w:cs="Times New Roman"/>
                <w:i/>
                <w:sz w:val="18"/>
                <w:szCs w:val="18"/>
              </w:rPr>
            </w:pPr>
          </w:p>
        </w:tc>
      </w:tr>
      <w:tr w:rsidR="00D77C19" w:rsidRPr="002644DE" w:rsidTr="00D77C19">
        <w:tblPrEx>
          <w:tblBorders>
            <w:top w:val="none" w:sz="0" w:space="0" w:color="auto"/>
            <w:bottom w:val="none" w:sz="0" w:space="0" w:color="auto"/>
          </w:tblBorders>
        </w:tblPrEx>
        <w:trPr>
          <w:trHeight w:val="371"/>
          <w:jc w:val="center"/>
        </w:trPr>
        <w:tc>
          <w:tcPr>
            <w:tcW w:w="143" w:type="pct"/>
            <w:tcBorders>
              <w:bottom w:val="single" w:sz="4" w:space="0" w:color="auto"/>
            </w:tcBorders>
            <w:shd w:val="clear" w:color="auto" w:fill="auto"/>
            <w:vAlign w:val="center"/>
          </w:tcPr>
          <w:p w:rsidR="00D77C19" w:rsidRPr="002644DE" w:rsidRDefault="00D77C19" w:rsidP="00D77C19">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75" w:type="pct"/>
            <w:tcBorders>
              <w:bottom w:val="single" w:sz="4" w:space="0" w:color="auto"/>
            </w:tcBorders>
            <w:shd w:val="clear" w:color="auto" w:fill="auto"/>
          </w:tcPr>
          <w:p w:rsidR="00D77C19" w:rsidRPr="002644DE" w:rsidRDefault="00D77C19" w:rsidP="00D77C19">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3" w:type="pct"/>
            <w:tcBorders>
              <w:bottom w:val="single" w:sz="4" w:space="0" w:color="auto"/>
            </w:tcBorders>
            <w:shd w:val="clear" w:color="auto" w:fill="auto"/>
          </w:tcPr>
          <w:p w:rsidR="00D77C19" w:rsidRPr="002644DE" w:rsidRDefault="00D77C19" w:rsidP="00D77C19">
            <w:pPr>
              <w:spacing w:after="0" w:line="240" w:lineRule="auto"/>
              <w:jc w:val="both"/>
              <w:rPr>
                <w:rFonts w:ascii="Times New Roman" w:eastAsia="Calibri" w:hAnsi="Times New Roman" w:cs="Times New Roman"/>
                <w:i/>
                <w:sz w:val="18"/>
                <w:szCs w:val="18"/>
              </w:rPr>
            </w:pPr>
          </w:p>
        </w:tc>
      </w:tr>
      <w:tr w:rsidR="00D77C19" w:rsidRPr="002644DE" w:rsidTr="00D77C19">
        <w:tblPrEx>
          <w:tblBorders>
            <w:top w:val="none" w:sz="0" w:space="0" w:color="auto"/>
            <w:bottom w:val="none" w:sz="0" w:space="0" w:color="auto"/>
          </w:tblBorders>
        </w:tblPrEx>
        <w:trPr>
          <w:trHeight w:val="1235"/>
          <w:jc w:val="center"/>
        </w:trPr>
        <w:tc>
          <w:tcPr>
            <w:tcW w:w="143" w:type="pct"/>
            <w:tcBorders>
              <w:top w:val="single" w:sz="4" w:space="0" w:color="auto"/>
              <w:bottom w:val="single" w:sz="4" w:space="0" w:color="auto"/>
            </w:tcBorders>
            <w:shd w:val="clear" w:color="auto" w:fill="auto"/>
            <w:vAlign w:val="center"/>
          </w:tcPr>
          <w:p w:rsidR="00D77C19" w:rsidRPr="002644DE" w:rsidRDefault="00D77C19" w:rsidP="00D77C19">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75" w:type="pct"/>
            <w:tcBorders>
              <w:top w:val="single" w:sz="4" w:space="0" w:color="auto"/>
              <w:bottom w:val="single" w:sz="4" w:space="0" w:color="auto"/>
            </w:tcBorders>
            <w:shd w:val="clear" w:color="auto" w:fill="auto"/>
          </w:tcPr>
          <w:p w:rsidR="00D77C19" w:rsidRPr="002644DE" w:rsidRDefault="00D77C19" w:rsidP="00D77C19">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D77C19" w:rsidRPr="002644DE" w:rsidRDefault="00D77C19" w:rsidP="00D77C19">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D77C19" w:rsidRPr="002644DE" w:rsidRDefault="00D77C19" w:rsidP="00D77C19">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D77C19" w:rsidRPr="002644DE" w:rsidRDefault="00D77C19" w:rsidP="00D77C19">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D77C19" w:rsidRPr="002644DE" w:rsidRDefault="00D77C19" w:rsidP="00D77C19">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D77C19" w:rsidRPr="002644DE" w:rsidRDefault="00D77C19" w:rsidP="00D77C19">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D77C19" w:rsidRPr="002644DE" w:rsidRDefault="00D77C19" w:rsidP="00D77C19">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D77C19" w:rsidRPr="002644DE" w:rsidRDefault="00D77C19" w:rsidP="00D77C19">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D77C19" w:rsidRPr="002644DE" w:rsidRDefault="00D77C19" w:rsidP="00D77C19">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3" w:type="pct"/>
            <w:tcBorders>
              <w:top w:val="single" w:sz="4" w:space="0" w:color="auto"/>
              <w:bottom w:val="single" w:sz="4" w:space="0" w:color="auto"/>
            </w:tcBorders>
            <w:shd w:val="clear" w:color="auto" w:fill="auto"/>
          </w:tcPr>
          <w:p w:rsidR="00D77C19" w:rsidRPr="002644DE" w:rsidRDefault="00D77C19" w:rsidP="00D77C19">
            <w:pPr>
              <w:spacing w:after="0" w:line="240" w:lineRule="auto"/>
              <w:rPr>
                <w:rFonts w:ascii="Times New Roman" w:eastAsia="Calibri" w:hAnsi="Times New Roman" w:cs="Times New Roman"/>
                <w:sz w:val="20"/>
              </w:rPr>
            </w:pPr>
          </w:p>
        </w:tc>
      </w:tr>
    </w:tbl>
    <w:p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8"/>
        <w:gridCol w:w="5673"/>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rsidTr="000800FC">
        <w:trPr>
          <w:trHeight w:val="28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rsidTr="000800FC">
        <w:trPr>
          <w:trHeight w:val="567"/>
          <w:jc w:val="center"/>
        </w:trPr>
        <w:tc>
          <w:tcPr>
            <w:tcW w:w="129" w:type="pct"/>
            <w:tcBorders>
              <w:top w:val="nil"/>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2644DE" w:rsidRPr="002644DE" w:rsidRDefault="00D77C19"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Nepredpokladá sa vplyv na trh práce.</w:t>
            </w:r>
          </w:p>
        </w:tc>
      </w:tr>
      <w:tr w:rsidR="002644DE" w:rsidRPr="002644DE" w:rsidTr="000800FC">
        <w:trPr>
          <w:trHeight w:val="270"/>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rsidTr="000800FC">
        <w:trPr>
          <w:trHeight w:val="45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24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rsidTr="000800FC">
        <w:trPr>
          <w:trHeight w:val="209"/>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20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rsidTr="000800FC">
        <w:trPr>
          <w:trHeight w:val="79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324"/>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rsidTr="000800FC">
        <w:trPr>
          <w:trHeight w:val="216"/>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219"/>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rsidTr="000800FC">
        <w:trPr>
          <w:trHeight w:val="497"/>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bl>
    <w:p w:rsidR="002644DE" w:rsidRPr="002644DE" w:rsidRDefault="002644DE" w:rsidP="002644DE">
      <w:pPr>
        <w:spacing w:after="0" w:line="240" w:lineRule="auto"/>
        <w:outlineLvl w:val="0"/>
        <w:rPr>
          <w:rFonts w:ascii="Times New Roman" w:eastAsia="Times New Roman" w:hAnsi="Times New Roman" w:cs="Times New Roman"/>
          <w:b/>
          <w:sz w:val="28"/>
          <w:szCs w:val="28"/>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p w:rsidR="002644DE" w:rsidRPr="002644DE" w:rsidRDefault="002644DE" w:rsidP="002644DE">
      <w:pPr>
        <w:spacing w:after="0" w:line="240" w:lineRule="auto"/>
        <w:jc w:val="center"/>
        <w:outlineLvl w:val="0"/>
        <w:rPr>
          <w:rFonts w:ascii="Times New Roman" w:eastAsia="Times New Roman" w:hAnsi="Times New Roman" w:cs="Times New Roman"/>
          <w:b/>
          <w:sz w:val="28"/>
          <w:szCs w:val="28"/>
          <w:lang w:eastAsia="sk-SK"/>
        </w:rPr>
      </w:pPr>
      <w:r w:rsidRPr="002644DE">
        <w:rPr>
          <w:rFonts w:ascii="Times New Roman" w:eastAsia="Times New Roman" w:hAnsi="Times New Roman" w:cs="Times New Roman"/>
          <w:b/>
          <w:sz w:val="28"/>
          <w:szCs w:val="28"/>
          <w:lang w:eastAsia="sk-SK"/>
        </w:rPr>
        <w:lastRenderedPageBreak/>
        <w:t>Metodický postup pre analýzu sociálnych vplyvov</w:t>
      </w:r>
    </w:p>
    <w:p w:rsidR="002644DE" w:rsidRPr="002644DE" w:rsidRDefault="002644DE" w:rsidP="002644DE">
      <w:pPr>
        <w:spacing w:after="0" w:line="240" w:lineRule="auto"/>
        <w:jc w:val="both"/>
        <w:rPr>
          <w:rFonts w:ascii="Times New Roman" w:eastAsia="Times New Roman" w:hAnsi="Times New Roman" w:cs="Times New Roman"/>
          <w:b/>
          <w:sz w:val="24"/>
          <w:szCs w:val="24"/>
          <w:lang w:eastAsia="sk-SK"/>
        </w:rPr>
      </w:pPr>
    </w:p>
    <w:p w:rsidR="002644DE" w:rsidRPr="002644DE" w:rsidRDefault="002644DE" w:rsidP="002644DE">
      <w:pPr>
        <w:spacing w:after="240" w:line="240" w:lineRule="auto"/>
        <w:jc w:val="both"/>
        <w:outlineLvl w:val="0"/>
        <w:rPr>
          <w:rFonts w:ascii="Times New Roman" w:eastAsia="Times New Roman" w:hAnsi="Times New Roman" w:cs="Times New Roman"/>
          <w:b/>
          <w:sz w:val="28"/>
          <w:szCs w:val="28"/>
          <w:u w:val="single"/>
          <w:lang w:eastAsia="sk-SK"/>
        </w:rPr>
      </w:pPr>
      <w:r w:rsidRPr="002644DE">
        <w:rPr>
          <w:rFonts w:ascii="Times New Roman" w:eastAsia="Times New Roman" w:hAnsi="Times New Roman" w:cs="Times New Roman"/>
          <w:b/>
          <w:sz w:val="28"/>
          <w:szCs w:val="28"/>
          <w:u w:val="single"/>
          <w:lang w:eastAsia="sk-SK"/>
        </w:rPr>
        <w:t>Všeobecne</w:t>
      </w:r>
    </w:p>
    <w:p w:rsidR="002644DE" w:rsidRPr="002644DE" w:rsidRDefault="002644DE" w:rsidP="002644DE">
      <w:pPr>
        <w:tabs>
          <w:tab w:val="left" w:pos="0"/>
          <w:tab w:val="left" w:pos="1191"/>
        </w:tabs>
        <w:spacing w:after="0" w:line="240" w:lineRule="auto"/>
        <w:jc w:val="both"/>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sz w:val="24"/>
          <w:szCs w:val="24"/>
          <w:lang w:eastAsia="sk-SK"/>
        </w:rPr>
        <w:t>Hlavným dôvodom identifikovania sociálnych vplyvov a vypracovania analýzy sociálnych vplyvov je zlepšenie rozhodovacieho procesu pomocou včasného identifikovania potenciálnych sociálnych vplyvov predkladaných materiálov ešte pred ich schválením a zavedením do praxe. Zlepšenie rozhodovacieho procesu môže prispieť k tomu, že predkladané materiály nepovedú k zhoršeniu životnej úrovne obyvateľstva, osobitne u tých skupín obyvateľstva, ktoré sú ohrozené chudobou a sociálnou exklúziou</w:t>
      </w:r>
      <w:r w:rsidRPr="002644DE">
        <w:rPr>
          <w:rFonts w:ascii="Times New Roman" w:eastAsia="Times New Roman" w:hAnsi="Times New Roman" w:cs="Times New Roman"/>
          <w:sz w:val="24"/>
          <w:szCs w:val="24"/>
          <w:vertAlign w:val="superscript"/>
          <w:lang w:eastAsia="sk-SK"/>
        </w:rPr>
        <w:footnoteReference w:id="1"/>
      </w:r>
      <w:r w:rsidRPr="002644DE">
        <w:rPr>
          <w:rFonts w:ascii="Times New Roman" w:eastAsia="Times New Roman" w:hAnsi="Times New Roman" w:cs="Times New Roman"/>
          <w:sz w:val="24"/>
          <w:szCs w:val="24"/>
          <w:lang w:eastAsia="sk-SK"/>
        </w:rPr>
        <w:t>, k zvýšeniu nezamestnanosti či sociálnych nerovností. Vypracúvanie a posudzovanie sociálnych vplyvov pomáha plniť ciele Európskej stratégie udržateľného rozvoja, Stratégie Európa 2020, Národného programu reforiem SR, ktoré súvisia s bojom proti chudobe, so zvyšovaním</w:t>
      </w:r>
      <w:r w:rsidRPr="002644DE">
        <w:rPr>
          <w:rFonts w:ascii="Times New Roman" w:eastAsia="Times New Roman" w:hAnsi="Times New Roman" w:cs="Times New Roman"/>
          <w:sz w:val="20"/>
          <w:szCs w:val="20"/>
          <w:lang w:eastAsia="sk-SK"/>
        </w:rPr>
        <w:t xml:space="preserve"> </w:t>
      </w:r>
      <w:r w:rsidRPr="002644DE">
        <w:rPr>
          <w:rFonts w:ascii="Times New Roman" w:eastAsia="Times New Roman" w:hAnsi="Times New Roman" w:cs="Times New Roman"/>
          <w:sz w:val="24"/>
          <w:szCs w:val="24"/>
          <w:lang w:eastAsia="sk-SK"/>
        </w:rPr>
        <w:t>sociálnej inklúzie</w:t>
      </w:r>
      <w:r w:rsidRPr="002644DE">
        <w:rPr>
          <w:rFonts w:ascii="Times New Roman" w:eastAsia="Times New Roman" w:hAnsi="Times New Roman" w:cs="Times New Roman"/>
          <w:sz w:val="24"/>
          <w:szCs w:val="24"/>
          <w:vertAlign w:val="superscript"/>
          <w:lang w:eastAsia="sk-SK"/>
        </w:rPr>
        <w:footnoteReference w:id="2"/>
      </w:r>
      <w:r w:rsidRPr="002644DE">
        <w:rPr>
          <w:rFonts w:ascii="Times New Roman" w:eastAsia="Times New Roman" w:hAnsi="Times New Roman" w:cs="Times New Roman"/>
          <w:sz w:val="24"/>
          <w:szCs w:val="24"/>
          <w:lang w:eastAsia="sk-SK"/>
        </w:rPr>
        <w:t xml:space="preserve"> a kohézie</w:t>
      </w:r>
      <w:r w:rsidRPr="002644DE">
        <w:rPr>
          <w:rFonts w:ascii="Times New Roman" w:eastAsia="Times New Roman" w:hAnsi="Times New Roman" w:cs="Times New Roman"/>
          <w:i/>
          <w:sz w:val="20"/>
          <w:szCs w:val="20"/>
          <w:lang w:eastAsia="sk-SK"/>
        </w:rPr>
        <w:t>,</w:t>
      </w:r>
      <w:r w:rsidRPr="002644DE">
        <w:rPr>
          <w:rFonts w:ascii="Times New Roman" w:eastAsia="Times New Roman" w:hAnsi="Times New Roman" w:cs="Times New Roman"/>
          <w:sz w:val="24"/>
          <w:szCs w:val="24"/>
          <w:lang w:eastAsia="sk-SK"/>
        </w:rPr>
        <w:t> antidiskrimináciou, posilňovaním rovnosti príležitostí žien a mužov a so zvyšovaním zamestnanosti.</w:t>
      </w:r>
    </w:p>
    <w:p w:rsidR="002644DE" w:rsidRPr="002644DE" w:rsidRDefault="002644DE" w:rsidP="002644DE">
      <w:pPr>
        <w:tabs>
          <w:tab w:val="left" w:pos="851"/>
          <w:tab w:val="left" w:pos="1191"/>
          <w:tab w:val="left" w:pos="1531"/>
        </w:tabs>
        <w:spacing w:after="12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szCs w:val="24"/>
          <w:lang w:eastAsia="sk-SK"/>
        </w:rPr>
        <w:tab/>
        <w:t>Pri vypracúvaní  analýzy sociálnych vplyvov môže predkladateľ vychádzať najmä z </w:t>
      </w:r>
      <w:r w:rsidRPr="002644DE">
        <w:rPr>
          <w:rFonts w:ascii="Times New Roman" w:eastAsia="Times New Roman" w:hAnsi="Times New Roman" w:cs="Times New Roman"/>
          <w:sz w:val="24"/>
          <w:lang w:eastAsia="sk-SK"/>
        </w:rPr>
        <w:t>nasledovných zdrojov údajov:</w:t>
      </w:r>
    </w:p>
    <w:p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Štatistika rodinných účtov</w:t>
      </w:r>
      <w:r w:rsidRPr="002644DE">
        <w:rPr>
          <w:rFonts w:ascii="Times New Roman" w:eastAsia="Times New Roman" w:hAnsi="Times New Roman" w:cs="Times New Roman"/>
          <w:sz w:val="24"/>
          <w:lang w:eastAsia="sk-SK"/>
        </w:rPr>
        <w:t xml:space="preserve"> je výberové štatistické zisťovanie, ktoré pravidelne realizuje Štatistický úrad SR. Patrí medzi sociálne štatistiky a jej predmetom sú príjmy a výdavky súkromných domácností. Štatistický úrad SR každý rok v júli vydáva publikáciu Príjmy, výdavky a spotreba súkromných domácností SR. Primárne dáta poskytuje Štatistický úrad SR na požiadanie.</w:t>
      </w:r>
    </w:p>
    <w:p w:rsidR="002644DE" w:rsidRPr="002644DE" w:rsidRDefault="002644DE" w:rsidP="002644DE">
      <w:pPr>
        <w:numPr>
          <w:ilvl w:val="0"/>
          <w:numId w:val="1"/>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Zisťovanie o príjmoch a životných podmienkach domácností</w:t>
      </w:r>
      <w:r w:rsidRPr="002644DE">
        <w:rPr>
          <w:rFonts w:ascii="Times New Roman" w:eastAsia="Times New Roman" w:hAnsi="Times New Roman" w:cs="Times New Roman"/>
          <w:sz w:val="24"/>
          <w:lang w:eastAsia="sk-SK"/>
        </w:rPr>
        <w:t xml:space="preserve"> </w:t>
      </w:r>
      <w:r w:rsidRPr="002644DE">
        <w:rPr>
          <w:rFonts w:ascii="Times New Roman" w:eastAsia="Times New Roman" w:hAnsi="Times New Roman" w:cs="Times New Roman"/>
          <w:b/>
          <w:sz w:val="24"/>
          <w:lang w:eastAsia="sk-SK"/>
        </w:rPr>
        <w:t xml:space="preserve">EU SILC </w:t>
      </w:r>
      <w:r w:rsidRPr="002644DE">
        <w:rPr>
          <w:rFonts w:ascii="Times New Roman" w:eastAsia="Times New Roman" w:hAnsi="Times New Roman" w:cs="Times New Roman"/>
          <w:sz w:val="24"/>
          <w:lang w:eastAsia="sk-SK"/>
        </w:rPr>
        <w:t>je výberové štatistické zisťovanie, ktoré od roku 2005 každoročne realizuje Štatistický úrad SR, je zamerané na získanie informácií o rozdelení príjmov, o úrovni a štruktúre chudoby a o sociálnom vylúčení. Publikáciu Zisťovanie o príjmoch a životných podmienkach domácností v SR vydáva Štatistický úrad SR každoročne na konci roka nasledujúceho po uskutočnení zisťovania. Primárne dáta poskytuje Štatistický úrad SR na požiadanie.</w:t>
      </w:r>
      <w:r w:rsidRPr="002644DE">
        <w:t xml:space="preserve"> </w:t>
      </w:r>
      <w:r w:rsidRPr="002644DE">
        <w:rPr>
          <w:rFonts w:ascii="Times New Roman" w:eastAsia="Times New Roman" w:hAnsi="Times New Roman" w:cs="Times New Roman"/>
          <w:sz w:val="24"/>
          <w:lang w:eastAsia="sk-SK"/>
        </w:rPr>
        <w:t xml:space="preserve">Raz ročne Štatistický úrad SR vydáva aj  publikáciu EU SILC – Indikátory chudoby a sociálneho vylúčenia. </w:t>
      </w:r>
    </w:p>
    <w:p w:rsidR="002644DE" w:rsidRPr="002644DE" w:rsidRDefault="002644DE" w:rsidP="002644DE">
      <w:pPr>
        <w:numPr>
          <w:ilvl w:val="0"/>
          <w:numId w:val="1"/>
        </w:numPr>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b/>
          <w:sz w:val="24"/>
          <w:szCs w:val="24"/>
          <w:lang w:eastAsia="sk-SK"/>
        </w:rPr>
        <w:t>Sčítanie obyvateľstva, domov a bytov</w:t>
      </w:r>
      <w:r w:rsidRPr="002644DE">
        <w:rPr>
          <w:rFonts w:ascii="Times New Roman" w:eastAsia="Times New Roman" w:hAnsi="Times New Roman" w:cs="Times New Roman"/>
          <w:sz w:val="24"/>
          <w:szCs w:val="24"/>
          <w:lang w:eastAsia="sk-SK"/>
        </w:rPr>
        <w:t xml:space="preserve"> je štátne štatistické zisťovanie, ktoré uskutočňuje Štatistický úrad SR každých 10 rokov a zisťujú sa ním údaje o obyvateľoch, ich demografické, sociálne a ekonomické charakteristiky, o úrovni bývania obyvateľov a o štruktúre domového a bytového fondu. Základné údaje z roku 2001 sú uverejnené na internetovej stránke Štatistického úradu SR. Podrobnejšie údaje sú prístupné buď v podobe publikácií alebo v elektronickej podobe na Štatistickom úrade SR. </w:t>
      </w:r>
    </w:p>
    <w:p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lastRenderedPageBreak/>
        <w:t xml:space="preserve">Indexy spotrebiteľských cien </w:t>
      </w:r>
      <w:r w:rsidRPr="002644DE">
        <w:rPr>
          <w:rFonts w:ascii="Times New Roman" w:eastAsia="Times New Roman" w:hAnsi="Times New Roman" w:cs="Times New Roman"/>
          <w:sz w:val="24"/>
          <w:lang w:eastAsia="sk-SK"/>
        </w:rPr>
        <w:t>v Slovenskej republike je publikácia Štatistického úradu SR, dostupná v mesačných intervaloch, ktorá obsahuje informácie o indexoch spotrebiteľských cien rôznych tovarov a služieb aj podľa sociálnych skupín, ako sú napr. dôchodcovia, zamestnanci podľa počtu detí, nízkopríjmové domácnosti. Okrem toho časové rady údajov o spotrebiteľských cenách sú dostupné aj elektronicky na internetovej stránke Štatistického úradu SR.</w:t>
      </w:r>
    </w:p>
    <w:p w:rsidR="002644DE" w:rsidRPr="002644DE" w:rsidRDefault="002644DE" w:rsidP="002644DE">
      <w:pPr>
        <w:numPr>
          <w:ilvl w:val="0"/>
          <w:numId w:val="1"/>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Zdroje údajov o vývoji zamestnanosti /nezamestnanosti,</w:t>
      </w:r>
      <w:r w:rsidRPr="002644DE">
        <w:rPr>
          <w:rFonts w:ascii="Times New Roman" w:eastAsia="Times New Roman" w:hAnsi="Times New Roman" w:cs="Times New Roman"/>
          <w:i/>
          <w:sz w:val="24"/>
          <w:lang w:eastAsia="sk-SK"/>
        </w:rPr>
        <w:t xml:space="preserve"> </w:t>
      </w:r>
      <w:r w:rsidRPr="002644DE">
        <w:rPr>
          <w:rFonts w:ascii="Times New Roman" w:eastAsia="Times New Roman" w:hAnsi="Times New Roman" w:cs="Times New Roman"/>
          <w:sz w:val="24"/>
          <w:lang w:eastAsia="sk-SK"/>
        </w:rPr>
        <w:t>ktoré zverejňuje tak</w:t>
      </w:r>
      <w:r w:rsidRPr="002644DE">
        <w:rPr>
          <w:rFonts w:ascii="Times New Roman" w:eastAsia="Times New Roman" w:hAnsi="Times New Roman" w:cs="Times New Roman"/>
          <w:i/>
          <w:sz w:val="24"/>
          <w:lang w:eastAsia="sk-SK"/>
        </w:rPr>
        <w:t xml:space="preserve"> </w:t>
      </w:r>
      <w:r w:rsidRPr="002644DE">
        <w:rPr>
          <w:rFonts w:ascii="Times New Roman" w:eastAsia="Times New Roman" w:hAnsi="Times New Roman" w:cs="Times New Roman"/>
          <w:sz w:val="24"/>
          <w:lang w:eastAsia="sk-SK"/>
        </w:rPr>
        <w:t>Štatistický úrad SR (z výberového zisťovania pracovných a zo zisťovania v podnikoch štvrťročne), ako aj Ústredie práce, sociálnych vecí a rodiny (údaje o tzv. evidovanej nezamestnanosti, publikované mesačne v zúženej podobe, štvrťročne v širšom rozsahu). Základné údaje za zamestnanosť podľa výberového zisťovania pracovných síl zverejňuje Štatistický úrad SR elektronicky, a s mesačným oneskorením aj v rôznych prierezoch (pohlavie, vek, vzdelanie, odvetvie, postavenie v zamestnaní, klasifikácia zamestnania) v publikácii. Údaje za zamestnanosť zo zisťovania v podnikoch (v elektronickej i tlačenej podobe) slúžia najmä na charakteristiku odvetvovej a územnej štruktúry zamestnanosti. Raz ročne uskutočňuje Štatistický úrad SR  zisťovanie o úplných nákladoch práce  a tiež vydáva publikáciu Zamestnanci a mzdové prostriedky v hospodárstve SR.</w:t>
      </w:r>
    </w:p>
    <w:p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Administratívne zdroje údajov Ministerstva práce, sociálnych vecí a rodiny SR</w:t>
      </w:r>
      <w:r w:rsidRPr="002644DE">
        <w:rPr>
          <w:rFonts w:ascii="Times New Roman" w:eastAsia="Times New Roman" w:hAnsi="Times New Roman" w:cs="Times New Roman"/>
          <w:sz w:val="24"/>
          <w:lang w:eastAsia="sk-SK"/>
        </w:rPr>
        <w:t>, ktoré mesačne spracováva a zverejňuje na svojej internetovej stránke Ústredie práce, sociálnych vecí a rodiny, obsahujú informácie napr. o počte poberateľov dávky a príspevkov v hmotnej núdzi, dávok štátnej sociálnej podpory, výdavky na sociálne dávky, atď.</w:t>
      </w:r>
    </w:p>
    <w:p w:rsidR="002644DE" w:rsidRPr="002644DE" w:rsidRDefault="002644DE" w:rsidP="002644DE">
      <w:pPr>
        <w:numPr>
          <w:ilvl w:val="0"/>
          <w:numId w:val="1"/>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Administratívne zdroje údajov Sociálnej poisťovne</w:t>
      </w:r>
      <w:r w:rsidRPr="002644DE">
        <w:rPr>
          <w:rFonts w:ascii="Times New Roman" w:eastAsia="Times New Roman" w:hAnsi="Times New Roman" w:cs="Times New Roman"/>
          <w:sz w:val="24"/>
          <w:lang w:eastAsia="sk-SK"/>
        </w:rPr>
        <w:t xml:space="preserve"> obsahujú informácie napr. o počte poberateľov predčasného starobného dôchodku, starobného dôchodku či invalidného dôchodku, dávky v nezamestnanosti, dávok nemocenského poistenia a iných dávok, ktoré sú súčasťou systému sociálneho poistenia, výdavky Sociálnej poisťovne, atď.</w:t>
      </w:r>
    </w:p>
    <w:p w:rsidR="002644DE" w:rsidRPr="002644DE" w:rsidRDefault="002644DE" w:rsidP="002644DE">
      <w:pPr>
        <w:numPr>
          <w:ilvl w:val="0"/>
          <w:numId w:val="1"/>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b/>
          <w:sz w:val="24"/>
          <w:lang w:eastAsia="sk-SK"/>
        </w:rPr>
        <w:t>Informácie o prístupe k zdrojom, právam, tovarom a službám u rôznych zraniteľných skupín, k problematike rovnosti príležitostí a antidiskriminácie, rovnosti žien a mužov</w:t>
      </w:r>
      <w:r w:rsidRPr="002644DE">
        <w:rPr>
          <w:rFonts w:ascii="Times New Roman" w:eastAsia="Times New Roman" w:hAnsi="Times New Roman" w:cs="Times New Roman"/>
          <w:sz w:val="24"/>
          <w:lang w:eastAsia="sk-SK"/>
        </w:rPr>
        <w:t xml:space="preserve"> možno hľadať aj vo vyššie menovaných štatistikách alebo ich možno získať z existujúcich výskumov, štúdií alebo konzultácií s relevantnými skupinami, organizáciami (vedecko-výskumnými, analytickými, verejnoprávnymi, mimovládnymi) alebo jednotlivcami. </w:t>
      </w:r>
    </w:p>
    <w:p w:rsidR="002644DE" w:rsidRPr="002644DE" w:rsidRDefault="002644DE" w:rsidP="002644DE">
      <w:pPr>
        <w:tabs>
          <w:tab w:val="left" w:pos="851"/>
          <w:tab w:val="left" w:pos="1191"/>
          <w:tab w:val="left" w:pos="1531"/>
        </w:tabs>
        <w:spacing w:after="0" w:line="240" w:lineRule="auto"/>
        <w:ind w:left="720"/>
        <w:jc w:val="both"/>
        <w:rPr>
          <w:rFonts w:ascii="Times New Roman" w:eastAsia="Times New Roman" w:hAnsi="Times New Roman" w:cs="Times New Roman"/>
          <w:sz w:val="24"/>
          <w:lang w:eastAsia="sk-SK"/>
        </w:rPr>
      </w:pPr>
    </w:p>
    <w:p w:rsidR="002644DE" w:rsidRPr="002644DE" w:rsidRDefault="002644DE" w:rsidP="002644DE">
      <w:pPr>
        <w:spacing w:before="120" w:after="240" w:line="240" w:lineRule="auto"/>
        <w:jc w:val="both"/>
        <w:outlineLvl w:val="0"/>
        <w:rPr>
          <w:rFonts w:ascii="Times New Roman" w:eastAsia="Times New Roman" w:hAnsi="Times New Roman" w:cs="Times New Roman"/>
          <w:b/>
          <w:sz w:val="28"/>
          <w:szCs w:val="28"/>
          <w:lang w:eastAsia="sk-SK"/>
        </w:rPr>
      </w:pPr>
      <w:r w:rsidRPr="002644DE">
        <w:rPr>
          <w:rFonts w:ascii="Times New Roman" w:eastAsia="Times New Roman" w:hAnsi="Times New Roman" w:cs="Times New Roman"/>
          <w:b/>
          <w:sz w:val="28"/>
          <w:szCs w:val="28"/>
          <w:lang w:eastAsia="sk-SK"/>
        </w:rPr>
        <w:t>Identifikácia sociálnych vplyvov v doložke vybraných vplyvov</w:t>
      </w:r>
    </w:p>
    <w:p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V doložke vybraných vplyvov predkladateľ identifikuje, či predkladaný materiál má niektorý zo  sociálnych vplyvov uvedených v bodoch 4.1 – 4.4 v tabuľke –analýzy sociálnych vplyvov; ak áno, označí príslušný charakter sociálnych vplyvov (pozitívny a/alebo negatívny). Ak predkladaný materiál nemá žiadny z uvedených sociálnych vplyvov alebo je vplyv marginálny (zanedbateľný), predkladateľ označí krížikom žiadny sociálny vplyv. V časti poznámky môže predkladateľ vysvetliť, prečo materiál nemá sociálny vplyv alebo má iba marginálny sociálny vplyv, zhrnúť sociálne vplyvy, uviesť prevládajúci charakter vplyvov (pozitívny/negatívny). </w:t>
      </w:r>
      <w:r w:rsidRPr="002644DE">
        <w:rPr>
          <w:rFonts w:ascii="Times New Roman" w:eastAsia="Times New Roman" w:hAnsi="Times New Roman" w:cs="Times New Roman"/>
          <w:sz w:val="24"/>
          <w:lang w:eastAsia="sk-SK"/>
        </w:rPr>
        <w:t xml:space="preserve">Ak má predkladaný materiál negatívne vplyvy na hospodárenie domácností, zamestnanosť </w:t>
      </w:r>
      <w:r w:rsidRPr="002644DE">
        <w:rPr>
          <w:rFonts w:ascii="Times New Roman" w:eastAsia="Times New Roman" w:hAnsi="Times New Roman" w:cs="Times New Roman"/>
          <w:sz w:val="24"/>
          <w:szCs w:val="24"/>
          <w:lang w:eastAsia="sk-SK"/>
        </w:rPr>
        <w:t>alebo prehlbuje existujúce nerovnosti</w:t>
      </w:r>
      <w:r w:rsidRPr="002644DE">
        <w:rPr>
          <w:rFonts w:ascii="Times New Roman" w:eastAsia="Times New Roman" w:hAnsi="Times New Roman" w:cs="Times New Roman"/>
          <w:sz w:val="24"/>
          <w:lang w:eastAsia="sk-SK"/>
        </w:rPr>
        <w:t xml:space="preserve"> či </w:t>
      </w:r>
      <w:r w:rsidRPr="002644DE">
        <w:rPr>
          <w:rFonts w:ascii="Times New Roman" w:eastAsia="Times New Roman" w:hAnsi="Times New Roman" w:cs="Times New Roman"/>
          <w:sz w:val="24"/>
          <w:szCs w:val="24"/>
          <w:lang w:eastAsia="sk-SK"/>
        </w:rPr>
        <w:t xml:space="preserve">zhoršuje prístup k zdrojom, právam, tovarom a službám istých skupín obyvateľstva </w:t>
      </w:r>
      <w:r w:rsidRPr="002644DE">
        <w:rPr>
          <w:rFonts w:ascii="Times New Roman" w:eastAsia="Times New Roman" w:hAnsi="Times New Roman" w:cs="Times New Roman"/>
          <w:sz w:val="24"/>
          <w:lang w:eastAsia="sk-SK"/>
        </w:rPr>
        <w:t xml:space="preserve">a napriek tomu sa predkladá na rokovanie vlády, </w:t>
      </w:r>
      <w:r w:rsidRPr="002644DE">
        <w:rPr>
          <w:rFonts w:ascii="Times New Roman" w:eastAsia="Times New Roman" w:hAnsi="Times New Roman" w:cs="Times New Roman"/>
          <w:sz w:val="24"/>
          <w:szCs w:val="24"/>
          <w:lang w:eastAsia="sk-SK"/>
        </w:rPr>
        <w:t>predkladateľ môže navrhnúť opatrenia, ktoré by mohli tento potenciálny stav kompenzovať.</w:t>
      </w:r>
    </w:p>
    <w:p w:rsidR="002644DE" w:rsidRPr="002644DE" w:rsidRDefault="002644DE" w:rsidP="002644DE">
      <w:pPr>
        <w:spacing w:after="0" w:line="240" w:lineRule="auto"/>
        <w:outlineLvl w:val="0"/>
        <w:rPr>
          <w:rFonts w:ascii="Times New Roman" w:eastAsia="Times New Roman" w:hAnsi="Times New Roman" w:cs="Times New Roman"/>
          <w:b/>
          <w:sz w:val="28"/>
          <w:szCs w:val="28"/>
          <w:u w:val="single"/>
          <w:lang w:eastAsia="sk-SK"/>
        </w:rPr>
      </w:pPr>
      <w:r w:rsidRPr="002644DE">
        <w:rPr>
          <w:rFonts w:ascii="Times New Roman" w:eastAsia="Times New Roman" w:hAnsi="Times New Roman" w:cs="Times New Roman"/>
          <w:b/>
          <w:sz w:val="28"/>
          <w:szCs w:val="28"/>
          <w:u w:val="single"/>
          <w:lang w:eastAsia="sk-SK"/>
        </w:rPr>
        <w:lastRenderedPageBreak/>
        <w:t>Analýza sociálnych vplyvov</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Ak je v doložke vybraných vplyvov označený pozitívny a/alebo negatívny sociálny vplyv materiálu, predkladateľ vypracuje podrobnejšie posúdenie v jednotlivých oblastiach sociálnych vplyvov podľa bodov 4.1 – 4.4 v tabuľke analýzy sociálnych vplyvov. Ak v niektorej z hodnotených  oblastí sociálnych vplyvov (body 4.1-4.4) nebol identifikovaný vplyv, predkladateľ v príslušnom riadku analýzy uvedie poznámku „Bez vplyvu.“. Nasledovný postup uvádza kroky pre vypracovanie analýzy sociálnych vplyvov. </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numPr>
          <w:ilvl w:val="1"/>
          <w:numId w:val="5"/>
        </w:numPr>
        <w:spacing w:after="0" w:line="240" w:lineRule="auto"/>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 xml:space="preserve">Zhodnotenie vplyvov na hospodárenie domácností </w:t>
      </w:r>
    </w:p>
    <w:p w:rsidR="002644DE" w:rsidRPr="002644DE" w:rsidRDefault="002644DE" w:rsidP="002644DE">
      <w:pPr>
        <w:spacing w:before="240"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 xml:space="preserve">Pri identifikovaní vplyvov na hospodárenie domácností je potrebné brať do úvahy najmä: </w:t>
      </w:r>
    </w:p>
    <w:p w:rsidR="002644DE" w:rsidRPr="002644DE" w:rsidRDefault="002644DE" w:rsidP="002644DE">
      <w:pPr>
        <w:numPr>
          <w:ilvl w:val="0"/>
          <w:numId w:val="4"/>
        </w:numPr>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vyššie alebo nižšie pracovné príjmy (zmena sadzby dane z príjmov, zvýšenie platov alebo miezd, zmena vo vyhodnotení odpočítateľných položiek zo základu dane a pod.),</w:t>
      </w:r>
    </w:p>
    <w:p w:rsidR="002644DE" w:rsidRPr="002644DE" w:rsidRDefault="002644DE" w:rsidP="002644DE">
      <w:pPr>
        <w:numPr>
          <w:ilvl w:val="0"/>
          <w:numId w:val="4"/>
        </w:numPr>
        <w:tabs>
          <w:tab w:val="num" w:pos="1080"/>
        </w:tabs>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vyššie alebo nižšie sociálne príjmy (zmeny v definovaní cieľových skupín, zmeny vo výškach sociálnych dávok),</w:t>
      </w:r>
    </w:p>
    <w:p w:rsidR="002644DE" w:rsidRPr="002644DE" w:rsidRDefault="002644DE" w:rsidP="002644DE">
      <w:pPr>
        <w:numPr>
          <w:ilvl w:val="0"/>
          <w:numId w:val="4"/>
        </w:numPr>
        <w:spacing w:after="0" w:line="240" w:lineRule="auto"/>
        <w:ind w:left="714"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vyššie alebo nižšie výdavky na zabezpečenie hospodárenia domácností (zmeny v sadzbách spotrebných daní, DPH, zavedenie spoplatnenia štúdia, deregulácia, inflácia, a pod.), požiadavka na výdavky domácností kapitálového typu (napr. nákup bezpečnostných doplnkov do automobilových vozidiel ako sú sedačky pre maloleté deti, stavebné úpravy alebo nákup meračov spotreby energií atď.),</w:t>
      </w:r>
    </w:p>
    <w:p w:rsidR="002644DE" w:rsidRPr="002644DE" w:rsidRDefault="002644DE" w:rsidP="002644DE">
      <w:pPr>
        <w:numPr>
          <w:ilvl w:val="0"/>
          <w:numId w:val="4"/>
        </w:num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zlepšenie alebo zhoršenie prístupu k nákupným možnostiam tovarov a služieb </w:t>
      </w:r>
      <w:r w:rsidRPr="002644DE">
        <w:rPr>
          <w:rFonts w:ascii="Times New Roman" w:eastAsia="Times New Roman" w:hAnsi="Times New Roman" w:cs="Times New Roman"/>
          <w:sz w:val="24"/>
          <w:szCs w:val="24"/>
          <w:lang w:eastAsia="sk-SK"/>
        </w:rPr>
        <w:br/>
        <w:t>pre domácnosti.</w:t>
      </w:r>
    </w:p>
    <w:p w:rsidR="002644DE" w:rsidRPr="002644DE" w:rsidRDefault="002644DE" w:rsidP="002644DE">
      <w:pPr>
        <w:tabs>
          <w:tab w:val="left" w:pos="0"/>
        </w:tabs>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Tieto zmeny môžu byť celkovo pozitívne a viesť k zvýšeniu príjmov alebo zníženiu výdavkov alebo môžu byť pre hospodárenie domácností negatívne, kedy vedú k zvýšeniu výdavkov alebo zníženiu príjmov. Môžu nastať aj rôzne kombinácie a predkladaný materiál môže byť neutrálny z hľadiska vplyvov na príjmy a výdavky obyvateľstva.</w:t>
      </w:r>
    </w:p>
    <w:p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Je možné, že predkladaný materiál ovplyvní určité špecifické skupiny obyvateľov a domácnosti viac než ostatné, či už pozitívne alebo negatívne</w:t>
      </w:r>
      <w:r w:rsidRPr="002644DE">
        <w:rPr>
          <w:rFonts w:ascii="Times New Roman" w:eastAsia="Times New Roman" w:hAnsi="Times New Roman" w:cs="Times New Roman"/>
          <w:i/>
          <w:sz w:val="24"/>
          <w:szCs w:val="24"/>
          <w:lang w:eastAsia="sk-SK"/>
        </w:rPr>
        <w:t xml:space="preserve">. </w:t>
      </w:r>
      <w:r w:rsidRPr="002644DE">
        <w:rPr>
          <w:rFonts w:ascii="Times New Roman" w:eastAsia="Times New Roman" w:hAnsi="Times New Roman" w:cs="Times New Roman"/>
          <w:sz w:val="24"/>
          <w:szCs w:val="24"/>
          <w:lang w:eastAsia="sk-SK"/>
        </w:rPr>
        <w:t>Pre dosiahnutie komplexného obrazu o potenciálnych efektoch predkladaného materiálu na hospodárenie domácností treba zvažovať potenciálne vplyvy na konkrétne skupiny obyvateľstva, ktoré ním môžu byť dotknuté. Zároveň sa treba zamerať na posúdenie vplyvu na domácnosti, ktoré čelia zvýšenému riziku chudoby a sociálneho vylúčenia:</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nízkym príjmom (napr. žijúce iba zo sociálnych príjmov, alebo z príjmov pod hranicou rizika chudoby, alebo s príjmom pod životným minimom, alebo patriace medzi 25 % domácností s najnižším príjmom),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nezamestnanými členmi,</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3 a viac deťmi,</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jednorodičovské domácnosti s deťmi (neúplné rodiny, ktoré tvoria najmä osamelé matky s deťmi),</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starších ľudí (nad 65 rokov alebo dôchodcov),</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členmi so zdravotným postihnutím,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domácnosti žijúce v marginalizovaných rómskych komunitách,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príslušníkov tretích krajín, azylanti, žiadatelia o azyl,</w:t>
      </w:r>
    </w:p>
    <w:p w:rsidR="002644DE" w:rsidRPr="002644DE" w:rsidRDefault="002644DE" w:rsidP="002644DE">
      <w:pPr>
        <w:numPr>
          <w:ilvl w:val="0"/>
          <w:numId w:val="3"/>
        </w:numPr>
        <w:spacing w:after="12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iné zraniteľné skupiny, ako sú ľudia opúšťajúci detské domovy alebo iné inštitucionálne zariadenia.</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lastRenderedPageBreak/>
        <w:tab/>
        <w:t>Možno tiež uvažovať nad tým, že predpokladaná zmena môže nastať v rôznom časovom období (napr. ihneď, do 3 rokov, po 3 rokoch) a že daná zmena sa môže uskutočniť s rôznou pravdepodobnosťou (s nízkou až veľkou pravdepodobnosťou).</w:t>
      </w:r>
    </w:p>
    <w:p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V prípade identifikovania vplyvov na hospodárenie domácností predkladateľ kvantifikuje vplyv na príjmy či výdavky domácností u jednotlivých ovplyvnených skupín obyvateľstva.</w:t>
      </w:r>
    </w:p>
    <w:p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 minimálnom variante kvantifikácie vplyvu, ktorý je možné použiť pri menej významných vplyvoch na hospodárenie domácností, predkladateľ uvedie:</w:t>
      </w:r>
    </w:p>
    <w:p w:rsidR="002644DE" w:rsidRPr="002644DE" w:rsidRDefault="002644DE" w:rsidP="002644DE">
      <w:pPr>
        <w:numPr>
          <w:ilvl w:val="0"/>
          <w:numId w:val="2"/>
        </w:num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zmenu (rast alebo pokles) príjmov / výdavkov za každú ovplyvnenú skupinu v eurách </w:t>
      </w:r>
      <w:r w:rsidRPr="002644DE">
        <w:rPr>
          <w:rFonts w:ascii="Times New Roman" w:eastAsia="Times New Roman" w:hAnsi="Times New Roman" w:cs="Times New Roman"/>
          <w:sz w:val="24"/>
          <w:szCs w:val="24"/>
          <w:lang w:eastAsia="sk-SK"/>
        </w:rPr>
        <w:br/>
        <w:t>a/alebo v % v predpokladanom časovom období,</w:t>
      </w:r>
    </w:p>
    <w:p w:rsidR="002644DE" w:rsidRPr="002644DE" w:rsidRDefault="002644DE" w:rsidP="002644DE">
      <w:pPr>
        <w:numPr>
          <w:ilvl w:val="0"/>
          <w:numId w:val="2"/>
        </w:num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odhad veľkosti jednotlivých ovplyvnených skupín (absolútny počet obyvateľov, prípadne podiel na celkovom počte obyvateľov).</w:t>
      </w:r>
    </w:p>
    <w:p w:rsidR="002644DE" w:rsidRPr="002644DE" w:rsidRDefault="002644DE" w:rsidP="002644DE">
      <w:pPr>
        <w:spacing w:after="12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Pri významných vplyvoch na hospodárenie domácností predkladateľ:</w:t>
      </w:r>
    </w:p>
    <w:p w:rsidR="002644DE" w:rsidRPr="002644DE" w:rsidRDefault="002644DE" w:rsidP="002644DE">
      <w:pPr>
        <w:numPr>
          <w:ilvl w:val="0"/>
          <w:numId w:val="8"/>
        </w:numPr>
        <w:tabs>
          <w:tab w:val="left" w:pos="851"/>
          <w:tab w:val="left" w:pos="1191"/>
          <w:tab w:val="left" w:pos="1531"/>
        </w:tabs>
        <w:spacing w:after="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kvantifikuje priemernú jednotkovú zmenu predpokladanú implementáciou predkladaného materiálu na jednotlivca/domácnosť (napríklad rast pracovného príjmu znížením dane z príjmu, prípadne rast výdavkov na určitý druh tovaru v prípade zvýšenia jeho ceny),</w:t>
      </w:r>
    </w:p>
    <w:p w:rsidR="002644DE" w:rsidRPr="002644DE" w:rsidRDefault="002644DE" w:rsidP="002644DE">
      <w:pPr>
        <w:numPr>
          <w:ilvl w:val="0"/>
          <w:numId w:val="8"/>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na základe súčasného stavu výšky príjmov alebo výdavkov jednotlivých ovplyvnených skupín (získaných z uvedených štatistických zisťovaní), vypočíta predpokladanú priemernú zmenu (rast/pokles), ktorú môže spôsobiť schválenie predkladaného materiálu, za každú ovplyvnenú skupinu obyvateľstva /domácností zvlášť. Pritom zohľadní zloženie domácností, lebo napr. predkladaný materiál, ktorým sa navrhuje rast či pokles DPH na potraviny, bude vplývať inak na jednočlennú domácnosť a inak na domácnosť s väčším počtom detí, resp. jej členov,</w:t>
      </w:r>
    </w:p>
    <w:p w:rsidR="002644DE" w:rsidRPr="002644DE" w:rsidRDefault="002644DE" w:rsidP="002644DE">
      <w:pPr>
        <w:numPr>
          <w:ilvl w:val="0"/>
          <w:numId w:val="8"/>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pokiaľ ide o zvýšenie výdavkov, vypočíta podiel výdavkov na príjme jednotlivca/domácnosti,</w:t>
      </w:r>
    </w:p>
    <w:p w:rsidR="002644DE" w:rsidRPr="002644DE" w:rsidRDefault="002644DE" w:rsidP="002644DE">
      <w:pPr>
        <w:numPr>
          <w:ilvl w:val="0"/>
          <w:numId w:val="8"/>
        </w:numPr>
        <w:tabs>
          <w:tab w:val="left" w:pos="851"/>
          <w:tab w:val="left" w:pos="1191"/>
          <w:tab w:val="left" w:pos="1531"/>
        </w:tabs>
        <w:spacing w:after="0" w:line="240" w:lineRule="auto"/>
        <w:ind w:left="714" w:hanging="357"/>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pokiaľ ide o významné zvýšenie alebo zníženie príjmov domácností, ktoré sa dotkne aj ľudí v riziku chudoby, kvantifikuje vplyv na rozsah chudoby resp. na mieru rizika chudoby,</w:t>
      </w:r>
    </w:p>
    <w:p w:rsidR="002644DE" w:rsidRPr="002644DE" w:rsidRDefault="002644DE" w:rsidP="002644DE">
      <w:pPr>
        <w:numPr>
          <w:ilvl w:val="0"/>
          <w:numId w:val="8"/>
        </w:numPr>
        <w:tabs>
          <w:tab w:val="left" w:pos="851"/>
          <w:tab w:val="left" w:pos="1191"/>
          <w:tab w:val="left" w:pos="1531"/>
        </w:tabs>
        <w:spacing w:after="120" w:line="240" w:lineRule="auto"/>
        <w:jc w:val="both"/>
        <w:rPr>
          <w:rFonts w:ascii="Times New Roman" w:eastAsia="Times New Roman" w:hAnsi="Times New Roman" w:cs="Times New Roman"/>
          <w:sz w:val="24"/>
          <w:lang w:eastAsia="sk-SK"/>
        </w:rPr>
      </w:pPr>
      <w:r w:rsidRPr="002644DE">
        <w:rPr>
          <w:rFonts w:ascii="Times New Roman" w:eastAsia="Times New Roman" w:hAnsi="Times New Roman" w:cs="Times New Roman"/>
          <w:sz w:val="24"/>
          <w:lang w:eastAsia="sk-SK"/>
        </w:rPr>
        <w:t>kvantifikuje celkový počet obyvateľstva/domácností, rodín ovplyvnených predkladaným materiálom podľa jednotlivých skupín a charakteru vplyvu.</w:t>
      </w:r>
    </w:p>
    <w:p w:rsidR="002644DE" w:rsidRPr="002644DE" w:rsidRDefault="002644DE" w:rsidP="002644DE">
      <w:pPr>
        <w:spacing w:after="0" w:line="240" w:lineRule="auto"/>
        <w:ind w:firstLine="357"/>
        <w:jc w:val="both"/>
        <w:rPr>
          <w:rFonts w:ascii="Times New Roman" w:eastAsia="Times New Roman" w:hAnsi="Times New Roman" w:cs="Times New Roman"/>
          <w:b/>
          <w:sz w:val="24"/>
          <w:szCs w:val="24"/>
          <w:lang w:eastAsia="sk-SK"/>
        </w:rPr>
      </w:pPr>
    </w:p>
    <w:p w:rsidR="002644DE" w:rsidRPr="002644DE" w:rsidRDefault="002644DE" w:rsidP="002644DE">
      <w:pPr>
        <w:numPr>
          <w:ilvl w:val="1"/>
          <w:numId w:val="5"/>
        </w:numPr>
        <w:spacing w:after="0" w:line="240" w:lineRule="auto"/>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Zhodnotenie vplyvov na prístup k zdrojom, právam, tovarom a službám u jednotlivých ovplyvnených skupín obyvateľstva a vplyvov na sociálnu inklúziu:</w:t>
      </w:r>
    </w:p>
    <w:p w:rsidR="002644DE" w:rsidRPr="002644DE" w:rsidRDefault="002644DE" w:rsidP="002644DE">
      <w:pPr>
        <w:spacing w:before="240" w:after="120" w:line="240" w:lineRule="auto"/>
        <w:ind w:left="360"/>
        <w:jc w:val="both"/>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sz w:val="24"/>
          <w:szCs w:val="24"/>
          <w:lang w:eastAsia="sk-SK"/>
        </w:rPr>
        <w:t>Pod prístupom k zdrojom, právam, tovarom a službám sa rozumie najmä prístup k:</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kvalitnej práci (dôstojným pracovným podmienkam, zamestnaneckým benefitom a výhodám), ochrane zdravia a bezpečnosti pri práci pre zamestnancov a existujúcim zamestnaneckým právam,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pomoci pri úhrade výdavkov súvisiacich so zdravotným postihnutím,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zdravotnej starostlivosti vrátane cenovo dostupných pomôcok pre občanov so zdravotným postihnutím,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lastRenderedPageBreak/>
        <w:t xml:space="preserve">k formálnemu i neformálnemu vzdelávaniu a celoživotnému vzdelávaniu,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bývaniu a súvisiacim základným komunálnym službám,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doprave,</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ďalším službám najmä službám všeobecného záujmu a tovarom,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spravodlivosti, právnej ochrane, právnym službám,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informáciám,</w:t>
      </w:r>
    </w:p>
    <w:p w:rsidR="002644DE" w:rsidRPr="002644DE" w:rsidRDefault="002644DE" w:rsidP="002644DE">
      <w:pPr>
        <w:numPr>
          <w:ilvl w:val="0"/>
          <w:numId w:val="3"/>
        </w:numPr>
        <w:spacing w:after="12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k iným právam (napr. politickým).</w:t>
      </w:r>
    </w:p>
    <w:p w:rsidR="002644DE" w:rsidRPr="002644DE" w:rsidRDefault="002644DE" w:rsidP="002644DE">
      <w:pPr>
        <w:spacing w:after="12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analyzuje vplyv v tejto oblasti s ohľadom na dostupnosť finančnú, geografickú, kvalitu, organizovanie a pod.</w:t>
      </w:r>
    </w:p>
    <w:p w:rsidR="002644DE" w:rsidRPr="002644DE" w:rsidRDefault="002644DE" w:rsidP="002644DE">
      <w:pPr>
        <w:spacing w:after="12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identifikuje skupiny obyvateľstva, ktorým sa predkladaným materiálom môže zlepšiť/zhoršiť prístup k zdrojom, právam, tovarom a službám a presnejšie špecifikuje konkrétnu, vyššie uvedenú oblasť/dimenziu dostupnosti. Ak sú k dispozícii potrebné údaje, predkladateľ vyčísli zastúpenie potenciálne ovplyvnenej skupiny, t.j. koľkých sa pravdepodobne návrh obsiahnutý v prekladanom materiáli dotkne.</w:t>
      </w:r>
    </w:p>
    <w:p w:rsidR="002644DE" w:rsidRPr="002644DE" w:rsidRDefault="002644DE" w:rsidP="002644DE">
      <w:pPr>
        <w:spacing w:after="12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identifikuje, či návrh má vplyv na niektorú zo zraniteľných skupín obyvateľstva alebo skupín v riziku chudoby a sociálneho vylúčenia, ktorým sa predkladaným materiálom môže zlepšiť/zhoršiť prístup k zdrojom, právam, tovarom a službám a presnejšie špecifikuje vplyv, jeho charakter (pozitívny/negatívny) s uvedením konkrétnej oblasti/dimenzie dostupnosti. Predkladateľ zároveň určí, či je tento vplyv väčší ako vplyv na iné skupiny či subjekty.</w:t>
      </w:r>
    </w:p>
    <w:p w:rsidR="002644DE" w:rsidRPr="002644DE" w:rsidRDefault="002644DE" w:rsidP="002644DE">
      <w:pPr>
        <w:spacing w:after="6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Zraniteľnými skupinami a skupinami v riziku chudoby a sociálneho vylúčenia, na ktoré treba zvlášť zamerať pozornosť, sú:</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nezamestnaní, najmä dlhodobo nezamestnaní, mladí nezamestnaní a nezamestnaní nad 50 rokov,</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deti (0 – 17),</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mladí ľudia (18 – 25 rokov),</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starší ľudia, napr. ľudia vo veku nad 65 rokov alebo dôchodcovia,</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ľudia so zdravotným postihnutím,</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marginalizované rómske komunity </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domácnosti s 3 a viac deťmi,</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jednorodičovské domácnosti s deťmi (neúplné rodiny, ktoré tvoria najmä osamelé matky s deťmi),</w:t>
      </w:r>
    </w:p>
    <w:p w:rsidR="002644DE" w:rsidRPr="002644DE" w:rsidRDefault="002644DE" w:rsidP="002644DE">
      <w:pPr>
        <w:numPr>
          <w:ilvl w:val="0"/>
          <w:numId w:val="3"/>
        </w:numPr>
        <w:spacing w:after="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príslušníci tretích krajín, azylanti, žiadatelia o azyl,</w:t>
      </w:r>
    </w:p>
    <w:p w:rsidR="002644DE" w:rsidRPr="002644DE" w:rsidRDefault="002644DE" w:rsidP="002644DE">
      <w:pPr>
        <w:numPr>
          <w:ilvl w:val="0"/>
          <w:numId w:val="3"/>
        </w:numPr>
        <w:spacing w:after="6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iné zraniteľné skupiny, ako sú napr. bezdomovci, ľudia opúšťajúci detské domovy alebo iné inštitucionálne zariadenia.</w:t>
      </w:r>
    </w:p>
    <w:p w:rsidR="002644DE" w:rsidRPr="002644DE" w:rsidRDefault="002644DE" w:rsidP="002644DE">
      <w:pPr>
        <w:spacing w:after="12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skúma vplyv na špecifické skupiny obyvateľstva z pohľadu chudoby a sociálneho vylúčenia. Problémy skupín, ktoré čelia zvýšenému riziku chudoby alebo sociálnemu vylúčeniu sa prejavujú nezamestnanosťou, limitovaným prístupom k vyššiemu vzdelávaniu, zhoršeným prístupom k zdravotníckym službám, bezdomovectvom a ich dôsledkom je ďalšie vylúčenie zo spoločnosti. Zraniteľné skupiny ako napr. deti sú vo vyššom riziku stať sa páchateľom alebo obeťou trestných činov, násilia a zneužívania drog. Vylúčenie nemusí byť produktom iba materiálnej deprivácie, ale môže prameniť aj v sociálnom vylúčení, t.j. keď sa jednotlivci nemôžu zúčastňovať na sociálnom, ekonomickom, politickom a kultúrnom živote spoločnosti</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lastRenderedPageBreak/>
        <w:tab/>
        <w:t>Pri analýze je vhodné vziať do úvahy špecifické problémy špecifických skupín, ktoré vytvára súčasná s predkladaným materiálom súvisiaca legislatíva a možné potreby, skúsenosti alebo priority skupín, u ktorých sa predpokladá vplyv vo vzťahu k predkladanému materiálu. Ak sú k dispozícii potrebné údaje, predkladateľ vyčísli zastúpenie potenciálne ovplyvnenej skupiny, t.j. koľkých sa pravdepodobne návrh obsiahnutý v prekladanom materiáli dotkne.</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numPr>
          <w:ilvl w:val="1"/>
          <w:numId w:val="5"/>
        </w:numPr>
        <w:spacing w:after="0" w:line="240" w:lineRule="auto"/>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Zhodnotenie vplyvov na rovnosť príležitostí a rovnosť  žien a mužov</w:t>
      </w:r>
    </w:p>
    <w:p w:rsidR="002644DE" w:rsidRPr="002644DE" w:rsidRDefault="002644DE" w:rsidP="002644DE">
      <w:pPr>
        <w:spacing w:before="240" w:after="6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b/>
        <w:t xml:space="preserve">Posúdenie možného vplyvu na rovnosť príležitostí a rovnosť žien a mužov znamená posúdiť či predkladaný návrh rešpektuje povinnosť rovnakého zaobchádzania na základe pohlavia, rasy, etnického pôvodu, náboženského vyznania, viery, zdravotného postihnutia, veku, sexuálnej orientácie či iného statusu. Predkladateľ preto musí pri posudzovaní dodržiavania povinnosti rovnakého zaobchádzania tieto faktory vziať do úvahy pri posudzovaní výsledného vplyvu návrhu. Tento vplyv môže byť: </w:t>
      </w:r>
    </w:p>
    <w:p w:rsidR="002644DE" w:rsidRPr="002644DE" w:rsidRDefault="002644DE" w:rsidP="002644DE">
      <w:pPr>
        <w:numPr>
          <w:ilvl w:val="0"/>
          <w:numId w:val="3"/>
        </w:numPr>
        <w:spacing w:after="0" w:line="240" w:lineRule="auto"/>
        <w:ind w:left="896" w:hanging="357"/>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pozitívny, pomáha nerovnosť znížiť (resp. podporuje rovnosť),</w:t>
      </w:r>
    </w:p>
    <w:p w:rsidR="002644DE" w:rsidRPr="002644DE" w:rsidRDefault="002644DE" w:rsidP="002644DE">
      <w:pPr>
        <w:numPr>
          <w:ilvl w:val="0"/>
          <w:numId w:val="3"/>
        </w:numPr>
        <w:spacing w:after="0" w:line="240" w:lineRule="auto"/>
        <w:ind w:left="896" w:hanging="357"/>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žiadny, zachováva nezmenený stav (nemá vplyv),</w:t>
      </w:r>
    </w:p>
    <w:p w:rsidR="002644DE" w:rsidRPr="002644DE" w:rsidRDefault="002644DE" w:rsidP="002644DE">
      <w:pPr>
        <w:numPr>
          <w:ilvl w:val="0"/>
          <w:numId w:val="3"/>
        </w:numPr>
        <w:spacing w:after="120" w:line="240" w:lineRule="auto"/>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negatívny, prehlbuje nerovnosť (resp. bude viesť k zväčšovaniu nerovností).</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V rámci identifikovania </w:t>
      </w:r>
      <w:r w:rsidRPr="002644DE">
        <w:rPr>
          <w:rFonts w:ascii="Times New Roman" w:eastAsia="Times New Roman" w:hAnsi="Times New Roman" w:cs="Times New Roman"/>
          <w:b/>
          <w:sz w:val="24"/>
          <w:szCs w:val="24"/>
          <w:lang w:eastAsia="sk-SK"/>
        </w:rPr>
        <w:t>vplyvu na rovnosť príležitostí</w:t>
      </w:r>
      <w:r w:rsidRPr="002644DE">
        <w:rPr>
          <w:rFonts w:ascii="Times New Roman" w:eastAsia="Times New Roman" w:hAnsi="Times New Roman" w:cs="Times New Roman"/>
          <w:sz w:val="24"/>
          <w:szCs w:val="24"/>
          <w:lang w:eastAsia="sk-SK"/>
        </w:rPr>
        <w:t xml:space="preserve"> sa zvažuje, či návrh umožňuje priamo nerovnaké zaobchádzanie so skupinami alebo jednotlivcami na základe pohlavia, rasy, etnicity, náboženstva alebo viery, zdravotného postihnutia veku a sexuálnej orientácie či iného statusu alebo môže viesť k nepriamej diskriminácii. Ak áno, predkladateľ uvedie, skupiny, ktoré môžu byť takto ovplyvnené a stručne popíše v čom môže diskriminácia spočívať.</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Analýza vplyvu na rovnosť príležitostí je potrebná, aby sa predkladateľ vyhol aj možným nezamýšľaným negatívnym dosahom (znevýhodneniam) na ktorúkoľvek zo skupín chránenú v rámci legislatívy vzťahujúcej sa k rovnosti príležitostí a neodôvodnenej diskriminácii. Analýza má potvrdiť, že je zabezpečená formálna rovnosť (</w:t>
      </w:r>
      <w:r w:rsidRPr="002644DE">
        <w:rPr>
          <w:rFonts w:ascii="Times New Roman" w:eastAsia="Times New Roman" w:hAnsi="Times New Roman" w:cs="Times New Roman"/>
          <w:i/>
          <w:sz w:val="24"/>
          <w:szCs w:val="24"/>
          <w:lang w:eastAsia="sk-SK"/>
        </w:rPr>
        <w:t>de jure</w:t>
      </w:r>
      <w:r w:rsidRPr="002644DE">
        <w:rPr>
          <w:rFonts w:ascii="Times New Roman" w:eastAsia="Times New Roman" w:hAnsi="Times New Roman" w:cs="Times New Roman"/>
          <w:sz w:val="24"/>
          <w:szCs w:val="24"/>
          <w:lang w:eastAsia="sk-SK"/>
        </w:rPr>
        <w:t>) ako aj materiálna rovnosť (</w:t>
      </w:r>
      <w:r w:rsidRPr="002644DE">
        <w:rPr>
          <w:rFonts w:ascii="Times New Roman" w:eastAsia="Times New Roman" w:hAnsi="Times New Roman" w:cs="Times New Roman"/>
          <w:i/>
          <w:sz w:val="24"/>
          <w:szCs w:val="24"/>
          <w:lang w:eastAsia="sk-SK"/>
        </w:rPr>
        <w:t>de facto</w:t>
      </w:r>
      <w:r w:rsidRPr="002644DE">
        <w:rPr>
          <w:rFonts w:ascii="Times New Roman" w:eastAsia="Times New Roman" w:hAnsi="Times New Roman" w:cs="Times New Roman"/>
          <w:sz w:val="24"/>
          <w:szCs w:val="24"/>
          <w:lang w:eastAsia="sk-SK"/>
        </w:rPr>
        <w:t>), čo vyžaduje zaobchádzanie s ohľadom na špecifické situácie, potreby a problémy špecifických skupín, a vedie k vyrovnávaniu štartovacích pozícií. Pokiaľ sú identifikované negatívne vplyvy, je potrebné navrhnúť opatrenia, ktoré by zmiernili negatívny vplyv alebo prijať alternatívu, ktorá nemá negatívny vplyv. Pozitívna diskriminácia, resp. pozitívne opatrenia vo vzťahu k vyššie spomenutým skupinám, je chápaná ako opatrenia potrebné pre jedincov vyžadujúcich zvýšenú ochranu alebo podporu, ktoré nespôsobujú žiadnu ujmu v právnom postavení jednotlivcov, a ktoré by mali viesť k zníženiu neodôvodnenej diskriminácie a naplneniu rovnosti.</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spacing w:after="6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Medzi oblasti hodnotenia vplyvu na rovnosť príležitostí:</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zamestnanosť,</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prístup k zamestnaniu, samozamestnaniu a vykonávaniu povolania,</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prístup k odbornému vzdelávaniu, školeniam,</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pracovné podmienky, prepúšťanie a odmeňovanie,</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členstvo v odborových organizáciách zamestnancov a organizáciách zamestnávateľov,</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sociálna ochrana,</w:t>
      </w:r>
    </w:p>
    <w:p w:rsidR="002644DE" w:rsidRPr="002644DE" w:rsidRDefault="002644DE" w:rsidP="002644DE">
      <w:pPr>
        <w:numPr>
          <w:ilvl w:val="0"/>
          <w:numId w:val="3"/>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vzdelávanie,</w:t>
      </w:r>
    </w:p>
    <w:p w:rsidR="002644DE" w:rsidRPr="002644DE" w:rsidRDefault="002644DE" w:rsidP="002644DE">
      <w:pPr>
        <w:numPr>
          <w:ilvl w:val="0"/>
          <w:numId w:val="3"/>
        </w:numPr>
        <w:spacing w:after="120" w:line="240" w:lineRule="auto"/>
        <w:ind w:left="896" w:hanging="35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prístup k tovarom a službám.</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lastRenderedPageBreak/>
        <w:t xml:space="preserve">Pri skúmaní </w:t>
      </w:r>
      <w:r w:rsidRPr="002644DE">
        <w:rPr>
          <w:rFonts w:ascii="Times New Roman" w:eastAsia="Times New Roman" w:hAnsi="Times New Roman" w:cs="Times New Roman"/>
          <w:b/>
          <w:sz w:val="24"/>
          <w:szCs w:val="24"/>
          <w:lang w:eastAsia="sk-SK"/>
        </w:rPr>
        <w:t>vplyvov na rovnosť  žien a mužov</w:t>
      </w:r>
      <w:r w:rsidRPr="002644DE">
        <w:rPr>
          <w:rFonts w:ascii="Times New Roman" w:eastAsia="Times New Roman" w:hAnsi="Times New Roman" w:cs="Times New Roman"/>
          <w:sz w:val="24"/>
          <w:szCs w:val="24"/>
          <w:lang w:eastAsia="sk-SK"/>
        </w:rPr>
        <w:t xml:space="preserve"> sa identifikuje, či návrh podporuje vzájomnú rovnosť žien a mužov a rovnosť príležitostí alebo môže viesť k zväčšovaniu nerovností.</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Analýza rozdielneho vplyvu na ženy a mužov by mala zhodnotiť potenciálne odlišný dosah návrhov na ženy a mužov. Politické opatrenia, ktoré sa javia ako neutrálne, môžu pôsobiť odlišne na mužov a ženy v dôsledku odlišností v živote žien a mužov a v konečnom dôsledku môžu posilňovať existujúce nerovnosti. Pri identifikovaní rozdielnych vplyvov na ženy a mužov treba vziať do úvahy existujúce rozdiely medzi ženami a mužmi , ktoré sú relevantné vo vzťahu k danej politike, najmä pokiaľ ide o </w:t>
      </w:r>
    </w:p>
    <w:p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participáciu (zloženie cieľovej skupiny podľa pohlavia, zastúpenie mužov a žien v rozhodovacích procesoch a pod.), </w:t>
      </w:r>
    </w:p>
    <w:p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distribúciu zdrojov (ako napr. času, priestoru, informácií, peňazí resp. finančných prostriedkov, politickej a ekonomickej moci, vzdelávania a odbornej prípravy, práce a profesionálnej kariéry, nových technológií, služieb, bývania, prostriedkov dopravy, voľného času t.j. vo všeobecnosti výhod resp. úžitkov a povinností v súkromnom a verejnom živote),</w:t>
      </w:r>
    </w:p>
    <w:p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normy, hodnoty, postoje a správanie sa, ktoré ovplyvňujú tradičné roly žien a mužov,</w:t>
      </w:r>
    </w:p>
    <w:p w:rsidR="002644DE" w:rsidRPr="002644DE" w:rsidRDefault="002644DE" w:rsidP="002644DE">
      <w:pPr>
        <w:numPr>
          <w:ilvl w:val="0"/>
          <w:numId w:val="6"/>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práva, ktoré sa vzťahujú k priamej alebo nepriamej diskriminácii na základe pohlavia, ľudské práva.</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Analýza rozdielov  vo vplyve na ženy a mužov znamená porovnanie a zhodnotenie údajov v uvedených oblastiach rozdelených podľa pohlavia, súčasnú situáciu a trendy s očakávaným vývojom, ktorý vyplýva zo zavedenia novej politiky.</w:t>
      </w:r>
    </w:p>
    <w:p w:rsidR="002644DE" w:rsidRPr="002644DE" w:rsidRDefault="002644DE" w:rsidP="002644DE">
      <w:pPr>
        <w:spacing w:after="60" w:line="240" w:lineRule="auto"/>
        <w:ind w:firstLine="539"/>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Posudzovanie rozdielneho vplyvu na ženy a mužov (tzv. </w:t>
      </w:r>
      <w:r w:rsidRPr="002644DE">
        <w:rPr>
          <w:rFonts w:ascii="Times New Roman" w:eastAsia="Times New Roman" w:hAnsi="Times New Roman" w:cs="Times New Roman"/>
          <w:i/>
          <w:sz w:val="24"/>
          <w:szCs w:val="24"/>
          <w:lang w:eastAsia="sk-SK"/>
        </w:rPr>
        <w:t>gender mainstreaming</w:t>
      </w:r>
      <w:r w:rsidRPr="002644DE">
        <w:rPr>
          <w:rFonts w:ascii="Times New Roman" w:eastAsia="Times New Roman" w:hAnsi="Times New Roman" w:cs="Times New Roman"/>
          <w:sz w:val="24"/>
          <w:szCs w:val="24"/>
          <w:lang w:eastAsia="sk-SK"/>
        </w:rPr>
        <w:t>) je záväzkom na úrovni EÚ a znamená, že perspektíva rovnosti žien a mužov a rovnosti príležitostí by mala byť integrovaná do všetkých politík na každej úrovni ich vývoja – tvorba, implementácia, monitoring a evaluácia. Rovnosť  žien a mužov by mala byť podporená v každej politickej oblasti, najmä v oblastiach:</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podpora slobodného výberu povolania a ekonomickej činnosti,</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podpora vyrovnávania ekonomickej nezávislosti, </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zosúladenie pracovného, súkromného a rodinného života, </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podpora rovnosti príležitostí pri participácii na rozhodovaní, </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boj proti domácemu násiliu,  násiliu na ženách  a obchodovaniu s ľuďmi, </w:t>
      </w:r>
    </w:p>
    <w:p w:rsidR="002644DE" w:rsidRPr="002644DE" w:rsidRDefault="002644DE" w:rsidP="002644DE">
      <w:pPr>
        <w:numPr>
          <w:ilvl w:val="0"/>
          <w:numId w:val="12"/>
        </w:numPr>
        <w:spacing w:after="0" w:line="240" w:lineRule="auto"/>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2"/>
        </w:numPr>
        <w:spacing w:after="60" w:line="240" w:lineRule="auto"/>
        <w:ind w:left="714" w:hanging="357"/>
        <w:contextualSpacing/>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rešpektovanie osobných preferencií pri výbere povolania a zosúlaďovania pracovného a rodinného života.</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Posúdenie možného vplyvu predkladaného materiálu z pohľadu </w:t>
      </w:r>
      <w:r w:rsidRPr="002644DE">
        <w:rPr>
          <w:rFonts w:ascii="Times New Roman" w:eastAsia="Times New Roman" w:hAnsi="Times New Roman" w:cs="Times New Roman"/>
          <w:i/>
          <w:sz w:val="24"/>
          <w:szCs w:val="24"/>
          <w:lang w:eastAsia="sk-SK"/>
        </w:rPr>
        <w:t>gender mainstreamingu</w:t>
      </w:r>
      <w:r w:rsidRPr="002644DE">
        <w:rPr>
          <w:rFonts w:ascii="Times New Roman" w:eastAsia="Times New Roman" w:hAnsi="Times New Roman" w:cs="Times New Roman"/>
          <w:sz w:val="24"/>
          <w:szCs w:val="24"/>
          <w:lang w:eastAsia="sk-SK"/>
        </w:rPr>
        <w:t xml:space="preserve"> (viď vyššie), znamená preskúmanie, či ženy a muži majú právo slobodne rozvíjať svoje osobné schopnosti a vykonávať slobodný výber možností bez akýchkoľvek neodôvodnených obmedzení alebo bariér pre účasť na ekonomickom, politickom a sociálnom živote spoločnosti na základe pohlavia. Znamená tiež, že sa podporuje možnosť žien a mužov sa slobodne rozhodnúť, ako sa rozhodnú narábať so svojím životom, že sa budú rešpektovať ich životné voľby či ich rozdielne potreby.</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Podobne ako pri analýze vplyvov na prístup k zdrojom, právam, tovarom a službám aj v tomto prípade treba vziať do úvahy špecifické problémy konkrétnych skupín a možné potreby, skúsenosti alebo priority potenciálne ovplyvnených skupín vo vzťahu k predkladanému materiálu. </w:t>
      </w:r>
    </w:p>
    <w:p w:rsidR="002644DE" w:rsidRPr="002644DE" w:rsidRDefault="002644DE" w:rsidP="002644DE">
      <w:pPr>
        <w:spacing w:after="0" w:line="240" w:lineRule="auto"/>
        <w:ind w:firstLine="357"/>
        <w:jc w:val="both"/>
        <w:rPr>
          <w:rFonts w:ascii="Times New Roman" w:eastAsia="Times New Roman" w:hAnsi="Times New Roman" w:cs="Times New Roman"/>
          <w:b/>
          <w:sz w:val="24"/>
          <w:szCs w:val="24"/>
          <w:lang w:eastAsia="sk-SK"/>
        </w:rPr>
      </w:pPr>
    </w:p>
    <w:p w:rsidR="002644DE" w:rsidRPr="002644DE" w:rsidRDefault="002644DE" w:rsidP="002644DE">
      <w:pPr>
        <w:numPr>
          <w:ilvl w:val="1"/>
          <w:numId w:val="5"/>
        </w:numPr>
        <w:spacing w:before="120" w:after="0" w:line="240" w:lineRule="auto"/>
        <w:ind w:left="357" w:hanging="357"/>
        <w:rPr>
          <w:rFonts w:ascii="Times New Roman" w:eastAsia="Times New Roman" w:hAnsi="Times New Roman" w:cs="Times New Roman"/>
          <w:b/>
          <w:sz w:val="24"/>
          <w:szCs w:val="24"/>
          <w:lang w:eastAsia="sk-SK"/>
        </w:rPr>
      </w:pPr>
      <w:r w:rsidRPr="002644DE">
        <w:rPr>
          <w:rFonts w:ascii="Times New Roman" w:eastAsia="Times New Roman" w:hAnsi="Times New Roman" w:cs="Times New Roman"/>
          <w:b/>
          <w:sz w:val="24"/>
          <w:szCs w:val="24"/>
          <w:lang w:eastAsia="sk-SK"/>
        </w:rPr>
        <w:t>Zhodnotenie vplyvov na zamestnanosť a trh práce</w:t>
      </w:r>
    </w:p>
    <w:p w:rsidR="002644DE" w:rsidRPr="002644DE" w:rsidRDefault="002644DE" w:rsidP="002644DE">
      <w:pPr>
        <w:spacing w:before="240"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 prípade zhodnotenia vplyvov na zamestnanosť, ide o zodpovedanie na nasledovné otázky:</w:t>
      </w: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Uľahčuje návrh vznik nových pracovných miest?</w:t>
      </w: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Vedie návrh priamo k zániku pracovných miest?</w:t>
      </w: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Ovplyvňuje návrh dopyt po práci?</w:t>
      </w: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Má návrh dosah na fungovanie trhu práce?</w:t>
      </w: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Má návrh špecifické negatívne dôsledky pre isté skupiny profesií, skupín zamestnancov či živnostníkov?</w:t>
      </w:r>
    </w:p>
    <w:p w:rsidR="002644DE" w:rsidRPr="002644DE" w:rsidRDefault="002644DE" w:rsidP="002644DE">
      <w:pPr>
        <w:numPr>
          <w:ilvl w:val="0"/>
          <w:numId w:val="7"/>
        </w:num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Ovplyvňuje návrh špecifické vekové skupiny zamestnancov?</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pri zhodnotení vplyvov na zamestnanosť vezme do úvahy a špecifikuje nasledovné skutočnosti uvedené pri jednotlivých otázkach:</w:t>
      </w:r>
    </w:p>
    <w:p w:rsidR="002644DE" w:rsidRPr="002644DE" w:rsidRDefault="002644DE" w:rsidP="002644DE">
      <w:pPr>
        <w:spacing w:after="0" w:line="240" w:lineRule="auto"/>
        <w:ind w:firstLine="540"/>
        <w:jc w:val="both"/>
        <w:rPr>
          <w:rFonts w:ascii="Times New Roman" w:eastAsia="Times New Roman" w:hAnsi="Times New Roman" w:cs="Times New Roman"/>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Otázka č. 1 </w:t>
      </w:r>
      <w:r w:rsidRPr="002644DE">
        <w:rPr>
          <w:rFonts w:ascii="Times New Roman" w:eastAsia="Times New Roman" w:hAnsi="Times New Roman" w:cs="Times New Roman"/>
          <w:i/>
          <w:sz w:val="24"/>
          <w:szCs w:val="24"/>
          <w:lang w:eastAsia="sk-SK"/>
        </w:rPr>
        <w:t>Uľahčuje návrh vznik nových pracovných miest?</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Návrh môže mať vplyvy na zamestnanosť priamo v dotknutom sektore ale i nepriamo v iných sektoroch. </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Vplyv návrhu môže byť vyjadrený ako absolútny počet pracovných miest, ktoré návrh podporí (odhad, interval) s rozlíšením krátkodobého a dlhodobého efektu v konkrétnych sektoroch hospodárstva (sekciách/odvetviach ekonomických činností). Pre identifikovanie vplyvu v konkrétnych sekciách či odvetviach ekonomických činností je možné použiť Štatistickú klasifikáciu ekonomických činností (Rev. 2 2008).</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Odhad vplyvu návrhu môže byť vyjadrený aj ako rast zamestnanosti v konkrétnych sektoroch. </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mať rôzny vplyv na vznik pracovných miest v jednotlivých typoch zamestnania (pracovný úväzok na dobu neurčitú/určitú resp. dlhodobý/krátkodobý, plný/čiastočný pracovný úväzok, práca na dohodu, príležitostná práca, atď.), druhoch zamestnania (podľa Štatistickej klasifikácie zamestnaní SK ISCO 2012) alebo v jednotlivých krajoch (iných územných jednotkách).</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bCs/>
          <w:sz w:val="24"/>
          <w:szCs w:val="24"/>
          <w:lang w:eastAsia="sk-SK"/>
        </w:rPr>
      </w:pPr>
      <w:r w:rsidRPr="002644DE">
        <w:rPr>
          <w:rFonts w:ascii="Times New Roman" w:eastAsia="Times New Roman" w:hAnsi="Times New Roman" w:cs="Times New Roman"/>
          <w:bCs/>
          <w:sz w:val="24"/>
          <w:szCs w:val="24"/>
          <w:lang w:eastAsia="sk-SK"/>
        </w:rPr>
        <w:t>Predkladateľ identifikuje, ktoré skupiny budú mať prospech z vytvorenia nových pracovných miest, nakoľko návrh môže mať rôzny vplyv na rôzne kategórie zamestnancov (napr. kvalifikovaní vs. nekvalifikovaní, rôzne profesie, s rôznymi zručnosťami, podľa ekonomickej činnosti) alebo skupiny populácie (ľudia so zdravotným postihnutím alebo dlhodobými zdravotnými problémami, ženy, starší ľudia, mladí ľudia, nezamestnaní, nízkokvalifikovaní).</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r w:rsidRPr="002644DE">
        <w:rPr>
          <w:rFonts w:ascii="Times New Roman" w:eastAsia="Times New Roman" w:hAnsi="Times New Roman" w:cs="Times New Roman"/>
          <w:bCs/>
          <w:sz w:val="24"/>
          <w:szCs w:val="24"/>
          <w:lang w:eastAsia="sk-SK"/>
        </w:rPr>
        <w:t xml:space="preserve">Otázka č. 2 </w:t>
      </w:r>
      <w:r w:rsidRPr="002644DE">
        <w:rPr>
          <w:rFonts w:ascii="Times New Roman" w:eastAsia="Times New Roman" w:hAnsi="Times New Roman" w:cs="Times New Roman"/>
          <w:i/>
          <w:sz w:val="24"/>
          <w:szCs w:val="24"/>
          <w:lang w:eastAsia="sk-SK"/>
        </w:rPr>
        <w:t>Vedie návrh priamo k zániku pracovných miest?</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mať opačný (negatívny) vplyv ako v prípade otázky č. 1, predkladateľ špecifikuje predpokladaný počet zaniknutých pracovných miest v konkrétnych sektoroch/sekciách hospodárstva, jednotlivých územných jednotkách, typoch zamestnania, druhoch zamestnania atď.</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Predkladateľ identifikuje, aké dôsledky bude mať zánik pracovných miest. Zánik pracovných miest sa môže prejaviť hromadným prepúšťaním, zvýšeným odchodom do dôchodku, nárastom neaktivity alebo zvýšením nezamestnanosti.</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Je potrebné špecifikovať skupiny zamestnancov a populácie (podobne ako v prípade otázky č. 1), ktoré budú pravdepodobne viac ovplyvnené a poskytnúť odhady rozsahu vplyvu.</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lastRenderedPageBreak/>
        <w:t xml:space="preserve">Otázka č. 3 </w:t>
      </w:r>
      <w:r w:rsidRPr="002644DE">
        <w:rPr>
          <w:rFonts w:ascii="Times New Roman" w:eastAsia="Times New Roman" w:hAnsi="Times New Roman" w:cs="Times New Roman"/>
          <w:i/>
          <w:sz w:val="24"/>
          <w:szCs w:val="24"/>
          <w:lang w:eastAsia="sk-SK"/>
        </w:rPr>
        <w:t>Ovplyvňuje návrh dopyt po práci?</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Dopyt po práci závisí na jednej strane na produkcii tovarov a služieb v ekonomike a na druhej strane na cene práce (mzdy vrátane ďalších nákladov ako sú priame dane či príspevky sociálneho a zdravotného poistenia platené zamestnancom a zamestnávateľom). </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Dopyt po práci môže byť popísaný kvantitatívne (ako ponuka pracovných miest, zmeny v počte zamestnancov, odpracované hodiny) a kvalitatívne (typy požadovaných kvalifikácií, profesií).</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 xml:space="preserve">Očakávané zmeny v dopyte po práci by mali byť porovnané s ponukou pracovnej sily. Bude pracovný trh schopný produkovať nové kvalifikačné profily a bude schopný tým, ktorí prídu o prácu či pracovnú príležitosť, ponúknuť opätovný vstup na trh práce tak, aby bol využitý ich produktívny potenciál? </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Dopyt po práci sa môže týkať istej skupiny zamestnávateľov (organizácií podľa počtu zamestnancov - malých, stredných veľkých, podľa ekonomickej činnosti, v istých regiónoch, podnikov, štátnej a verejnej správy či lokálnych samospráv, organizácií tretieho sektora).</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t xml:space="preserve">Otázka č. 4 </w:t>
      </w:r>
      <w:r w:rsidRPr="002644DE">
        <w:rPr>
          <w:rFonts w:ascii="Times New Roman" w:eastAsia="Times New Roman" w:hAnsi="Times New Roman" w:cs="Times New Roman"/>
          <w:i/>
          <w:sz w:val="24"/>
          <w:szCs w:val="24"/>
          <w:lang w:eastAsia="sk-SK"/>
        </w:rPr>
        <w:t>Má návrh dosah na fungovanie trhu práce?</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Týka sa makroekonomických dosahov ako je napr. participácia na trhu práce, dlhodobá nezamestnanosť, regionálne rozdiely v mierach zamestnanosti, úroveň a stabilita miezd a ich vzťah k agregátnemu dopytu a ponuke, pracovná produkcia.</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Ponuka práce môže byť ovplyvnená rôznymi premennými napr. úrovňou miezd (absolútnou či relatívnou t.j. v porovnaní s úrovňou miezd v inom sektore), ale aj inštitucionálnym nastavením, ako je zosúladenie pracovného a súkromného života alebo uľahčovanie rôznych foriem mobility.</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ovplyvniť fungovanie trhu práce priamo (napr. redukovaním bariér pre vstup na trh práce a vykonávanie istých profesií) alebo nepriamo (napr. požadovaním vyššej kvalifikácie pre isté profesie alebo vykonávanie istých úloh).</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t xml:space="preserve">Otázka č. 5 </w:t>
      </w:r>
      <w:r w:rsidRPr="002644DE">
        <w:rPr>
          <w:rFonts w:ascii="Times New Roman" w:eastAsia="Times New Roman" w:hAnsi="Times New Roman" w:cs="Times New Roman"/>
          <w:i/>
          <w:sz w:val="24"/>
          <w:szCs w:val="24"/>
          <w:lang w:eastAsia="sk-SK"/>
        </w:rPr>
        <w:t>Má návrh špecifické negatívne dôsledky pre isté skupiny profesií, skupín zamestnancov či živnostníkov?</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Návrh môže ohrozovať napr. pracovníkov istých profesií favorizovaním špecifických aktivít či technológií.</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Sociálne dôsledky sa môžu prejaviť na verejnom zdraví (stres a choroby z povolania) alebo sociálnom vylúčení jednotlivcov a skupín.</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0" w:line="240" w:lineRule="auto"/>
        <w:jc w:val="both"/>
        <w:rPr>
          <w:rFonts w:ascii="Times New Roman" w:eastAsia="Times New Roman" w:hAnsi="Times New Roman" w:cs="Times New Roman"/>
          <w:i/>
          <w:sz w:val="24"/>
          <w:szCs w:val="24"/>
          <w:lang w:eastAsia="sk-SK"/>
        </w:rPr>
      </w:pPr>
      <w:r w:rsidRPr="002644DE">
        <w:rPr>
          <w:rFonts w:ascii="Times New Roman" w:eastAsia="Times New Roman" w:hAnsi="Times New Roman" w:cs="Times New Roman"/>
          <w:bCs/>
          <w:sz w:val="24"/>
          <w:szCs w:val="24"/>
          <w:lang w:eastAsia="sk-SK"/>
        </w:rPr>
        <w:t xml:space="preserve">Otázka č. 6 </w:t>
      </w:r>
      <w:r w:rsidRPr="002644DE">
        <w:rPr>
          <w:rFonts w:ascii="Times New Roman" w:eastAsia="Times New Roman" w:hAnsi="Times New Roman" w:cs="Times New Roman"/>
          <w:i/>
          <w:sz w:val="24"/>
          <w:szCs w:val="24"/>
          <w:lang w:eastAsia="sk-SK"/>
        </w:rPr>
        <w:t>Ovplyvňuje návrh špecifické vekové skupiny zamestnancov?</w:t>
      </w:r>
    </w:p>
    <w:p w:rsidR="002644DE" w:rsidRPr="002644DE" w:rsidRDefault="002644DE" w:rsidP="002644DE">
      <w:pPr>
        <w:numPr>
          <w:ilvl w:val="0"/>
          <w:numId w:val="13"/>
        </w:numPr>
        <w:spacing w:after="0" w:line="240" w:lineRule="auto"/>
        <w:ind w:left="284" w:hanging="284"/>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 rámci analýzy sa identifikuje, či návrh môže ovplyvniť rozhodnutia zamestnancov alebo zamestnávateľov a môže byť zdrojom neskoršieho vstupu na trh práce alebo predčasného odchodu z trhu práce jednotlivcov. Predpokladá sa, že dlhší pracovný život vedie k zabezpečeniu adekvátnej a udržateľnej sociálnej ochrany (týka sa to najmä dávok zo starobného dôchodkového poistenia).</w:t>
      </w:r>
    </w:p>
    <w:p w:rsidR="002644DE" w:rsidRPr="002644DE" w:rsidRDefault="002644DE" w:rsidP="002644DE">
      <w:pPr>
        <w:spacing w:after="0" w:line="240" w:lineRule="auto"/>
        <w:jc w:val="both"/>
        <w:rPr>
          <w:rFonts w:ascii="Times New Roman" w:eastAsia="Times New Roman" w:hAnsi="Times New Roman" w:cs="Times New Roman"/>
          <w:bCs/>
          <w:sz w:val="24"/>
          <w:szCs w:val="24"/>
          <w:lang w:eastAsia="sk-SK"/>
        </w:rPr>
      </w:pPr>
    </w:p>
    <w:p w:rsidR="002644DE" w:rsidRPr="002644DE" w:rsidRDefault="002644DE" w:rsidP="002644DE">
      <w:pPr>
        <w:spacing w:after="120" w:line="240" w:lineRule="auto"/>
        <w:ind w:firstLine="567"/>
        <w:jc w:val="both"/>
        <w:rPr>
          <w:rFonts w:ascii="Times New Roman" w:eastAsia="Times New Roman" w:hAnsi="Times New Roman" w:cs="Times New Roman"/>
          <w:sz w:val="24"/>
          <w:szCs w:val="24"/>
          <w:lang w:eastAsia="sk-SK"/>
        </w:rPr>
      </w:pPr>
      <w:r w:rsidRPr="002644DE">
        <w:rPr>
          <w:rFonts w:ascii="Times New Roman" w:eastAsia="Times New Roman" w:hAnsi="Times New Roman" w:cs="Times New Roman"/>
          <w:sz w:val="24"/>
          <w:szCs w:val="24"/>
          <w:lang w:eastAsia="sk-SK"/>
        </w:rPr>
        <w:t>Vplyvmi na zamestnanosť je potrebné sa zaoberať najmä pri zmene štruktúry trhu práce.</w:t>
      </w:r>
      <w:r w:rsidRPr="002644DE">
        <w:rPr>
          <w:rFonts w:ascii="Times New Roman" w:eastAsia="Times New Roman" w:hAnsi="Times New Roman" w:cs="Times New Roman"/>
          <w:b/>
          <w:sz w:val="24"/>
          <w:szCs w:val="24"/>
          <w:lang w:eastAsia="sk-SK"/>
        </w:rPr>
        <w:t xml:space="preserve"> </w:t>
      </w:r>
      <w:r w:rsidRPr="002644DE">
        <w:rPr>
          <w:rFonts w:ascii="Times New Roman" w:eastAsia="Times New Roman" w:hAnsi="Times New Roman" w:cs="Times New Roman"/>
          <w:sz w:val="24"/>
          <w:szCs w:val="24"/>
          <w:lang w:eastAsia="sk-SK"/>
        </w:rPr>
        <w:t>Tieto zmeny môžu byť celkovo pozitívne a viesť k zvýšeniu celkovej zamestnanosti alebo niektorej zo skupín obyvateľstva, k zníženiu nezamestnanosti alebo môžu byť negatívne a viesť k zníženiu zamestnanosti a zvýšeniu nezamestnanosti. Môžu nastať aj rôzne kombinácie a zmena môže byť neutrálna z hľadiska vplyvov na zamestnanosť.</w:t>
      </w:r>
    </w:p>
    <w:p w:rsidR="002644DE" w:rsidRPr="002644DE" w:rsidRDefault="002644DE" w:rsidP="002644DE">
      <w:pPr>
        <w:spacing w:after="0" w:line="240" w:lineRule="auto"/>
        <w:ind w:firstLine="567"/>
        <w:jc w:val="both"/>
        <w:outlineLvl w:val="0"/>
        <w:rPr>
          <w:rFonts w:ascii="Times New Roman" w:eastAsia="Times New Roman" w:hAnsi="Times New Roman" w:cs="Times New Roman"/>
          <w:bCs/>
          <w:sz w:val="24"/>
          <w:szCs w:val="20"/>
          <w:lang w:eastAsia="sk-SK"/>
        </w:rPr>
      </w:pPr>
      <w:r w:rsidRPr="002644DE">
        <w:rPr>
          <w:rFonts w:ascii="Times New Roman" w:eastAsia="Times New Roman" w:hAnsi="Times New Roman" w:cs="Times New Roman"/>
          <w:bCs/>
          <w:sz w:val="24"/>
          <w:szCs w:val="20"/>
          <w:lang w:eastAsia="sk-SK"/>
        </w:rPr>
        <w:lastRenderedPageBreak/>
        <w:t>Ak má predkladaný materiál pozitívne alebo negatívne vplyvy na zamestnanosť, je dôležité podrobne preskúmať situáciu, ktorá môže v dôsledku schválenia prekladaného materiálu vzniknúť. Odpovede na otázky majú byť podrobným popisom identifikovaných vplyvov a nie jednoduchou odpoveďou na otázku. V mnohých prípadoch bude stačiť kvalitatívny popis vplyvov a vysvetlenie hlavných predpokladov. Ak sa však očakávajú významné vplyvy na zamestnanosť alebo prehlbovanie regionálnych rozdielov, pre proces rozhodovania a posúdenia vplyvov je potrebná odborná kvantifikácia.</w:t>
      </w:r>
    </w:p>
    <w:p w:rsidR="002644DE" w:rsidRPr="002644DE" w:rsidRDefault="002644DE" w:rsidP="002644DE">
      <w:pPr>
        <w:spacing w:after="0" w:line="240" w:lineRule="auto"/>
        <w:ind w:firstLine="567"/>
        <w:jc w:val="both"/>
        <w:outlineLvl w:val="0"/>
        <w:rPr>
          <w:rFonts w:ascii="Times New Roman" w:eastAsia="Times New Roman" w:hAnsi="Times New Roman" w:cs="Times New Roman"/>
          <w:bCs/>
          <w:sz w:val="24"/>
          <w:szCs w:val="20"/>
          <w:lang w:eastAsia="sk-SK"/>
        </w:rPr>
      </w:pPr>
      <w:r w:rsidRPr="002644DE">
        <w:rPr>
          <w:rFonts w:ascii="Times New Roman" w:eastAsia="Times New Roman" w:hAnsi="Times New Roman" w:cs="Times New Roman"/>
          <w:bCs/>
          <w:sz w:val="24"/>
          <w:szCs w:val="20"/>
          <w:lang w:eastAsia="sk-SK"/>
        </w:rPr>
        <w:t>S cieľom získať predstavu o rozsahu vplyvov na zamestnanosť v niektorých prípadoch môže byť dôležité definovať počet podnikov vrátane živnostníkov, ktorí budú v skutočnosti ovplyvnení. Okrem informácií o samotnom počte ovplyvnených podnikov je potrebné disponovať aj informáciami o veľkostnej kategórii (podľa počtu zamestnaných) ovplyvnených podnikov (mikro, malý, stredný a veľký podnik).</w:t>
      </w:r>
    </w:p>
    <w:p w:rsidR="002644DE" w:rsidRPr="002644DE" w:rsidRDefault="002644DE" w:rsidP="002644DE">
      <w:pPr>
        <w:spacing w:after="0" w:line="240" w:lineRule="auto"/>
        <w:ind w:firstLine="567"/>
        <w:jc w:val="both"/>
        <w:rPr>
          <w:u w:val="single"/>
        </w:rPr>
      </w:pPr>
      <w:r w:rsidRPr="002644DE">
        <w:rPr>
          <w:rFonts w:ascii="Times New Roman" w:eastAsia="Times New Roman" w:hAnsi="Times New Roman" w:cs="Times New Roman"/>
          <w:bCs/>
          <w:sz w:val="24"/>
          <w:szCs w:val="20"/>
          <w:lang w:eastAsia="sk-SK"/>
        </w:rPr>
        <w:t xml:space="preserve">Kvôli získaniu detailnejšieho pohľadu je potrebné vplyvy analyzovať v členení podľa regiónov, sektorov hospodárstva, ekonomickej činnosti zamestnávateľov, právnej formy zamestnávateľov, druhov dotknutých zamestnaní s využitím štatistických klasifikácií a registrov ŠÚ SR ako napr. Štatistická klasifikácia ekonomických činností (SK NACE Rev. 2 2008), Štatistická klasifikácia zamestnaní, verzia 2012 (SK ISCO-08), register organizácií a pod. Štatistické klasifikácie sú dostupné na webovom sídle: </w:t>
      </w:r>
      <w:hyperlink r:id="rId12" w:history="1">
        <w:r w:rsidRPr="002644DE">
          <w:rPr>
            <w:color w:val="0000FF"/>
            <w:szCs w:val="20"/>
            <w:u w:val="single"/>
          </w:rPr>
          <w:t xml:space="preserve">http://portal.statistics.sk/showdoc.do?docid=1924. </w:t>
        </w:r>
      </w:hyperlink>
    </w:p>
    <w:p w:rsidR="00274130" w:rsidRDefault="00C70A14" w:rsidP="002644DE"/>
    <w:sectPr w:rsidR="002741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A14" w:rsidRDefault="00C70A14" w:rsidP="002644DE">
      <w:pPr>
        <w:spacing w:after="0" w:line="240" w:lineRule="auto"/>
      </w:pPr>
      <w:r>
        <w:separator/>
      </w:r>
    </w:p>
  </w:endnote>
  <w:endnote w:type="continuationSeparator" w:id="0">
    <w:p w:rsidR="00C70A14" w:rsidRDefault="00C70A14"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606C2A">
          <w:rPr>
            <w:rFonts w:ascii="Times New Roman" w:hAnsi="Times New Roman" w:cs="Times New Roman"/>
            <w:noProof/>
          </w:rPr>
          <w:t>1</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606C2A">
          <w:rPr>
            <w:rFonts w:ascii="Times New Roman" w:hAnsi="Times New Roman" w:cs="Times New Roman"/>
            <w:noProof/>
          </w:rPr>
          <w:t>15</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A14" w:rsidRDefault="00C70A14" w:rsidP="002644DE">
      <w:pPr>
        <w:spacing w:after="0" w:line="240" w:lineRule="auto"/>
      </w:pPr>
      <w:r>
        <w:separator/>
      </w:r>
    </w:p>
  </w:footnote>
  <w:footnote w:type="continuationSeparator" w:id="0">
    <w:p w:rsidR="00C70A14" w:rsidRDefault="00C70A14" w:rsidP="002644DE">
      <w:pPr>
        <w:spacing w:after="0" w:line="240" w:lineRule="auto"/>
      </w:pPr>
      <w:r>
        <w:continuationSeparator/>
      </w:r>
    </w:p>
  </w:footnote>
  <w:footnote w:id="1">
    <w:p w:rsidR="002644DE" w:rsidRPr="00227A26" w:rsidRDefault="002644DE" w:rsidP="002644DE">
      <w:pPr>
        <w:spacing w:after="120" w:line="240" w:lineRule="auto"/>
        <w:jc w:val="both"/>
        <w:rPr>
          <w:rFonts w:ascii="Times New Roman" w:hAnsi="Times New Roman" w:cs="Times New Roman"/>
          <w:bCs/>
        </w:rPr>
      </w:pPr>
      <w:r w:rsidRPr="00227A26">
        <w:rPr>
          <w:rStyle w:val="Odkaznapoznmkupodiarou"/>
          <w:rFonts w:ascii="Times New Roman" w:hAnsi="Times New Roman" w:cs="Times New Roman"/>
          <w:sz w:val="20"/>
        </w:rPr>
        <w:footnoteRef/>
      </w:r>
      <w:r w:rsidRPr="00227A26">
        <w:rPr>
          <w:rFonts w:ascii="Times New Roman" w:hAnsi="Times New Roman" w:cs="Times New Roman"/>
          <w:sz w:val="20"/>
        </w:rPr>
        <w:t xml:space="preserve"> Podľa spoločnej definície EÚ ľudia žijú v chudobe, ak ich príjem a iné zdroje sú natoľko nedostatočné, že im neumožňujú dosiahnuť takú životnú úroveň, ktorá je akceptovateľná v spoločnosti, v ktorej žijú. V dôsledku chudoby môžu poznať mnohonásobné znevýhodnenie od nezamestnanosti, cez nízky príjem, zlé bývanie, nedostatočnú zdravotnú starostlivosť až po prekážky v prístupe k celoživotnému vzdelávaniu, kultúre, športu, či rekreácii. Sú často marginalizovaní a vylúčení z účasti na aktivitách (ekonomických, sociálnych a kultúrnych), ktoré sú bežné pre ostatných ľudí a ich prístup k základným právam môže byť obmedzený. Sociálna exklúzia je proces, ku ktorému prichádza v dôsledku chudoby, nedostatku príležitostí alebo diskriminácie a prostredníctvom ktorého sú jednotlivci a rodiny vytláčaní na okraj spoločnosti. Znamená obmedzený prístup k zamestnaniu, príjmu, vzdelávaniu, ako aj k sociálnym a komunitným sieťam.</w:t>
      </w:r>
    </w:p>
  </w:footnote>
  <w:footnote w:id="2">
    <w:p w:rsidR="002644DE" w:rsidRDefault="002644DE" w:rsidP="002644DE">
      <w:pPr>
        <w:pStyle w:val="Textpoznmkypodiarou"/>
      </w:pPr>
      <w:r w:rsidRPr="00227A26">
        <w:rPr>
          <w:rStyle w:val="Odkaznapoznmkupodiarou"/>
          <w:rFonts w:ascii="Times New Roman" w:hAnsi="Times New Roman"/>
        </w:rPr>
        <w:footnoteRef/>
      </w:r>
      <w:r w:rsidRPr="00227A26">
        <w:rPr>
          <w:rFonts w:ascii="Times New Roman" w:hAnsi="Times New Roman"/>
        </w:rPr>
        <w:t xml:space="preserve"> </w:t>
      </w:r>
      <w:r w:rsidRPr="00227A26">
        <w:rPr>
          <w:rFonts w:ascii="Times New Roman" w:hAnsi="Times New Roman"/>
          <w:bCs/>
        </w:rPr>
        <w:t>Sociálna inklúzia podľa spoločnej definície EÚ je proces, ktorý zabezpečuje, aby tí, ktorí sú v riziku chudoby, získali príležitosti a nevyhnutné zdroje na to, aby mohli plne participovať na ekonomickom, sociálnom a kultúrnom živote spoločnosti.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4DE" w:rsidRPr="00CD4982" w:rsidRDefault="0040256B" w:rsidP="0067068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C47" w:rsidRPr="00CD4982" w:rsidRDefault="0040256B"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145D5"/>
    <w:rsid w:val="00060EEC"/>
    <w:rsid w:val="00074677"/>
    <w:rsid w:val="000B0932"/>
    <w:rsid w:val="00162B0C"/>
    <w:rsid w:val="001B1C4A"/>
    <w:rsid w:val="002644DE"/>
    <w:rsid w:val="00382021"/>
    <w:rsid w:val="0040256B"/>
    <w:rsid w:val="00433C47"/>
    <w:rsid w:val="00473551"/>
    <w:rsid w:val="00606C2A"/>
    <w:rsid w:val="00636449"/>
    <w:rsid w:val="007E57E7"/>
    <w:rsid w:val="007F58AE"/>
    <w:rsid w:val="007F6319"/>
    <w:rsid w:val="008378AC"/>
    <w:rsid w:val="008801B5"/>
    <w:rsid w:val="009267B2"/>
    <w:rsid w:val="0095188C"/>
    <w:rsid w:val="009A67BE"/>
    <w:rsid w:val="009E09F7"/>
    <w:rsid w:val="00AA4FAA"/>
    <w:rsid w:val="00B23236"/>
    <w:rsid w:val="00BD141A"/>
    <w:rsid w:val="00C70A14"/>
    <w:rsid w:val="00CD4C3D"/>
    <w:rsid w:val="00D77C19"/>
    <w:rsid w:val="00DB0350"/>
    <w:rsid w:val="00DD3CE8"/>
    <w:rsid w:val="00F967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Textbubliny">
    <w:name w:val="Balloon Text"/>
    <w:basedOn w:val="Normlny"/>
    <w:link w:val="TextbublinyChar"/>
    <w:uiPriority w:val="99"/>
    <w:semiHidden/>
    <w:unhideWhenUsed/>
    <w:rsid w:val="00606C2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06C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statistics.sk/showdoc.do?docid=19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6194</Words>
  <Characters>35311</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41423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Rozborilová Monika</cp:lastModifiedBy>
  <cp:revision>2</cp:revision>
  <cp:lastPrinted>2022-05-09T12:03:00Z</cp:lastPrinted>
  <dcterms:created xsi:type="dcterms:W3CDTF">2022-05-09T12:03:00Z</dcterms:created>
  <dcterms:modified xsi:type="dcterms:W3CDTF">2022-05-09T12:03:00Z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