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DE" w:rsidRPr="002A2856" w:rsidRDefault="007000DE" w:rsidP="007000DE">
      <w:pPr>
        <w:spacing w:line="254" w:lineRule="auto"/>
        <w:jc w:val="center"/>
        <w:rPr>
          <w:b/>
          <w:bCs/>
          <w:szCs w:val="24"/>
        </w:rPr>
      </w:pPr>
      <w:r w:rsidRPr="002A2856">
        <w:rPr>
          <w:b/>
          <w:bCs/>
          <w:szCs w:val="24"/>
        </w:rPr>
        <w:t>NÁRODNÁ  RADA  SLOVENSKEJ  REPUBLIKY</w:t>
      </w:r>
    </w:p>
    <w:p w:rsidR="007000DE" w:rsidRPr="002A2856" w:rsidRDefault="007000DE" w:rsidP="007000DE">
      <w:pPr>
        <w:pBdr>
          <w:bottom w:val="single" w:sz="6" w:space="1" w:color="auto"/>
        </w:pBdr>
        <w:spacing w:line="254" w:lineRule="auto"/>
        <w:jc w:val="center"/>
        <w:rPr>
          <w:b/>
          <w:bCs/>
          <w:szCs w:val="24"/>
        </w:rPr>
      </w:pPr>
      <w:r w:rsidRPr="002A2856">
        <w:rPr>
          <w:b/>
          <w:bCs/>
          <w:szCs w:val="24"/>
        </w:rPr>
        <w:t xml:space="preserve">  VII</w:t>
      </w:r>
      <w:r>
        <w:rPr>
          <w:b/>
          <w:bCs/>
          <w:szCs w:val="24"/>
        </w:rPr>
        <w:t>I</w:t>
      </w:r>
      <w:r w:rsidRPr="002A2856">
        <w:rPr>
          <w:b/>
          <w:bCs/>
          <w:szCs w:val="24"/>
        </w:rPr>
        <w:t>. volebné obdobie</w:t>
      </w:r>
    </w:p>
    <w:p w:rsidR="007000DE" w:rsidRPr="002A2856" w:rsidRDefault="007000DE" w:rsidP="007000DE">
      <w:pPr>
        <w:spacing w:line="254" w:lineRule="auto"/>
        <w:ind w:firstLine="284"/>
        <w:jc w:val="center"/>
        <w:rPr>
          <w:b/>
          <w:bCs/>
          <w:szCs w:val="24"/>
        </w:rPr>
      </w:pPr>
    </w:p>
    <w:p w:rsidR="007000DE" w:rsidRPr="002A2856" w:rsidRDefault="007000DE" w:rsidP="007000DE">
      <w:pPr>
        <w:spacing w:line="254" w:lineRule="auto"/>
        <w:ind w:firstLine="284"/>
        <w:jc w:val="center"/>
        <w:rPr>
          <w:b/>
          <w:bCs/>
          <w:szCs w:val="24"/>
        </w:rPr>
      </w:pPr>
    </w:p>
    <w:p w:rsidR="007000DE" w:rsidRPr="002A2856" w:rsidRDefault="007000DE" w:rsidP="007000DE">
      <w:pPr>
        <w:spacing w:line="254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1040</w:t>
      </w:r>
      <w:bookmarkStart w:id="0" w:name="_GoBack"/>
      <w:bookmarkEnd w:id="0"/>
    </w:p>
    <w:p w:rsidR="007000DE" w:rsidRPr="002A2856" w:rsidRDefault="007000DE" w:rsidP="007000DE">
      <w:pPr>
        <w:spacing w:line="254" w:lineRule="auto"/>
        <w:rPr>
          <w:b/>
          <w:bCs/>
          <w:szCs w:val="24"/>
        </w:rPr>
      </w:pPr>
    </w:p>
    <w:p w:rsidR="007000DE" w:rsidRPr="002A2856" w:rsidRDefault="007000DE" w:rsidP="007000DE">
      <w:pPr>
        <w:spacing w:line="254" w:lineRule="auto"/>
        <w:jc w:val="center"/>
        <w:rPr>
          <w:b/>
          <w:bCs/>
          <w:szCs w:val="24"/>
        </w:rPr>
      </w:pPr>
      <w:r w:rsidRPr="002A2856">
        <w:rPr>
          <w:b/>
          <w:bCs/>
          <w:szCs w:val="24"/>
        </w:rPr>
        <w:t>VLÁDNY  NÁVRH</w:t>
      </w:r>
    </w:p>
    <w:p w:rsidR="007000DE" w:rsidRPr="00204F04" w:rsidRDefault="007000DE" w:rsidP="007000DE">
      <w:pPr>
        <w:jc w:val="center"/>
        <w:rPr>
          <w:b/>
          <w:szCs w:val="24"/>
        </w:rPr>
      </w:pPr>
    </w:p>
    <w:p w:rsidR="007000DE" w:rsidRPr="00204F04" w:rsidRDefault="007000DE" w:rsidP="007000DE">
      <w:pPr>
        <w:jc w:val="center"/>
        <w:rPr>
          <w:b/>
          <w:szCs w:val="24"/>
        </w:rPr>
      </w:pPr>
      <w:r w:rsidRPr="00204F04">
        <w:rPr>
          <w:b/>
          <w:szCs w:val="24"/>
        </w:rPr>
        <w:t>ZÁKON</w:t>
      </w:r>
    </w:p>
    <w:p w:rsidR="006A7CE5" w:rsidRPr="001E10D2" w:rsidRDefault="006A7CE5">
      <w:pPr>
        <w:jc w:val="center"/>
        <w:rPr>
          <w:b/>
        </w:rPr>
      </w:pPr>
    </w:p>
    <w:p w:rsidR="00902196" w:rsidRPr="001E10D2" w:rsidRDefault="00902196" w:rsidP="00902196">
      <w:pPr>
        <w:jc w:val="center"/>
        <w:rPr>
          <w:b/>
        </w:rPr>
      </w:pPr>
      <w:r w:rsidRPr="001E10D2">
        <w:rPr>
          <w:b/>
        </w:rPr>
        <w:t xml:space="preserve">z ............ </w:t>
      </w:r>
      <w:r w:rsidR="009D1951" w:rsidRPr="001E10D2">
        <w:rPr>
          <w:b/>
        </w:rPr>
        <w:t>2022</w:t>
      </w:r>
    </w:p>
    <w:p w:rsidR="006A7CE5" w:rsidRPr="001E10D2" w:rsidRDefault="006A7CE5">
      <w:pPr>
        <w:jc w:val="center"/>
        <w:rPr>
          <w:b/>
        </w:rPr>
      </w:pPr>
    </w:p>
    <w:p w:rsidR="006A7CE5" w:rsidRPr="001E10D2" w:rsidRDefault="006A7CE5" w:rsidP="00CD7AE8">
      <w:pPr>
        <w:jc w:val="center"/>
        <w:rPr>
          <w:b/>
        </w:rPr>
      </w:pPr>
      <w:r w:rsidRPr="001E10D2">
        <w:rPr>
          <w:b/>
        </w:rPr>
        <w:t>o poplatkoch za znečisťovanie ovzdušia</w:t>
      </w:r>
    </w:p>
    <w:p w:rsidR="002B27C5" w:rsidRPr="001E10D2" w:rsidRDefault="002B27C5" w:rsidP="002B27C5"/>
    <w:p w:rsidR="006A7CE5" w:rsidRPr="001E10D2" w:rsidRDefault="006A7CE5" w:rsidP="00902196">
      <w:pPr>
        <w:jc w:val="center"/>
      </w:pPr>
      <w:r w:rsidRPr="001E10D2">
        <w:t>Národná rada Slovenskej republiky sa uzniesla na tomto zákone:</w:t>
      </w:r>
    </w:p>
    <w:p w:rsidR="00AD7123" w:rsidRPr="001E10D2" w:rsidRDefault="00AD7123" w:rsidP="00276C61">
      <w:pPr>
        <w:rPr>
          <w:b/>
        </w:rPr>
      </w:pPr>
    </w:p>
    <w:p w:rsidR="006A7CE5" w:rsidRPr="001E10D2" w:rsidRDefault="006A7CE5" w:rsidP="00C60BA1">
      <w:pPr>
        <w:tabs>
          <w:tab w:val="left" w:pos="3478"/>
          <w:tab w:val="center" w:pos="4535"/>
        </w:tabs>
        <w:spacing w:after="120"/>
        <w:jc w:val="center"/>
        <w:rPr>
          <w:b/>
        </w:rPr>
      </w:pPr>
      <w:r w:rsidRPr="001E10D2">
        <w:rPr>
          <w:b/>
        </w:rPr>
        <w:t xml:space="preserve">§ </w:t>
      </w:r>
      <w:r w:rsidR="00D378FB" w:rsidRPr="001E10D2">
        <w:rPr>
          <w:b/>
        </w:rPr>
        <w:t>1</w:t>
      </w:r>
    </w:p>
    <w:p w:rsidR="006A7CE5" w:rsidRPr="001E10D2" w:rsidRDefault="006A7CE5">
      <w:pPr>
        <w:jc w:val="center"/>
        <w:rPr>
          <w:b/>
        </w:rPr>
      </w:pPr>
      <w:r w:rsidRPr="001E10D2">
        <w:rPr>
          <w:b/>
        </w:rPr>
        <w:t>Poplatková povinnosť</w:t>
      </w:r>
    </w:p>
    <w:p w:rsidR="006A7CE5" w:rsidRPr="001E10D2" w:rsidRDefault="006A7CE5"/>
    <w:p w:rsidR="00CF3A4E" w:rsidRPr="001E10D2" w:rsidRDefault="00CF3A4E" w:rsidP="00CF3A4E">
      <w:pPr>
        <w:pStyle w:val="Zarkazkladnhotextu"/>
        <w:tabs>
          <w:tab w:val="left" w:pos="1134"/>
        </w:tabs>
        <w:ind w:left="851" w:firstLine="0"/>
      </w:pPr>
    </w:p>
    <w:p w:rsidR="00365F49" w:rsidRPr="001E10D2" w:rsidRDefault="001121F0" w:rsidP="00D4342F">
      <w:pPr>
        <w:pStyle w:val="Zarkazkladnhotextu"/>
        <w:ind w:left="0" w:firstLine="0"/>
      </w:pPr>
      <w:r w:rsidRPr="001E10D2">
        <w:t xml:space="preserve">Poplatok </w:t>
      </w:r>
      <w:r w:rsidR="00365F49" w:rsidRPr="001E10D2">
        <w:t xml:space="preserve">za znečisťovanie ovzdušia </w:t>
      </w:r>
      <w:r w:rsidR="00355535" w:rsidRPr="001E10D2">
        <w:t>(ďalej len „poplatok</w:t>
      </w:r>
      <w:r w:rsidR="009341B2" w:rsidRPr="001E10D2">
        <w:t xml:space="preserve">“) </w:t>
      </w:r>
      <w:r w:rsidR="00A61B27" w:rsidRPr="001E10D2">
        <w:t xml:space="preserve">platí </w:t>
      </w:r>
      <w:r w:rsidR="00F30FA3" w:rsidRPr="001E10D2">
        <w:t xml:space="preserve">za podmienok ustanovených v zákone </w:t>
      </w:r>
      <w:r w:rsidR="00A61B27" w:rsidRPr="001E10D2">
        <w:t xml:space="preserve">právnická osoba a fyzická osoba </w:t>
      </w:r>
      <w:r w:rsidR="003579E4" w:rsidRPr="001E10D2">
        <w:t>- podnikateľ</w:t>
      </w:r>
      <w:r w:rsidR="00A61B27" w:rsidRPr="001E10D2">
        <w:t>, ktorá prevádzkuje</w:t>
      </w:r>
      <w:r w:rsidR="00D87988" w:rsidRPr="001E10D2">
        <w:t xml:space="preserve"> </w:t>
      </w:r>
      <w:r w:rsidR="00A61B27" w:rsidRPr="001E10D2">
        <w:t>stacionárny zdroj znečisťovania ovzdušia</w:t>
      </w:r>
      <w:r w:rsidR="00863C5C" w:rsidRPr="001E10D2">
        <w:t>,</w:t>
      </w:r>
      <w:r w:rsidR="00A61B27" w:rsidRPr="001E10D2">
        <w:rPr>
          <w:rStyle w:val="Odkaznapoznmkupodiarou"/>
        </w:rPr>
        <w:footnoteReference w:id="1"/>
      </w:r>
      <w:r w:rsidR="00B31B38" w:rsidRPr="001E10D2">
        <w:t>)</w:t>
      </w:r>
      <w:r w:rsidR="00A61B27" w:rsidRPr="001E10D2">
        <w:t xml:space="preserve"> </w:t>
      </w:r>
      <w:r w:rsidR="00252CB3" w:rsidRPr="001E10D2">
        <w:t>(ďalej len „prevádzkovateľ</w:t>
      </w:r>
      <w:r w:rsidR="005D1ADD" w:rsidRPr="001E10D2">
        <w:t xml:space="preserve"> zdroja</w:t>
      </w:r>
      <w:r w:rsidR="00252CB3" w:rsidRPr="001E10D2">
        <w:t>“</w:t>
      </w:r>
      <w:r w:rsidR="00863C5C" w:rsidRPr="001E10D2">
        <w:t>)</w:t>
      </w:r>
      <w:r w:rsidR="00D4342F" w:rsidRPr="001E10D2">
        <w:t xml:space="preserve"> </w:t>
      </w:r>
      <w:r w:rsidR="00365F49" w:rsidRPr="001E10D2">
        <w:t xml:space="preserve">za </w:t>
      </w:r>
      <w:r w:rsidR="00355535" w:rsidRPr="001E10D2">
        <w:t>vypúšťanie znečisťujúcich látok uvedených v prílohe č. 1 do ovzdušia (ďalej len „emisie“)</w:t>
      </w:r>
      <w:r w:rsidR="00365F49" w:rsidRPr="001E10D2">
        <w:t xml:space="preserve"> z</w:t>
      </w:r>
    </w:p>
    <w:p w:rsidR="00365F49" w:rsidRPr="001E10D2" w:rsidRDefault="00365F49" w:rsidP="004712A3">
      <w:pPr>
        <w:pStyle w:val="Zarkazkladnhotextu"/>
        <w:numPr>
          <w:ilvl w:val="0"/>
          <w:numId w:val="43"/>
        </w:numPr>
        <w:tabs>
          <w:tab w:val="left" w:pos="284"/>
        </w:tabs>
        <w:ind w:left="284" w:hanging="284"/>
      </w:pPr>
      <w:r w:rsidRPr="001E10D2">
        <w:t>veľkého zdroja</w:t>
      </w:r>
      <w:r w:rsidRPr="001E10D2">
        <w:rPr>
          <w:vertAlign w:val="superscript"/>
        </w:rPr>
        <w:footnoteReference w:id="2"/>
      </w:r>
      <w:r w:rsidR="006D64E8" w:rsidRPr="001E10D2">
        <w:t>) a</w:t>
      </w:r>
      <w:r w:rsidR="00355535" w:rsidRPr="001E10D2">
        <w:t>lebo</w:t>
      </w:r>
      <w:r w:rsidR="006D64E8" w:rsidRPr="001E10D2">
        <w:t xml:space="preserve"> s</w:t>
      </w:r>
      <w:r w:rsidRPr="001E10D2">
        <w:t>tredného zdroja,</w:t>
      </w:r>
      <w:r w:rsidRPr="001E10D2">
        <w:rPr>
          <w:vertAlign w:val="superscript"/>
        </w:rPr>
        <w:footnoteReference w:id="3"/>
      </w:r>
      <w:r w:rsidRPr="001E10D2">
        <w:t xml:space="preserve">) </w:t>
      </w:r>
    </w:p>
    <w:p w:rsidR="00365F49" w:rsidRPr="001E10D2" w:rsidRDefault="00365F49" w:rsidP="00365F49">
      <w:pPr>
        <w:pStyle w:val="Zarkazkladnhotextu"/>
        <w:numPr>
          <w:ilvl w:val="0"/>
          <w:numId w:val="43"/>
        </w:numPr>
        <w:ind w:left="284" w:hanging="284"/>
      </w:pPr>
      <w:r w:rsidRPr="001E10D2">
        <w:t>malého zdroja</w:t>
      </w:r>
      <w:r w:rsidR="006D64E8" w:rsidRPr="001E10D2">
        <w:t>,</w:t>
      </w:r>
      <w:r w:rsidRPr="001E10D2">
        <w:rPr>
          <w:vertAlign w:val="superscript"/>
        </w:rPr>
        <w:footnoteReference w:id="4"/>
      </w:r>
      <w:r w:rsidRPr="001E10D2">
        <w:t>)</w:t>
      </w:r>
      <w:r w:rsidR="00355535" w:rsidRPr="001E10D2">
        <w:t xml:space="preserve"> za podmienok ustanovených v § 3,</w:t>
      </w:r>
      <w:r w:rsidRPr="001E10D2">
        <w:t> </w:t>
      </w:r>
      <w:r w:rsidRPr="001E10D2">
        <w:rPr>
          <w:bCs/>
        </w:rPr>
        <w:t>ak to ustanoví obec vo všeobecne záväznom nariadení</w:t>
      </w:r>
      <w:r w:rsidRPr="001E10D2">
        <w:t>.</w:t>
      </w:r>
    </w:p>
    <w:p w:rsidR="00365F49" w:rsidRPr="001E10D2" w:rsidRDefault="00365F49" w:rsidP="00276C61">
      <w:pPr>
        <w:pStyle w:val="Zarkazkladnhotextu"/>
        <w:ind w:left="0" w:firstLine="0"/>
        <w:rPr>
          <w:bCs/>
        </w:rPr>
      </w:pPr>
    </w:p>
    <w:p w:rsidR="006A7CE5" w:rsidRPr="001E10D2" w:rsidRDefault="00343B70" w:rsidP="000D133F">
      <w:pPr>
        <w:spacing w:after="120"/>
        <w:jc w:val="center"/>
        <w:rPr>
          <w:b/>
        </w:rPr>
      </w:pPr>
      <w:r w:rsidRPr="001E10D2">
        <w:rPr>
          <w:b/>
        </w:rPr>
        <w:t>§ 2</w:t>
      </w:r>
      <w:r w:rsidR="00BD0A42" w:rsidRPr="001E10D2">
        <w:rPr>
          <w:b/>
        </w:rPr>
        <w:tab/>
      </w:r>
    </w:p>
    <w:p w:rsidR="00AD7ACB" w:rsidRPr="001E10D2" w:rsidRDefault="00AD7ACB" w:rsidP="001121F0">
      <w:pPr>
        <w:jc w:val="center"/>
        <w:rPr>
          <w:b/>
        </w:rPr>
      </w:pPr>
      <w:r w:rsidRPr="001E10D2">
        <w:rPr>
          <w:b/>
        </w:rPr>
        <w:t xml:space="preserve">Poplatok za </w:t>
      </w:r>
      <w:r w:rsidR="00D4342F" w:rsidRPr="001E10D2">
        <w:rPr>
          <w:b/>
        </w:rPr>
        <w:t>emisie z veľkého</w:t>
      </w:r>
      <w:r w:rsidRPr="001E10D2">
        <w:rPr>
          <w:b/>
        </w:rPr>
        <w:t xml:space="preserve"> zdroj</w:t>
      </w:r>
      <w:r w:rsidR="00D4342F" w:rsidRPr="001E10D2">
        <w:rPr>
          <w:b/>
        </w:rPr>
        <w:t>a a</w:t>
      </w:r>
      <w:r w:rsidR="00A91285" w:rsidRPr="001E10D2">
        <w:rPr>
          <w:b/>
        </w:rPr>
        <w:t>lebo</w:t>
      </w:r>
      <w:r w:rsidR="00D4342F" w:rsidRPr="001E10D2">
        <w:rPr>
          <w:b/>
        </w:rPr>
        <w:t> stredného</w:t>
      </w:r>
      <w:r w:rsidRPr="001E10D2">
        <w:rPr>
          <w:b/>
        </w:rPr>
        <w:t xml:space="preserve"> zdroj</w:t>
      </w:r>
      <w:r w:rsidR="00D4342F" w:rsidRPr="001E10D2">
        <w:rPr>
          <w:b/>
        </w:rPr>
        <w:t>a</w:t>
      </w:r>
      <w:r w:rsidRPr="001E10D2">
        <w:rPr>
          <w:b/>
        </w:rPr>
        <w:t xml:space="preserve"> a jeho výpočet</w:t>
      </w:r>
    </w:p>
    <w:p w:rsidR="006A7CE5" w:rsidRPr="001E10D2" w:rsidRDefault="006A7CE5"/>
    <w:p w:rsidR="0038082A" w:rsidRPr="001E10D2" w:rsidRDefault="00635650" w:rsidP="0038082A">
      <w:pPr>
        <w:pStyle w:val="Zarkazkladnhotextu"/>
        <w:numPr>
          <w:ilvl w:val="0"/>
          <w:numId w:val="37"/>
        </w:numPr>
        <w:ind w:left="0" w:firstLine="851"/>
      </w:pPr>
      <w:r w:rsidRPr="001E10D2">
        <w:t>Základom poplatku</w:t>
      </w:r>
      <w:r w:rsidR="0075232F" w:rsidRPr="001E10D2">
        <w:t xml:space="preserve"> za</w:t>
      </w:r>
      <w:r w:rsidR="009341B2" w:rsidRPr="001E10D2">
        <w:t xml:space="preserve"> emisie z veľkého</w:t>
      </w:r>
      <w:r w:rsidR="0075232F" w:rsidRPr="001E10D2">
        <w:t xml:space="preserve"> zdroj</w:t>
      </w:r>
      <w:r w:rsidR="009341B2" w:rsidRPr="001E10D2">
        <w:t>a a</w:t>
      </w:r>
      <w:r w:rsidR="00BB46C3" w:rsidRPr="001E10D2">
        <w:t>lebo</w:t>
      </w:r>
      <w:r w:rsidR="009341B2" w:rsidRPr="001E10D2">
        <w:t> stredného</w:t>
      </w:r>
      <w:r w:rsidR="0075232F" w:rsidRPr="001E10D2">
        <w:t xml:space="preserve"> zdroj</w:t>
      </w:r>
      <w:r w:rsidR="009341B2" w:rsidRPr="001E10D2">
        <w:t>a</w:t>
      </w:r>
      <w:r w:rsidR="0075232F" w:rsidRPr="001E10D2">
        <w:t xml:space="preserve"> </w:t>
      </w:r>
      <w:r w:rsidRPr="001E10D2">
        <w:t xml:space="preserve">je množstvo </w:t>
      </w:r>
      <w:r w:rsidR="00BB46C3" w:rsidRPr="001E10D2">
        <w:t xml:space="preserve">emisií </w:t>
      </w:r>
      <w:r w:rsidR="00B25539" w:rsidRPr="001E10D2">
        <w:t xml:space="preserve">vypustených </w:t>
      </w:r>
      <w:r w:rsidR="008F23AC" w:rsidRPr="001E10D2">
        <w:t>za obdobie</w:t>
      </w:r>
    </w:p>
    <w:p w:rsidR="0038082A" w:rsidRPr="001E10D2" w:rsidRDefault="0038082A" w:rsidP="0038082A">
      <w:pPr>
        <w:pStyle w:val="Zarkazkladnhotextu"/>
        <w:numPr>
          <w:ilvl w:val="0"/>
          <w:numId w:val="45"/>
        </w:numPr>
        <w:ind w:left="284" w:hanging="284"/>
      </w:pPr>
      <w:r w:rsidRPr="001E10D2">
        <w:t>predchádzajúc</w:t>
      </w:r>
      <w:r w:rsidR="00545E55" w:rsidRPr="001E10D2">
        <w:t>eho</w:t>
      </w:r>
      <w:r w:rsidRPr="001E10D2">
        <w:t xml:space="preserve"> kalendárn</w:t>
      </w:r>
      <w:r w:rsidR="00545E55" w:rsidRPr="001E10D2">
        <w:t>eho roka,</w:t>
      </w:r>
      <w:r w:rsidRPr="001E10D2">
        <w:t xml:space="preserve"> </w:t>
      </w:r>
    </w:p>
    <w:p w:rsidR="0038082A" w:rsidRPr="001E10D2" w:rsidRDefault="0038082A" w:rsidP="0038082A">
      <w:pPr>
        <w:pStyle w:val="Zarkazkladnhotextu"/>
        <w:numPr>
          <w:ilvl w:val="0"/>
          <w:numId w:val="45"/>
        </w:numPr>
        <w:ind w:left="284" w:hanging="284"/>
      </w:pPr>
      <w:r w:rsidRPr="001E10D2">
        <w:t xml:space="preserve">prevádzky zdroja v príslušnom roku, do dátumu, ku ktorému došlo k zmene prevádzkovateľa zdroja </w:t>
      </w:r>
      <w:r w:rsidR="00605311" w:rsidRPr="001E10D2">
        <w:t xml:space="preserve">podľa § 1 písm. a) </w:t>
      </w:r>
      <w:r w:rsidRPr="001E10D2">
        <w:t xml:space="preserve">alebo k zániku </w:t>
      </w:r>
      <w:r w:rsidR="00786727" w:rsidRPr="001E10D2">
        <w:t xml:space="preserve">veľkého </w:t>
      </w:r>
      <w:r w:rsidRPr="001E10D2">
        <w:t>zdroja</w:t>
      </w:r>
      <w:r w:rsidR="00786727" w:rsidRPr="001E10D2">
        <w:t xml:space="preserve"> alebo stredného zdroja</w:t>
      </w:r>
      <w:r w:rsidRPr="001E10D2">
        <w:t xml:space="preserve">. </w:t>
      </w:r>
    </w:p>
    <w:p w:rsidR="0038082A" w:rsidRPr="001E10D2" w:rsidRDefault="0038082A" w:rsidP="0038082A">
      <w:pPr>
        <w:pStyle w:val="Zarkazkladnhotextu"/>
        <w:ind w:firstLine="0"/>
      </w:pPr>
    </w:p>
    <w:p w:rsidR="003F24D5" w:rsidRPr="001E10D2" w:rsidRDefault="009B0190" w:rsidP="0038082A">
      <w:pPr>
        <w:pStyle w:val="Zarkazkladnhotextu"/>
        <w:numPr>
          <w:ilvl w:val="0"/>
          <w:numId w:val="37"/>
        </w:numPr>
        <w:tabs>
          <w:tab w:val="left" w:pos="1276"/>
        </w:tabs>
        <w:ind w:left="0" w:firstLine="851"/>
      </w:pPr>
      <w:r w:rsidRPr="001E10D2">
        <w:t>Poplatok</w:t>
      </w:r>
      <w:r w:rsidR="00BF35A2" w:rsidRPr="001E10D2">
        <w:t xml:space="preserve"> za</w:t>
      </w:r>
      <w:r w:rsidR="00293D08" w:rsidRPr="001E10D2">
        <w:t xml:space="preserve"> </w:t>
      </w:r>
      <w:r w:rsidR="009341B2" w:rsidRPr="001E10D2">
        <w:t xml:space="preserve">emisie z </w:t>
      </w:r>
      <w:r w:rsidR="00293D08" w:rsidRPr="001E10D2">
        <w:t>veľk</w:t>
      </w:r>
      <w:r w:rsidR="009341B2" w:rsidRPr="001E10D2">
        <w:t>ého</w:t>
      </w:r>
      <w:r w:rsidR="00BF35A2" w:rsidRPr="001E10D2">
        <w:t xml:space="preserve"> zdroj</w:t>
      </w:r>
      <w:r w:rsidR="009341B2" w:rsidRPr="001E10D2">
        <w:t>a</w:t>
      </w:r>
      <w:r w:rsidRPr="001E10D2">
        <w:t xml:space="preserve"> </w:t>
      </w:r>
      <w:r w:rsidR="00252CB3" w:rsidRPr="001E10D2">
        <w:t>a</w:t>
      </w:r>
      <w:r w:rsidR="00BB46C3" w:rsidRPr="001E10D2">
        <w:t>lebo</w:t>
      </w:r>
      <w:r w:rsidR="00293D08" w:rsidRPr="001E10D2">
        <w:t> stredn</w:t>
      </w:r>
      <w:r w:rsidR="009341B2" w:rsidRPr="001E10D2">
        <w:t>ého</w:t>
      </w:r>
      <w:r w:rsidR="00293D08" w:rsidRPr="001E10D2">
        <w:t xml:space="preserve"> zdroj</w:t>
      </w:r>
      <w:r w:rsidR="009341B2" w:rsidRPr="001E10D2">
        <w:t>a</w:t>
      </w:r>
      <w:r w:rsidR="00293D08" w:rsidRPr="001E10D2">
        <w:t xml:space="preserve"> </w:t>
      </w:r>
      <w:r w:rsidRPr="001E10D2">
        <w:t xml:space="preserve">sa </w:t>
      </w:r>
      <w:r w:rsidR="00C34E6C" w:rsidRPr="001E10D2">
        <w:t>vypočíta</w:t>
      </w:r>
      <w:r w:rsidR="00293D08" w:rsidRPr="001E10D2">
        <w:t xml:space="preserve"> </w:t>
      </w:r>
      <w:r w:rsidR="00A80B98" w:rsidRPr="001E10D2">
        <w:t>na zák</w:t>
      </w:r>
      <w:r w:rsidR="006B4C59" w:rsidRPr="001E10D2">
        <w:t xml:space="preserve">lade údajov oznámených podľa § </w:t>
      </w:r>
      <w:r w:rsidR="00767112" w:rsidRPr="001E10D2">
        <w:t>4</w:t>
      </w:r>
      <w:r w:rsidR="00BA72A9" w:rsidRPr="001E10D2">
        <w:t xml:space="preserve"> ods. 1 až 4</w:t>
      </w:r>
      <w:r w:rsidR="00605311" w:rsidRPr="001E10D2">
        <w:t xml:space="preserve"> a </w:t>
      </w:r>
      <w:r w:rsidR="007C3380" w:rsidRPr="001E10D2">
        <w:t>podľa vzorca</w:t>
      </w:r>
      <w:r w:rsidR="006A7CE5" w:rsidRPr="001E10D2">
        <w:t xml:space="preserve"> </w:t>
      </w:r>
      <w:r w:rsidR="007C3380" w:rsidRPr="001E10D2">
        <w:t>uvedeného</w:t>
      </w:r>
      <w:r w:rsidR="00BF35A2" w:rsidRPr="001E10D2">
        <w:t xml:space="preserve"> v</w:t>
      </w:r>
      <w:r w:rsidR="00CC4F3F" w:rsidRPr="001E10D2">
        <w:t xml:space="preserve"> prílohe</w:t>
      </w:r>
      <w:r w:rsidR="00BF35A2" w:rsidRPr="001E10D2">
        <w:t xml:space="preserve"> č. </w:t>
      </w:r>
      <w:r w:rsidR="007C3380" w:rsidRPr="001E10D2">
        <w:t>2</w:t>
      </w:r>
      <w:r w:rsidR="00BF35A2" w:rsidRPr="001E10D2">
        <w:t xml:space="preserve">, </w:t>
      </w:r>
      <w:r w:rsidR="00F25D35" w:rsidRPr="001E10D2">
        <w:t xml:space="preserve">pričom </w:t>
      </w:r>
    </w:p>
    <w:p w:rsidR="00462F00" w:rsidRPr="001E10D2" w:rsidRDefault="00D87988" w:rsidP="003E69D2">
      <w:pPr>
        <w:pStyle w:val="Zarkazkladnhotextu"/>
        <w:numPr>
          <w:ilvl w:val="0"/>
          <w:numId w:val="11"/>
        </w:numPr>
        <w:ind w:left="284" w:hanging="284"/>
      </w:pPr>
      <w:r w:rsidRPr="001E10D2">
        <w:t>základné poplatky</w:t>
      </w:r>
      <w:r w:rsidR="00A70B7E" w:rsidRPr="001E10D2">
        <w:t xml:space="preserve"> </w:t>
      </w:r>
      <w:r w:rsidR="004E5E9D" w:rsidRPr="001E10D2">
        <w:t>za</w:t>
      </w:r>
      <w:r w:rsidR="009341B2" w:rsidRPr="001E10D2">
        <w:t xml:space="preserve"> </w:t>
      </w:r>
      <w:r w:rsidR="00186AA6" w:rsidRPr="001E10D2">
        <w:t xml:space="preserve">emisie </w:t>
      </w:r>
      <w:r w:rsidRPr="001E10D2">
        <w:t>sú uvedené</w:t>
      </w:r>
      <w:r w:rsidR="00A70B7E" w:rsidRPr="001E10D2">
        <w:t xml:space="preserve"> </w:t>
      </w:r>
      <w:r w:rsidR="00111902" w:rsidRPr="001E10D2">
        <w:t xml:space="preserve">v </w:t>
      </w:r>
      <w:r w:rsidR="00276C61" w:rsidRPr="001E10D2">
        <w:t xml:space="preserve">prílohe č. 2 </w:t>
      </w:r>
      <w:r w:rsidR="00A70B7E" w:rsidRPr="001E10D2">
        <w:t>tabuľk</w:t>
      </w:r>
      <w:r w:rsidR="00C931A4" w:rsidRPr="001E10D2">
        <w:t>e</w:t>
      </w:r>
      <w:r w:rsidR="00A70B7E" w:rsidRPr="001E10D2">
        <w:t xml:space="preserve"> č. 1, </w:t>
      </w:r>
    </w:p>
    <w:p w:rsidR="00462F00" w:rsidRPr="001E10D2" w:rsidRDefault="00462F00" w:rsidP="00D52586">
      <w:pPr>
        <w:pStyle w:val="Zarkazkladnhotextu"/>
      </w:pPr>
      <w:r w:rsidRPr="001E10D2">
        <w:lastRenderedPageBreak/>
        <w:t xml:space="preserve">b) </w:t>
      </w:r>
      <w:r w:rsidR="00A70B7E" w:rsidRPr="001E10D2">
        <w:t xml:space="preserve">kompenzačný koeficient </w:t>
      </w:r>
      <w:r w:rsidR="00050382" w:rsidRPr="001E10D2">
        <w:t>uvedený v</w:t>
      </w:r>
      <w:r w:rsidR="008525AE" w:rsidRPr="001E10D2">
        <w:t> </w:t>
      </w:r>
      <w:r w:rsidR="00276C61" w:rsidRPr="001E10D2">
        <w:t xml:space="preserve">prílohe č. 2 </w:t>
      </w:r>
      <w:r w:rsidR="00050382" w:rsidRPr="001E10D2">
        <w:t>tabuľke</w:t>
      </w:r>
      <w:r w:rsidR="008525AE" w:rsidRPr="001E10D2">
        <w:t xml:space="preserve"> č.</w:t>
      </w:r>
      <w:r w:rsidR="00050382" w:rsidRPr="001E10D2">
        <w:t xml:space="preserve"> 2 </w:t>
      </w:r>
      <w:r w:rsidR="00C931A4" w:rsidRPr="001E10D2">
        <w:t xml:space="preserve">sa </w:t>
      </w:r>
      <w:r w:rsidR="00050382" w:rsidRPr="001E10D2">
        <w:t xml:space="preserve">uplatňuje </w:t>
      </w:r>
      <w:r w:rsidR="00A70B7E" w:rsidRPr="001E10D2">
        <w:t>podľa roku vypustenia</w:t>
      </w:r>
      <w:r w:rsidR="008C0745" w:rsidRPr="001E10D2">
        <w:t xml:space="preserve"> </w:t>
      </w:r>
      <w:r w:rsidR="00276C61" w:rsidRPr="001E10D2">
        <w:t>emisií</w:t>
      </w:r>
      <w:r w:rsidR="00D035A0" w:rsidRPr="001E10D2">
        <w:t>;</w:t>
      </w:r>
      <w:r w:rsidRPr="001E10D2">
        <w:t xml:space="preserve"> od roku </w:t>
      </w:r>
      <w:r w:rsidR="00CA30DC" w:rsidRPr="001E10D2">
        <w:t>2031</w:t>
      </w:r>
      <w:r w:rsidRPr="001E10D2">
        <w:t xml:space="preserve"> kom</w:t>
      </w:r>
      <w:r w:rsidR="00A93F1C" w:rsidRPr="001E10D2">
        <w:t xml:space="preserve">penzačný koeficient zahŕňa aj </w:t>
      </w:r>
      <w:r w:rsidR="007C3380" w:rsidRPr="001E10D2">
        <w:t xml:space="preserve">priemernú </w:t>
      </w:r>
      <w:r w:rsidR="00D52586" w:rsidRPr="001E10D2">
        <w:t xml:space="preserve">mieru inflácie </w:t>
      </w:r>
      <w:r w:rsidR="004A265E" w:rsidRPr="001E10D2">
        <w:t>potvrdenú Š</w:t>
      </w:r>
      <w:r w:rsidR="007C3380" w:rsidRPr="001E10D2">
        <w:t>tatistickým úradom</w:t>
      </w:r>
      <w:r w:rsidR="004A265E" w:rsidRPr="001E10D2">
        <w:t xml:space="preserve"> Slovenskej republiky</w:t>
      </w:r>
      <w:r w:rsidR="007C3380" w:rsidRPr="001E10D2">
        <w:t xml:space="preserve"> </w:t>
      </w:r>
      <w:r w:rsidR="00D52586" w:rsidRPr="001E10D2">
        <w:t>od roku</w:t>
      </w:r>
      <w:r w:rsidRPr="001E10D2">
        <w:t xml:space="preserve"> </w:t>
      </w:r>
      <w:r w:rsidR="00CA30DC" w:rsidRPr="001E10D2">
        <w:t>2030</w:t>
      </w:r>
      <w:r w:rsidRPr="001E10D2">
        <w:t xml:space="preserve">, </w:t>
      </w:r>
    </w:p>
    <w:p w:rsidR="00462F00" w:rsidRPr="001E10D2" w:rsidRDefault="00462F00" w:rsidP="00D52586">
      <w:pPr>
        <w:pStyle w:val="Zarkazkladnhotextu"/>
        <w:rPr>
          <w:rFonts w:ascii="&amp;quot" w:hAnsi="&amp;quot"/>
          <w:sz w:val="21"/>
          <w:szCs w:val="21"/>
        </w:rPr>
      </w:pPr>
      <w:r w:rsidRPr="001E10D2">
        <w:t xml:space="preserve">c) poplatok za </w:t>
      </w:r>
      <w:r w:rsidR="009341B2" w:rsidRPr="001E10D2">
        <w:t xml:space="preserve">emisie </w:t>
      </w:r>
      <w:r w:rsidRPr="001E10D2">
        <w:t xml:space="preserve">oxidu uhoľnatého sa </w:t>
      </w:r>
      <w:r w:rsidR="007C3380" w:rsidRPr="001E10D2">
        <w:t>vy</w:t>
      </w:r>
      <w:r w:rsidRPr="001E10D2">
        <w:t>počíta</w:t>
      </w:r>
      <w:r w:rsidR="00B25539" w:rsidRPr="001E10D2">
        <w:t xml:space="preserve"> len z veľkého zdroja a</w:t>
      </w:r>
      <w:r w:rsidR="00BB46C3" w:rsidRPr="001E10D2">
        <w:t>lebo</w:t>
      </w:r>
      <w:r w:rsidR="00B25539" w:rsidRPr="001E10D2">
        <w:t> stredného zdroja</w:t>
      </w:r>
    </w:p>
    <w:p w:rsidR="00462F00" w:rsidRPr="001E10D2" w:rsidRDefault="00462F00" w:rsidP="00462F00">
      <w:pPr>
        <w:pStyle w:val="Zarkazkladnhotextu"/>
        <w:numPr>
          <w:ilvl w:val="0"/>
          <w:numId w:val="17"/>
        </w:numPr>
        <w:rPr>
          <w:rFonts w:ascii="&amp;quot" w:hAnsi="&amp;quot"/>
          <w:sz w:val="21"/>
          <w:szCs w:val="21"/>
        </w:rPr>
      </w:pPr>
      <w:r w:rsidRPr="001E10D2">
        <w:t>nezaraden</w:t>
      </w:r>
      <w:r w:rsidR="00B25539" w:rsidRPr="001E10D2">
        <w:t xml:space="preserve">ého </w:t>
      </w:r>
      <w:r w:rsidRPr="001E10D2">
        <w:t>do systému obchodovania s emisnými kvótami</w:t>
      </w:r>
      <w:r w:rsidRPr="001E10D2">
        <w:rPr>
          <w:rStyle w:val="Odkaznapoznmkupodiarou"/>
        </w:rPr>
        <w:footnoteReference w:id="5"/>
      </w:r>
      <w:r w:rsidR="00B31B38" w:rsidRPr="001E10D2">
        <w:t>)</w:t>
      </w:r>
      <w:r w:rsidRPr="001E10D2">
        <w:t xml:space="preserve"> a </w:t>
      </w:r>
    </w:p>
    <w:p w:rsidR="00462F00" w:rsidRPr="001E10D2" w:rsidRDefault="00B25539" w:rsidP="00462F00">
      <w:pPr>
        <w:pStyle w:val="Zarkazkladnhotextu"/>
        <w:numPr>
          <w:ilvl w:val="0"/>
          <w:numId w:val="17"/>
        </w:numPr>
        <w:rPr>
          <w:rFonts w:ascii="&amp;quot" w:hAnsi="&amp;quot"/>
          <w:sz w:val="21"/>
          <w:szCs w:val="21"/>
        </w:rPr>
      </w:pPr>
      <w:r w:rsidRPr="001E10D2">
        <w:t>zaradeného</w:t>
      </w:r>
      <w:r w:rsidR="00462F00" w:rsidRPr="001E10D2">
        <w:t xml:space="preserve"> do systému obchodovania s emisnými kvótami, ak ide o emisie zo spaľovania biomasy a bioplynu, </w:t>
      </w:r>
    </w:p>
    <w:p w:rsidR="00F25D35" w:rsidRPr="001E10D2" w:rsidRDefault="007238A0" w:rsidP="00D52586">
      <w:pPr>
        <w:pStyle w:val="Zarkazkladnhotextu"/>
      </w:pPr>
      <w:r w:rsidRPr="001E10D2">
        <w:t xml:space="preserve">d) </w:t>
      </w:r>
      <w:r w:rsidR="00C55240" w:rsidRPr="001E10D2">
        <w:t xml:space="preserve">pri výpočte poplatku </w:t>
      </w:r>
      <w:r w:rsidR="00605311" w:rsidRPr="001E10D2">
        <w:t xml:space="preserve">za </w:t>
      </w:r>
      <w:r w:rsidR="00415620" w:rsidRPr="001E10D2">
        <w:t>emisiu</w:t>
      </w:r>
      <w:r w:rsidR="00C55240" w:rsidRPr="001E10D2">
        <w:t xml:space="preserve">, </w:t>
      </w:r>
      <w:r w:rsidR="00415620" w:rsidRPr="001E10D2">
        <w:t>pre ktorú</w:t>
      </w:r>
      <w:r w:rsidR="00C55240" w:rsidRPr="001E10D2">
        <w:t xml:space="preserve"> sú</w:t>
      </w:r>
      <w:r w:rsidR="00C931A4" w:rsidRPr="001E10D2">
        <w:t xml:space="preserve"> </w:t>
      </w:r>
      <w:r w:rsidR="00BF35A2" w:rsidRPr="001E10D2">
        <w:t>určené odchylné hodnoty z emisných limitov</w:t>
      </w:r>
      <w:r w:rsidR="0001204E" w:rsidRPr="001E10D2">
        <w:t xml:space="preserve"> a ide o zdroj, ktorý je súčasťou prevádzky</w:t>
      </w:r>
      <w:r w:rsidR="00BF35A2" w:rsidRPr="001E10D2">
        <w:t xml:space="preserve"> podľa osobitného predpisu</w:t>
      </w:r>
      <w:r w:rsidR="003F399C" w:rsidRPr="001E10D2">
        <w:t>,</w:t>
      </w:r>
      <w:r w:rsidR="00BF35A2" w:rsidRPr="001E10D2">
        <w:rPr>
          <w:rStyle w:val="Odkaznapoznmkupodiarou"/>
        </w:rPr>
        <w:footnoteReference w:id="6"/>
      </w:r>
      <w:r w:rsidR="00B31B38" w:rsidRPr="001E10D2">
        <w:t xml:space="preserve">) </w:t>
      </w:r>
      <w:r w:rsidR="00BF35A2" w:rsidRPr="001E10D2">
        <w:t>sa</w:t>
      </w:r>
      <w:r w:rsidR="00441DFA" w:rsidRPr="001E10D2">
        <w:t> </w:t>
      </w:r>
      <w:r w:rsidR="00BF35A2" w:rsidRPr="001E10D2">
        <w:t>použije aj koeficient odchylnej hodnoty K</w:t>
      </w:r>
      <w:r w:rsidR="00BF35A2" w:rsidRPr="001E10D2">
        <w:rPr>
          <w:vertAlign w:val="subscript"/>
        </w:rPr>
        <w:t>OH</w:t>
      </w:r>
      <w:r w:rsidR="00A70B7E" w:rsidRPr="001E10D2">
        <w:t> = 3,</w:t>
      </w:r>
    </w:p>
    <w:p w:rsidR="009A40B0" w:rsidRPr="001E10D2" w:rsidRDefault="007238A0" w:rsidP="00D52586">
      <w:pPr>
        <w:pStyle w:val="Zarkazkladnhotextu"/>
      </w:pPr>
      <w:r w:rsidRPr="001E10D2">
        <w:t xml:space="preserve">e) </w:t>
      </w:r>
      <w:r w:rsidR="009A40B0" w:rsidRPr="001E10D2">
        <w:t>poplatková povinnosť</w:t>
      </w:r>
      <w:r w:rsidR="004A265E" w:rsidRPr="001E10D2">
        <w:t xml:space="preserve"> </w:t>
      </w:r>
      <w:r w:rsidR="008C0745" w:rsidRPr="001E10D2">
        <w:t>podľa § 1</w:t>
      </w:r>
      <w:r w:rsidR="004E54A1" w:rsidRPr="001E10D2">
        <w:t xml:space="preserve"> sa uplatňuje aj počas</w:t>
      </w:r>
      <w:r w:rsidR="009A40B0" w:rsidRPr="001E10D2">
        <w:t xml:space="preserve"> skúšobnej prevádzky zdroja, </w:t>
      </w:r>
    </w:p>
    <w:p w:rsidR="006A7CE5" w:rsidRPr="001E10D2" w:rsidRDefault="007238A0" w:rsidP="00D52586">
      <w:pPr>
        <w:pStyle w:val="Zarkazkladnhotextu"/>
      </w:pPr>
      <w:r w:rsidRPr="001E10D2">
        <w:t xml:space="preserve">f) </w:t>
      </w:r>
      <w:r w:rsidR="006A7CE5" w:rsidRPr="001E10D2">
        <w:t>poplatok</w:t>
      </w:r>
      <w:r w:rsidR="00BF35A2" w:rsidRPr="001E10D2">
        <w:t xml:space="preserve"> </w:t>
      </w:r>
      <w:r w:rsidR="008C0745" w:rsidRPr="001E10D2">
        <w:t xml:space="preserve">za emisie </w:t>
      </w:r>
      <w:r w:rsidR="006A7CE5" w:rsidRPr="001E10D2">
        <w:t>sa zaokrúhľuje na</w:t>
      </w:r>
      <w:r w:rsidR="00601CAD" w:rsidRPr="001E10D2">
        <w:t xml:space="preserve"> celé euro</w:t>
      </w:r>
      <w:r w:rsidR="006A7CE5" w:rsidRPr="001E10D2">
        <w:t xml:space="preserve"> smerom nadol.</w:t>
      </w:r>
    </w:p>
    <w:p w:rsidR="0063795A" w:rsidRPr="001E10D2" w:rsidRDefault="0063795A" w:rsidP="0063795A">
      <w:pPr>
        <w:pStyle w:val="Zarkazkladnhotextu"/>
        <w:ind w:left="0" w:firstLine="0"/>
      </w:pPr>
    </w:p>
    <w:p w:rsidR="006A7CE5" w:rsidRPr="001E10D2" w:rsidRDefault="006A7CE5" w:rsidP="0038082A">
      <w:pPr>
        <w:pStyle w:val="Zarkazkladnhotextu"/>
        <w:numPr>
          <w:ilvl w:val="0"/>
          <w:numId w:val="37"/>
        </w:numPr>
        <w:tabs>
          <w:tab w:val="left" w:pos="1276"/>
        </w:tabs>
        <w:ind w:left="0" w:firstLine="851"/>
      </w:pPr>
      <w:r w:rsidRPr="001E10D2">
        <w:t xml:space="preserve">Ročný poplatok </w:t>
      </w:r>
      <w:r w:rsidR="00F30FA3" w:rsidRPr="001E10D2">
        <w:t xml:space="preserve">za emisie </w:t>
      </w:r>
      <w:r w:rsidRPr="001E10D2">
        <w:t>pozostáva zo súčtu poplatkov</w:t>
      </w:r>
      <w:r w:rsidR="00F30FA3" w:rsidRPr="001E10D2">
        <w:t xml:space="preserve"> za emisie</w:t>
      </w:r>
      <w:r w:rsidR="00B26783" w:rsidRPr="001E10D2">
        <w:t xml:space="preserve"> vypustené</w:t>
      </w:r>
      <w:r w:rsidR="009314B2" w:rsidRPr="001E10D2">
        <w:t xml:space="preserve"> </w:t>
      </w:r>
      <w:r w:rsidR="004002F4" w:rsidRPr="001E10D2">
        <w:t xml:space="preserve">za predchádzajúci kalendárny rok </w:t>
      </w:r>
      <w:r w:rsidRPr="001E10D2">
        <w:t xml:space="preserve">za všetky </w:t>
      </w:r>
      <w:r w:rsidR="004002F4" w:rsidRPr="001E10D2">
        <w:t>veľké zdroje a</w:t>
      </w:r>
      <w:r w:rsidR="00BB46C3" w:rsidRPr="001E10D2">
        <w:t>lebo</w:t>
      </w:r>
      <w:r w:rsidR="004002F4" w:rsidRPr="001E10D2">
        <w:t xml:space="preserve"> stredné zdroje, ktoré </w:t>
      </w:r>
      <w:r w:rsidR="00327D7B" w:rsidRPr="001E10D2">
        <w:t>prevádzkovateľ</w:t>
      </w:r>
      <w:r w:rsidR="004002F4" w:rsidRPr="001E10D2">
        <w:t xml:space="preserve"> </w:t>
      </w:r>
      <w:r w:rsidR="008C0745" w:rsidRPr="001E10D2">
        <w:t xml:space="preserve">zdroja podľa § 1 písm. a) </w:t>
      </w:r>
      <w:r w:rsidR="004002F4" w:rsidRPr="001E10D2">
        <w:t xml:space="preserve">prevádzkuje </w:t>
      </w:r>
      <w:r w:rsidRPr="001E10D2">
        <w:t>v jednom okrese.</w:t>
      </w:r>
    </w:p>
    <w:p w:rsidR="0034244A" w:rsidRPr="001E10D2" w:rsidRDefault="0034244A" w:rsidP="00441DFA">
      <w:pPr>
        <w:pStyle w:val="Zarkazkladnhotextu"/>
        <w:tabs>
          <w:tab w:val="left" w:pos="1276"/>
        </w:tabs>
        <w:ind w:firstLine="851"/>
      </w:pPr>
    </w:p>
    <w:p w:rsidR="00765124" w:rsidRPr="001E10D2" w:rsidRDefault="008C0745" w:rsidP="0038082A">
      <w:pPr>
        <w:pStyle w:val="Zarkazkladnhotextu"/>
        <w:numPr>
          <w:ilvl w:val="0"/>
          <w:numId w:val="37"/>
        </w:numPr>
        <w:tabs>
          <w:tab w:val="left" w:pos="1276"/>
        </w:tabs>
        <w:ind w:left="0" w:firstLine="851"/>
      </w:pPr>
      <w:r w:rsidRPr="001E10D2">
        <w:t>Okresný úrad</w:t>
      </w:r>
      <w:r w:rsidR="00186AA6" w:rsidRPr="001E10D2">
        <w:t>, v územnom obvode ktorého je veľký zdroj alebo stredný zdroj umiestnený,</w:t>
      </w:r>
      <w:r w:rsidRPr="001E10D2">
        <w:t xml:space="preserve"> </w:t>
      </w:r>
      <w:r w:rsidR="00251CA5" w:rsidRPr="001E10D2">
        <w:t>určí</w:t>
      </w:r>
      <w:r w:rsidR="0075232F" w:rsidRPr="001E10D2">
        <w:t xml:space="preserve"> poplatok </w:t>
      </w:r>
      <w:r w:rsidRPr="001E10D2">
        <w:t xml:space="preserve">za emisie </w:t>
      </w:r>
      <w:r w:rsidR="0034244A" w:rsidRPr="001E10D2">
        <w:t xml:space="preserve">rozhodnutím, ako </w:t>
      </w:r>
    </w:p>
    <w:p w:rsidR="00765124" w:rsidRPr="001E10D2" w:rsidRDefault="0034244A" w:rsidP="003E69D2">
      <w:pPr>
        <w:pStyle w:val="Zarkazkladnhotextu"/>
        <w:numPr>
          <w:ilvl w:val="0"/>
          <w:numId w:val="12"/>
        </w:numPr>
        <w:tabs>
          <w:tab w:val="left" w:pos="284"/>
        </w:tabs>
        <w:ind w:left="0" w:firstLine="0"/>
      </w:pPr>
      <w:r w:rsidRPr="001E10D2">
        <w:t xml:space="preserve">ročný poplatok </w:t>
      </w:r>
      <w:r w:rsidR="008C0745" w:rsidRPr="001E10D2">
        <w:t xml:space="preserve">za emisie </w:t>
      </w:r>
      <w:r w:rsidR="00765124" w:rsidRPr="001E10D2">
        <w:t xml:space="preserve">podľa odseku </w:t>
      </w:r>
      <w:r w:rsidR="00AF7147" w:rsidRPr="001E10D2">
        <w:t>3</w:t>
      </w:r>
      <w:r w:rsidR="008621A7" w:rsidRPr="001E10D2">
        <w:t>,</w:t>
      </w:r>
    </w:p>
    <w:p w:rsidR="0038082A" w:rsidRPr="001E10D2" w:rsidRDefault="00765124" w:rsidP="0038082A">
      <w:pPr>
        <w:pStyle w:val="Zarkazkladnhotextu"/>
        <w:numPr>
          <w:ilvl w:val="0"/>
          <w:numId w:val="12"/>
        </w:numPr>
        <w:tabs>
          <w:tab w:val="left" w:pos="284"/>
        </w:tabs>
        <w:ind w:left="0" w:firstLine="0"/>
      </w:pPr>
      <w:r w:rsidRPr="001E10D2">
        <w:t xml:space="preserve">poplatok </w:t>
      </w:r>
      <w:r w:rsidR="008C0745" w:rsidRPr="001E10D2">
        <w:t xml:space="preserve">za emisie </w:t>
      </w:r>
      <w:r w:rsidRPr="001E10D2">
        <w:t xml:space="preserve">za </w:t>
      </w:r>
      <w:r w:rsidR="00327D7B" w:rsidRPr="001E10D2">
        <w:t xml:space="preserve">obdobie prevádzky </w:t>
      </w:r>
      <w:r w:rsidRPr="001E10D2">
        <w:t>zdroj</w:t>
      </w:r>
      <w:r w:rsidR="00327D7B" w:rsidRPr="001E10D2">
        <w:t>a</w:t>
      </w:r>
      <w:r w:rsidRPr="001E10D2">
        <w:t xml:space="preserve"> podľa </w:t>
      </w:r>
      <w:r w:rsidR="00B728F7" w:rsidRPr="001E10D2">
        <w:t>odseku</w:t>
      </w:r>
      <w:r w:rsidRPr="001E10D2">
        <w:t xml:space="preserve"> 1 písm. b)</w:t>
      </w:r>
      <w:r w:rsidR="00327D7B" w:rsidRPr="001E10D2">
        <w:t>.</w:t>
      </w:r>
    </w:p>
    <w:p w:rsidR="0038082A" w:rsidRPr="001E10D2" w:rsidRDefault="0038082A" w:rsidP="0038082A">
      <w:pPr>
        <w:pStyle w:val="Zarkazkladnhotextu"/>
        <w:tabs>
          <w:tab w:val="left" w:pos="284"/>
        </w:tabs>
        <w:ind w:left="0" w:firstLine="0"/>
      </w:pPr>
    </w:p>
    <w:p w:rsidR="00446A00" w:rsidRPr="001E10D2" w:rsidRDefault="00446A00" w:rsidP="000D133F">
      <w:pPr>
        <w:spacing w:after="120"/>
        <w:jc w:val="center"/>
        <w:rPr>
          <w:b/>
        </w:rPr>
      </w:pPr>
    </w:p>
    <w:p w:rsidR="00270ED6" w:rsidRPr="001E10D2" w:rsidRDefault="001121F0" w:rsidP="000D133F">
      <w:pPr>
        <w:spacing w:after="120"/>
        <w:jc w:val="center"/>
      </w:pPr>
      <w:r w:rsidRPr="001E10D2">
        <w:rPr>
          <w:b/>
        </w:rPr>
        <w:t xml:space="preserve">§ </w:t>
      </w:r>
      <w:r w:rsidR="004002F4" w:rsidRPr="001E10D2">
        <w:rPr>
          <w:b/>
        </w:rPr>
        <w:t>3</w:t>
      </w:r>
    </w:p>
    <w:p w:rsidR="00AD7ACB" w:rsidRPr="001E10D2" w:rsidRDefault="00AD7ACB" w:rsidP="00AD7ACB">
      <w:pPr>
        <w:jc w:val="center"/>
        <w:rPr>
          <w:b/>
        </w:rPr>
      </w:pPr>
      <w:r w:rsidRPr="001E10D2">
        <w:rPr>
          <w:b/>
        </w:rPr>
        <w:t xml:space="preserve">Poplatok za </w:t>
      </w:r>
      <w:r w:rsidR="00637B7C" w:rsidRPr="001E10D2">
        <w:rPr>
          <w:b/>
        </w:rPr>
        <w:t>emisie z </w:t>
      </w:r>
      <w:r w:rsidRPr="001E10D2">
        <w:rPr>
          <w:b/>
        </w:rPr>
        <w:t>mal</w:t>
      </w:r>
      <w:r w:rsidR="00637B7C" w:rsidRPr="001E10D2">
        <w:rPr>
          <w:b/>
        </w:rPr>
        <w:t xml:space="preserve">ého </w:t>
      </w:r>
      <w:r w:rsidRPr="001E10D2">
        <w:rPr>
          <w:b/>
        </w:rPr>
        <w:t>zdroj</w:t>
      </w:r>
      <w:r w:rsidR="00637B7C" w:rsidRPr="001E10D2">
        <w:rPr>
          <w:b/>
        </w:rPr>
        <w:t>a</w:t>
      </w:r>
      <w:r w:rsidRPr="001E10D2">
        <w:rPr>
          <w:b/>
        </w:rPr>
        <w:t xml:space="preserve"> a jeho výpočet</w:t>
      </w:r>
    </w:p>
    <w:p w:rsidR="00446A00" w:rsidRPr="001E10D2" w:rsidRDefault="00446A00" w:rsidP="0074023C">
      <w:pPr>
        <w:pStyle w:val="Zarkazkladnhotextu"/>
        <w:ind w:left="0" w:firstLine="851"/>
      </w:pPr>
    </w:p>
    <w:p w:rsidR="00253A73" w:rsidRPr="001E10D2" w:rsidRDefault="003035BC" w:rsidP="00FE786D">
      <w:pPr>
        <w:pStyle w:val="Zarkazkladnhotextu"/>
        <w:numPr>
          <w:ilvl w:val="0"/>
          <w:numId w:val="46"/>
        </w:numPr>
        <w:ind w:left="0" w:firstLine="851"/>
      </w:pPr>
      <w:r w:rsidRPr="001E10D2">
        <w:t>Poplatok za</w:t>
      </w:r>
      <w:r w:rsidR="009341B2" w:rsidRPr="001E10D2">
        <w:t xml:space="preserve"> emisie </w:t>
      </w:r>
      <w:r w:rsidR="00271709" w:rsidRPr="001E10D2">
        <w:t xml:space="preserve">z </w:t>
      </w:r>
      <w:r w:rsidR="009341B2" w:rsidRPr="001E10D2">
        <w:t>malého</w:t>
      </w:r>
      <w:r w:rsidRPr="001E10D2">
        <w:t xml:space="preserve"> zdroj</w:t>
      </w:r>
      <w:r w:rsidR="009341B2" w:rsidRPr="001E10D2">
        <w:t>a</w:t>
      </w:r>
      <w:r w:rsidRPr="001E10D2">
        <w:t xml:space="preserve"> </w:t>
      </w:r>
      <w:r w:rsidR="00786727" w:rsidRPr="001E10D2">
        <w:t>uvedeného</w:t>
      </w:r>
      <w:r w:rsidRPr="001E10D2">
        <w:t xml:space="preserve"> </w:t>
      </w:r>
      <w:r w:rsidR="002706E9" w:rsidRPr="001E10D2">
        <w:rPr>
          <w:bCs/>
        </w:rPr>
        <w:t>v </w:t>
      </w:r>
      <w:r w:rsidR="00B26783" w:rsidRPr="001E10D2">
        <w:rPr>
          <w:bCs/>
        </w:rPr>
        <w:t xml:space="preserve">prílohe č. 3 </w:t>
      </w:r>
      <w:r w:rsidR="007C3380" w:rsidRPr="001E10D2">
        <w:rPr>
          <w:bCs/>
        </w:rPr>
        <w:t xml:space="preserve">časti A. </w:t>
      </w:r>
      <w:r w:rsidR="00271709" w:rsidRPr="001E10D2">
        <w:rPr>
          <w:bCs/>
        </w:rPr>
        <w:t xml:space="preserve">sa </w:t>
      </w:r>
      <w:r w:rsidRPr="001E10D2">
        <w:t xml:space="preserve">platí, ak to </w:t>
      </w:r>
      <w:r w:rsidR="00B26783" w:rsidRPr="001E10D2">
        <w:t xml:space="preserve">všeobecne záväzným nariadením </w:t>
      </w:r>
      <w:r w:rsidR="00AE1714" w:rsidRPr="001E10D2">
        <w:t xml:space="preserve">ustanoví </w:t>
      </w:r>
      <w:r w:rsidRPr="001E10D2">
        <w:t>obec</w:t>
      </w:r>
      <w:r w:rsidR="008621A7" w:rsidRPr="001E10D2">
        <w:t>, na území ktorej</w:t>
      </w:r>
      <w:r w:rsidR="00B26783" w:rsidRPr="001E10D2">
        <w:t xml:space="preserve"> je tento malý zdroj umiestnený</w:t>
      </w:r>
      <w:r w:rsidR="008621A7" w:rsidRPr="001E10D2">
        <w:t xml:space="preserve">. </w:t>
      </w:r>
      <w:r w:rsidR="00253A73" w:rsidRPr="001E10D2">
        <w:t xml:space="preserve"> </w:t>
      </w:r>
    </w:p>
    <w:p w:rsidR="00CC4F3F" w:rsidRPr="001E10D2" w:rsidRDefault="00CC4F3F" w:rsidP="0074023C">
      <w:pPr>
        <w:pStyle w:val="Zarkazkladnhotextu"/>
        <w:ind w:left="0" w:firstLine="851"/>
      </w:pPr>
    </w:p>
    <w:p w:rsidR="00CC4F3F" w:rsidRPr="001E10D2" w:rsidRDefault="00FE786D" w:rsidP="00CC4F3F">
      <w:pPr>
        <w:pStyle w:val="Zarkazkladnhotextu"/>
        <w:ind w:left="0" w:firstLine="851"/>
        <w:rPr>
          <w:strike/>
        </w:rPr>
      </w:pPr>
      <w:r w:rsidRPr="001E10D2">
        <w:t>(2) Základom</w:t>
      </w:r>
      <w:r w:rsidR="00CC4F3F" w:rsidRPr="001E10D2">
        <w:t xml:space="preserve"> poplatk</w:t>
      </w:r>
      <w:r w:rsidRPr="001E10D2">
        <w:t>u</w:t>
      </w:r>
      <w:r w:rsidR="00CC4F3F" w:rsidRPr="001E10D2">
        <w:t xml:space="preserve"> za </w:t>
      </w:r>
      <w:r w:rsidR="00F30FA3" w:rsidRPr="001E10D2">
        <w:t xml:space="preserve">emisie </w:t>
      </w:r>
      <w:r w:rsidR="00605311" w:rsidRPr="001E10D2">
        <w:t xml:space="preserve">z </w:t>
      </w:r>
      <w:r w:rsidR="00F30FA3" w:rsidRPr="001E10D2">
        <w:t>malého</w:t>
      </w:r>
      <w:r w:rsidR="00CC4F3F" w:rsidRPr="001E10D2">
        <w:t xml:space="preserve"> zdroj</w:t>
      </w:r>
      <w:r w:rsidR="00F30FA3" w:rsidRPr="001E10D2">
        <w:t>a</w:t>
      </w:r>
      <w:r w:rsidR="00CC4F3F" w:rsidRPr="001E10D2">
        <w:t xml:space="preserve"> </w:t>
      </w:r>
      <w:r w:rsidR="00CC4F3F" w:rsidRPr="001E10D2">
        <w:rPr>
          <w:bCs/>
        </w:rPr>
        <w:t xml:space="preserve">je </w:t>
      </w:r>
      <w:r w:rsidR="00B2371C" w:rsidRPr="001E10D2">
        <w:rPr>
          <w:bCs/>
        </w:rPr>
        <w:t>údaj o množstve ustanovenej</w:t>
      </w:r>
      <w:r w:rsidR="00FE6634" w:rsidRPr="001E10D2">
        <w:rPr>
          <w:bCs/>
        </w:rPr>
        <w:t xml:space="preserve"> veličiny</w:t>
      </w:r>
      <w:r w:rsidRPr="001E10D2">
        <w:rPr>
          <w:bCs/>
        </w:rPr>
        <w:t xml:space="preserve"> </w:t>
      </w:r>
      <w:r w:rsidR="00CC4F3F" w:rsidRPr="001E10D2">
        <w:rPr>
          <w:bCs/>
        </w:rPr>
        <w:t>uvedený v </w:t>
      </w:r>
      <w:r w:rsidR="00B26783" w:rsidRPr="001E10D2">
        <w:rPr>
          <w:bCs/>
        </w:rPr>
        <w:t xml:space="preserve">prílohe č. 3 </w:t>
      </w:r>
      <w:r w:rsidR="00CC4F3F" w:rsidRPr="001E10D2">
        <w:rPr>
          <w:bCs/>
        </w:rPr>
        <w:t xml:space="preserve">časti B. </w:t>
      </w:r>
      <w:r w:rsidR="008E3022" w:rsidRPr="001E10D2">
        <w:rPr>
          <w:bCs/>
        </w:rPr>
        <w:t>za</w:t>
      </w:r>
      <w:r w:rsidR="00786727" w:rsidRPr="001E10D2">
        <w:rPr>
          <w:bCs/>
        </w:rPr>
        <w:t xml:space="preserve"> </w:t>
      </w:r>
      <w:r w:rsidR="008E3022" w:rsidRPr="001E10D2">
        <w:rPr>
          <w:bCs/>
        </w:rPr>
        <w:t>obdobie</w:t>
      </w:r>
      <w:r w:rsidR="00B2371C" w:rsidRPr="001E10D2">
        <w:rPr>
          <w:bCs/>
        </w:rPr>
        <w:t xml:space="preserve"> </w:t>
      </w:r>
      <w:r w:rsidR="00FE6634" w:rsidRPr="001E10D2">
        <w:rPr>
          <w:bCs/>
        </w:rPr>
        <w:t xml:space="preserve">predchádzajúceho </w:t>
      </w:r>
      <w:r w:rsidR="00B2371C" w:rsidRPr="001E10D2">
        <w:rPr>
          <w:bCs/>
        </w:rPr>
        <w:t xml:space="preserve">kalendárneho roku. </w:t>
      </w:r>
    </w:p>
    <w:p w:rsidR="001121F0" w:rsidRPr="001E10D2" w:rsidRDefault="001121F0" w:rsidP="0074023C">
      <w:pPr>
        <w:ind w:firstLine="851"/>
      </w:pPr>
    </w:p>
    <w:p w:rsidR="00CA30DC" w:rsidRPr="001E10D2" w:rsidRDefault="00CC4F3F" w:rsidP="00CA30DC">
      <w:pPr>
        <w:pStyle w:val="Zarkazkladnhotextu"/>
        <w:ind w:left="0" w:firstLine="851"/>
      </w:pPr>
      <w:r w:rsidRPr="001E10D2">
        <w:t>(3</w:t>
      </w:r>
      <w:r w:rsidR="00260F7B" w:rsidRPr="001E10D2">
        <w:t xml:space="preserve">) </w:t>
      </w:r>
      <w:r w:rsidR="001121F0" w:rsidRPr="001E10D2">
        <w:t xml:space="preserve">Poplatok </w:t>
      </w:r>
      <w:r w:rsidR="003035BC" w:rsidRPr="001E10D2">
        <w:t xml:space="preserve">za </w:t>
      </w:r>
      <w:r w:rsidR="00F30FA3" w:rsidRPr="001E10D2">
        <w:t xml:space="preserve">emisie </w:t>
      </w:r>
      <w:r w:rsidR="00E63F4F" w:rsidRPr="001E10D2">
        <w:t xml:space="preserve">z </w:t>
      </w:r>
      <w:r w:rsidR="00F30FA3" w:rsidRPr="001E10D2">
        <w:t>malého</w:t>
      </w:r>
      <w:r w:rsidR="003035BC" w:rsidRPr="001E10D2">
        <w:t xml:space="preserve"> zdroj</w:t>
      </w:r>
      <w:r w:rsidR="00F30FA3" w:rsidRPr="001E10D2">
        <w:t xml:space="preserve">a </w:t>
      </w:r>
      <w:r w:rsidR="001121F0" w:rsidRPr="001E10D2">
        <w:t xml:space="preserve">sa </w:t>
      </w:r>
      <w:r w:rsidR="008621A7" w:rsidRPr="001E10D2">
        <w:t>vypočíta</w:t>
      </w:r>
      <w:r w:rsidR="003B67BB" w:rsidRPr="001E10D2">
        <w:t xml:space="preserve"> </w:t>
      </w:r>
      <w:r w:rsidR="00767112" w:rsidRPr="001E10D2">
        <w:t xml:space="preserve">na základe údajov oznámených podľa § 4 ods. 5 </w:t>
      </w:r>
      <w:r w:rsidR="008621A7" w:rsidRPr="001E10D2">
        <w:t>podľa vzorca</w:t>
      </w:r>
      <w:r w:rsidR="001121F0" w:rsidRPr="001E10D2">
        <w:t xml:space="preserve"> </w:t>
      </w:r>
      <w:r w:rsidR="008621A7" w:rsidRPr="001E10D2">
        <w:t>uvedeného</w:t>
      </w:r>
      <w:r w:rsidR="00DB005E" w:rsidRPr="001E10D2">
        <w:t xml:space="preserve"> v</w:t>
      </w:r>
      <w:r w:rsidRPr="001E10D2">
        <w:t> </w:t>
      </w:r>
      <w:r w:rsidR="00B26783" w:rsidRPr="001E10D2">
        <w:t xml:space="preserve">prílohe č. 3 </w:t>
      </w:r>
      <w:r w:rsidRPr="001E10D2">
        <w:t>časti C.</w:t>
      </w:r>
      <w:r w:rsidR="00DB005E" w:rsidRPr="001E10D2">
        <w:t xml:space="preserve">, pričom poplatok </w:t>
      </w:r>
      <w:r w:rsidR="00FE6634" w:rsidRPr="001E10D2">
        <w:t xml:space="preserve">za emisie </w:t>
      </w:r>
      <w:r w:rsidR="00DB005E" w:rsidRPr="001E10D2">
        <w:t xml:space="preserve">sa </w:t>
      </w:r>
      <w:r w:rsidR="001121F0" w:rsidRPr="001E10D2">
        <w:t xml:space="preserve">zaokrúhľuje na celé euro smerom nadol. </w:t>
      </w:r>
    </w:p>
    <w:p w:rsidR="008621A7" w:rsidRPr="001E10D2" w:rsidRDefault="008621A7" w:rsidP="00CA30DC">
      <w:pPr>
        <w:pStyle w:val="Zarkazkladnhotextu"/>
        <w:ind w:left="0" w:firstLine="851"/>
      </w:pPr>
    </w:p>
    <w:p w:rsidR="001121F0" w:rsidRPr="001E10D2" w:rsidRDefault="00CC4F3F" w:rsidP="00CA30DC">
      <w:pPr>
        <w:pStyle w:val="Zarkazkladnhotextu"/>
        <w:ind w:left="0" w:firstLine="851"/>
      </w:pPr>
      <w:r w:rsidRPr="001E10D2">
        <w:t>(4</w:t>
      </w:r>
      <w:r w:rsidR="00CA30DC" w:rsidRPr="001E10D2">
        <w:t>)</w:t>
      </w:r>
      <w:r w:rsidR="00BA72A9" w:rsidRPr="001E10D2">
        <w:t xml:space="preserve"> </w:t>
      </w:r>
      <w:r w:rsidR="001121F0" w:rsidRPr="001E10D2">
        <w:t xml:space="preserve">Ročný poplatok </w:t>
      </w:r>
      <w:r w:rsidR="00746A25" w:rsidRPr="001E10D2">
        <w:t>za emisie</w:t>
      </w:r>
      <w:r w:rsidR="00786727" w:rsidRPr="001E10D2">
        <w:t xml:space="preserve"> </w:t>
      </w:r>
      <w:r w:rsidR="00B26783" w:rsidRPr="001E10D2">
        <w:t xml:space="preserve">z malého zdroja </w:t>
      </w:r>
      <w:r w:rsidR="001121F0" w:rsidRPr="001E10D2">
        <w:t xml:space="preserve">pozostáva zo súčtu poplatkov </w:t>
      </w:r>
      <w:r w:rsidR="00FE6634" w:rsidRPr="001E10D2">
        <w:t>za emisie</w:t>
      </w:r>
      <w:r w:rsidR="008F23AC" w:rsidRPr="001E10D2">
        <w:t xml:space="preserve"> </w:t>
      </w:r>
      <w:r w:rsidR="00B26783" w:rsidRPr="001E10D2">
        <w:t xml:space="preserve">vypustené </w:t>
      </w:r>
      <w:r w:rsidR="008F23AC" w:rsidRPr="001E10D2">
        <w:t xml:space="preserve">za </w:t>
      </w:r>
      <w:r w:rsidR="00786727" w:rsidRPr="001E10D2">
        <w:t>predchádzajúc</w:t>
      </w:r>
      <w:r w:rsidR="008F23AC" w:rsidRPr="001E10D2">
        <w:t>i</w:t>
      </w:r>
      <w:r w:rsidR="00786727" w:rsidRPr="001E10D2">
        <w:t xml:space="preserve"> kalendárn</w:t>
      </w:r>
      <w:r w:rsidR="008F23AC" w:rsidRPr="001E10D2">
        <w:t>y</w:t>
      </w:r>
      <w:r w:rsidR="008621A7" w:rsidRPr="001E10D2">
        <w:t xml:space="preserve"> rok </w:t>
      </w:r>
      <w:r w:rsidR="001121F0" w:rsidRPr="001E10D2">
        <w:t>za</w:t>
      </w:r>
      <w:r w:rsidR="0074023C" w:rsidRPr="001E10D2">
        <w:t> </w:t>
      </w:r>
      <w:r w:rsidR="00A63142" w:rsidRPr="001E10D2">
        <w:t>všetky malé zdroje</w:t>
      </w:r>
      <w:r w:rsidR="00DB005E" w:rsidRPr="001E10D2">
        <w:t xml:space="preserve">, ktoré </w:t>
      </w:r>
      <w:r w:rsidR="008621A7" w:rsidRPr="001E10D2">
        <w:t>prevádzkovateľ</w:t>
      </w:r>
      <w:r w:rsidR="00E63F4F" w:rsidRPr="001E10D2">
        <w:t xml:space="preserve"> zdroja podľa § 1 písm. b)</w:t>
      </w:r>
      <w:r w:rsidR="00DB005E" w:rsidRPr="001E10D2">
        <w:t xml:space="preserve"> prevádzkuje</w:t>
      </w:r>
      <w:r w:rsidR="002706E9" w:rsidRPr="001E10D2">
        <w:t xml:space="preserve"> </w:t>
      </w:r>
      <w:r w:rsidR="001121F0" w:rsidRPr="001E10D2">
        <w:t xml:space="preserve">v jednej obci. </w:t>
      </w:r>
    </w:p>
    <w:p w:rsidR="00DB005E" w:rsidRPr="001E10D2" w:rsidRDefault="00DB005E" w:rsidP="00CA30DC">
      <w:pPr>
        <w:pStyle w:val="Zarkazkladnhotextu"/>
        <w:ind w:left="0" w:firstLine="851"/>
      </w:pPr>
    </w:p>
    <w:p w:rsidR="00AA76BC" w:rsidRPr="001E10D2" w:rsidRDefault="003318FA" w:rsidP="0074023C">
      <w:pPr>
        <w:pStyle w:val="Zarkazkladnhotextu"/>
        <w:ind w:left="0" w:firstLine="851"/>
      </w:pPr>
      <w:r w:rsidRPr="001E10D2">
        <w:t>(5</w:t>
      </w:r>
      <w:r w:rsidR="00057EF1" w:rsidRPr="001E10D2">
        <w:t xml:space="preserve">) </w:t>
      </w:r>
      <w:r w:rsidR="00F63B43" w:rsidRPr="001E10D2">
        <w:t xml:space="preserve">Obec môže všeobecne záväzným nariadením oslobodiť od poplatkovej povinnosti podľa odseku 1 </w:t>
      </w:r>
      <w:r w:rsidR="00E63F4F" w:rsidRPr="001E10D2">
        <w:t>prevádzkovateľa zdroja podľa § 1 písm. b)</w:t>
      </w:r>
      <w:r w:rsidR="00F63B43" w:rsidRPr="001E10D2">
        <w:t>, ak ide o štátn</w:t>
      </w:r>
      <w:r w:rsidR="00FD4A75" w:rsidRPr="001E10D2">
        <w:t>y orgán, ob</w:t>
      </w:r>
      <w:r w:rsidR="00F63B43" w:rsidRPr="001E10D2">
        <w:t>e</w:t>
      </w:r>
      <w:r w:rsidR="00FD4A75" w:rsidRPr="001E10D2">
        <w:t>c, vyšší územný</w:t>
      </w:r>
      <w:r w:rsidR="00F63B43" w:rsidRPr="001E10D2">
        <w:t xml:space="preserve"> cel</w:t>
      </w:r>
      <w:r w:rsidR="00FD4A75" w:rsidRPr="001E10D2">
        <w:t>o</w:t>
      </w:r>
      <w:r w:rsidR="00F63B43" w:rsidRPr="001E10D2">
        <w:t>k</w:t>
      </w:r>
      <w:r w:rsidR="00AA76BC" w:rsidRPr="001E10D2">
        <w:t xml:space="preserve">, </w:t>
      </w:r>
      <w:r w:rsidR="00FD4A75" w:rsidRPr="001E10D2">
        <w:t>rozpočtovú</w:t>
      </w:r>
      <w:r w:rsidR="00F63B43" w:rsidRPr="001E10D2">
        <w:t xml:space="preserve"> </w:t>
      </w:r>
      <w:r w:rsidR="00FD4A75" w:rsidRPr="001E10D2">
        <w:t>organizáciu</w:t>
      </w:r>
      <w:r w:rsidR="009A0549" w:rsidRPr="001E10D2">
        <w:t xml:space="preserve"> </w:t>
      </w:r>
      <w:r w:rsidR="00E5065C" w:rsidRPr="001E10D2">
        <w:t>alebo o inú právnickú osobu zriadenú alebo založenú na verejnoprospešné alebo charitatívne účely</w:t>
      </w:r>
      <w:r w:rsidR="00787439" w:rsidRPr="001E10D2">
        <w:t xml:space="preserve">. </w:t>
      </w:r>
    </w:p>
    <w:p w:rsidR="00E63F4F" w:rsidRPr="001E10D2" w:rsidRDefault="00E63F4F" w:rsidP="0074023C">
      <w:pPr>
        <w:pStyle w:val="Zarkazkladnhotextu"/>
        <w:ind w:left="0" w:firstLine="851"/>
      </w:pPr>
    </w:p>
    <w:p w:rsidR="00B25539" w:rsidRPr="001E10D2" w:rsidRDefault="00BA72A9" w:rsidP="00E5065C">
      <w:pPr>
        <w:pStyle w:val="Zarkazkladnhotextu"/>
        <w:tabs>
          <w:tab w:val="left" w:pos="1134"/>
        </w:tabs>
        <w:spacing w:after="120"/>
        <w:ind w:left="0" w:firstLine="568"/>
      </w:pPr>
      <w:r w:rsidRPr="001E10D2">
        <w:lastRenderedPageBreak/>
        <w:t xml:space="preserve">    </w:t>
      </w:r>
      <w:r w:rsidR="00AD7ACB" w:rsidRPr="001E10D2">
        <w:t>(</w:t>
      </w:r>
      <w:r w:rsidR="003318FA" w:rsidRPr="001E10D2">
        <w:t>6</w:t>
      </w:r>
      <w:r w:rsidRPr="001E10D2">
        <w:t>)</w:t>
      </w:r>
      <w:r w:rsidR="0074023C" w:rsidRPr="001E10D2">
        <w:t> </w:t>
      </w:r>
      <w:r w:rsidR="00B1100B" w:rsidRPr="001E10D2">
        <w:t>Obec</w:t>
      </w:r>
      <w:r w:rsidR="00186AA6" w:rsidRPr="001E10D2">
        <w:t>, na území ktorej je malý zdroj umiestnený,</w:t>
      </w:r>
      <w:r w:rsidR="00B1100B" w:rsidRPr="001E10D2">
        <w:t xml:space="preserve"> určí poplatok </w:t>
      </w:r>
      <w:r w:rsidR="00E63F4F" w:rsidRPr="001E10D2">
        <w:t xml:space="preserve">za emisie </w:t>
      </w:r>
      <w:r w:rsidR="00E5065C" w:rsidRPr="001E10D2">
        <w:t xml:space="preserve">z malého zdroja </w:t>
      </w:r>
      <w:r w:rsidR="00B1100B" w:rsidRPr="001E10D2">
        <w:t>rozhodnutím</w:t>
      </w:r>
      <w:r w:rsidR="00FF41BC" w:rsidRPr="001E10D2">
        <w:t>,</w:t>
      </w:r>
      <w:r w:rsidR="00B1100B" w:rsidRPr="001E10D2">
        <w:t xml:space="preserve"> ako ročný poplatok podľa odseku </w:t>
      </w:r>
      <w:r w:rsidR="003318FA" w:rsidRPr="001E10D2">
        <w:t>4</w:t>
      </w:r>
      <w:r w:rsidR="00057EF1" w:rsidRPr="001E10D2">
        <w:t>.</w:t>
      </w:r>
    </w:p>
    <w:p w:rsidR="005D1ADD" w:rsidRPr="001E10D2" w:rsidRDefault="005D1ADD" w:rsidP="005D1ADD">
      <w:pPr>
        <w:pStyle w:val="Zarkazkladnhotextu"/>
        <w:ind w:left="720" w:firstLine="0"/>
      </w:pPr>
    </w:p>
    <w:p w:rsidR="00E5065C" w:rsidRPr="001E10D2" w:rsidRDefault="00E5065C" w:rsidP="005D1ADD">
      <w:pPr>
        <w:pStyle w:val="Zarkazkladnhotextu"/>
        <w:ind w:left="720" w:firstLine="0"/>
      </w:pPr>
    </w:p>
    <w:p w:rsidR="006A7CE5" w:rsidRPr="001E10D2" w:rsidRDefault="003A706B" w:rsidP="00F20CB1">
      <w:pPr>
        <w:keepNext/>
        <w:spacing w:after="120"/>
        <w:jc w:val="center"/>
        <w:rPr>
          <w:b/>
        </w:rPr>
      </w:pPr>
      <w:r w:rsidRPr="001E10D2">
        <w:rPr>
          <w:b/>
        </w:rPr>
        <w:t xml:space="preserve">§ </w:t>
      </w:r>
      <w:r w:rsidR="00274658" w:rsidRPr="001E10D2">
        <w:rPr>
          <w:b/>
        </w:rPr>
        <w:t>4</w:t>
      </w:r>
    </w:p>
    <w:p w:rsidR="006A7CE5" w:rsidRPr="001E10D2" w:rsidRDefault="006A7CE5">
      <w:pPr>
        <w:jc w:val="center"/>
        <w:rPr>
          <w:b/>
        </w:rPr>
      </w:pPr>
      <w:r w:rsidRPr="001E10D2">
        <w:rPr>
          <w:b/>
        </w:rPr>
        <w:t>Oznamovanie údajov</w:t>
      </w:r>
    </w:p>
    <w:p w:rsidR="00C60BA1" w:rsidRPr="001E10D2" w:rsidRDefault="00C60BA1">
      <w:pPr>
        <w:jc w:val="center"/>
        <w:rPr>
          <w:b/>
        </w:rPr>
      </w:pPr>
    </w:p>
    <w:p w:rsidR="008B7364" w:rsidRPr="001E10D2" w:rsidRDefault="008B7364" w:rsidP="0074023C">
      <w:pPr>
        <w:pStyle w:val="Zarkazkladnhotextu"/>
        <w:numPr>
          <w:ilvl w:val="0"/>
          <w:numId w:val="1"/>
        </w:numPr>
        <w:tabs>
          <w:tab w:val="left" w:pos="1276"/>
        </w:tabs>
        <w:ind w:left="0" w:firstLine="851"/>
      </w:pPr>
      <w:r w:rsidRPr="001E10D2">
        <w:t xml:space="preserve">Prevádzkovateľ </w:t>
      </w:r>
      <w:r w:rsidR="00FF36E4" w:rsidRPr="001E10D2">
        <w:t>z</w:t>
      </w:r>
      <w:r w:rsidR="00401615" w:rsidRPr="001E10D2">
        <w:t xml:space="preserve">droja </w:t>
      </w:r>
      <w:r w:rsidR="00FF36E4" w:rsidRPr="001E10D2">
        <w:t xml:space="preserve">podľa § 1 písm. a) </w:t>
      </w:r>
      <w:r w:rsidRPr="001E10D2">
        <w:t>každoročne do</w:t>
      </w:r>
      <w:r w:rsidR="0074023C" w:rsidRPr="001E10D2">
        <w:t> </w:t>
      </w:r>
      <w:r w:rsidR="00401615" w:rsidRPr="001E10D2">
        <w:t>28</w:t>
      </w:r>
      <w:r w:rsidR="00EF1F37" w:rsidRPr="001E10D2">
        <w:t>.</w:t>
      </w:r>
      <w:r w:rsidR="00C87A4A" w:rsidRPr="001E10D2">
        <w:t> </w:t>
      </w:r>
      <w:r w:rsidR="004E54A1" w:rsidRPr="001E10D2">
        <w:t>februára</w:t>
      </w:r>
      <w:r w:rsidR="005713CE" w:rsidRPr="001E10D2">
        <w:t xml:space="preserve"> </w:t>
      </w:r>
      <w:r w:rsidRPr="001E10D2">
        <w:t xml:space="preserve">oznámi </w:t>
      </w:r>
      <w:r w:rsidR="001B6EEE" w:rsidRPr="001E10D2">
        <w:t>v</w:t>
      </w:r>
      <w:r w:rsidR="00AF3105" w:rsidRPr="001E10D2">
        <w:t> </w:t>
      </w:r>
      <w:r w:rsidR="001B6EEE" w:rsidRPr="001E10D2">
        <w:t>elektronickej</w:t>
      </w:r>
      <w:r w:rsidR="00AF3105" w:rsidRPr="001E10D2">
        <w:t xml:space="preserve"> </w:t>
      </w:r>
      <w:r w:rsidR="001B6EEE" w:rsidRPr="001E10D2">
        <w:t xml:space="preserve">podobe </w:t>
      </w:r>
    </w:p>
    <w:p w:rsidR="00396069" w:rsidRPr="001E10D2" w:rsidRDefault="008B7364" w:rsidP="0074023C">
      <w:pPr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sz w:val="22"/>
        </w:rPr>
      </w:pPr>
      <w:r w:rsidRPr="001E10D2">
        <w:t xml:space="preserve">úplné a pravdivé údaje o celkových množstvách a druhoch </w:t>
      </w:r>
      <w:r w:rsidR="00E57852" w:rsidRPr="001E10D2">
        <w:t>emisií</w:t>
      </w:r>
      <w:r w:rsidR="00444DEF" w:rsidRPr="001E10D2">
        <w:t xml:space="preserve"> </w:t>
      </w:r>
      <w:r w:rsidR="00332766" w:rsidRPr="001E10D2">
        <w:t xml:space="preserve">podľa § 2 ods. 1 </w:t>
      </w:r>
      <w:r w:rsidR="004F59E1" w:rsidRPr="001E10D2">
        <w:t>za každý veľký zdroj a</w:t>
      </w:r>
      <w:r w:rsidR="00E5065C" w:rsidRPr="001E10D2">
        <w:t>lebo</w:t>
      </w:r>
      <w:r w:rsidR="004F59E1" w:rsidRPr="001E10D2">
        <w:t> každý stredný zdroj prevádzkovaný v</w:t>
      </w:r>
      <w:r w:rsidR="00032792" w:rsidRPr="001E10D2">
        <w:t xml:space="preserve"> jednom </w:t>
      </w:r>
      <w:r w:rsidR="004F59E1" w:rsidRPr="001E10D2">
        <w:t>okrese</w:t>
      </w:r>
      <w:r w:rsidR="00AB36AF" w:rsidRPr="001E10D2">
        <w:t>,</w:t>
      </w:r>
      <w:r w:rsidR="005E2BFE" w:rsidRPr="001E10D2">
        <w:t xml:space="preserve"> </w:t>
      </w:r>
      <w:r w:rsidR="00C31F35" w:rsidRPr="001E10D2">
        <w:t>zistené</w:t>
      </w:r>
      <w:r w:rsidR="00006EED" w:rsidRPr="001E10D2">
        <w:t xml:space="preserve"> ustanoveným spôsobom a schváleným postupom</w:t>
      </w:r>
      <w:r w:rsidR="00C31F35" w:rsidRPr="001E10D2">
        <w:t xml:space="preserve"> podľa osobitného predpisu</w:t>
      </w:r>
      <w:r w:rsidR="009725F4" w:rsidRPr="001E10D2">
        <w:t>,</w:t>
      </w:r>
      <w:r w:rsidR="003329FC" w:rsidRPr="001E10D2">
        <w:rPr>
          <w:rStyle w:val="Odkaznapoznmkupodiarou"/>
        </w:rPr>
        <w:footnoteReference w:id="7"/>
      </w:r>
      <w:r w:rsidR="00B31B38" w:rsidRPr="001E10D2">
        <w:t>)</w:t>
      </w:r>
    </w:p>
    <w:p w:rsidR="00A63F19" w:rsidRPr="001E10D2" w:rsidRDefault="0085272C" w:rsidP="0074023C">
      <w:pPr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</w:pPr>
      <w:r w:rsidRPr="001E10D2">
        <w:t>poplatok</w:t>
      </w:r>
      <w:r w:rsidR="008B7364" w:rsidRPr="001E10D2">
        <w:t xml:space="preserve"> </w:t>
      </w:r>
      <w:r w:rsidR="00FF36E4" w:rsidRPr="001E10D2">
        <w:t xml:space="preserve">za emisie </w:t>
      </w:r>
      <w:r w:rsidR="007658E8" w:rsidRPr="001E10D2">
        <w:t>z</w:t>
      </w:r>
      <w:r w:rsidR="00E5065C" w:rsidRPr="001E10D2">
        <w:t> </w:t>
      </w:r>
      <w:r w:rsidR="007658E8" w:rsidRPr="001E10D2">
        <w:t>v</w:t>
      </w:r>
      <w:r w:rsidR="00786727" w:rsidRPr="001E10D2">
        <w:t>eľkého</w:t>
      </w:r>
      <w:r w:rsidR="00E5065C" w:rsidRPr="001E10D2">
        <w:t xml:space="preserve"> zdroja</w:t>
      </w:r>
      <w:r w:rsidR="00786727" w:rsidRPr="001E10D2">
        <w:t xml:space="preserve"> a</w:t>
      </w:r>
      <w:r w:rsidR="00E5065C" w:rsidRPr="001E10D2">
        <w:t>lebo</w:t>
      </w:r>
      <w:r w:rsidR="00786727" w:rsidRPr="001E10D2">
        <w:t> stredného zdroja</w:t>
      </w:r>
      <w:r w:rsidR="007658E8" w:rsidRPr="001E10D2">
        <w:t xml:space="preserve"> </w:t>
      </w:r>
      <w:r w:rsidR="00371BD6" w:rsidRPr="001E10D2">
        <w:t xml:space="preserve">podľa § </w:t>
      </w:r>
      <w:r w:rsidR="00FA25B7" w:rsidRPr="001E10D2">
        <w:t>2</w:t>
      </w:r>
      <w:r w:rsidR="00371BD6" w:rsidRPr="001E10D2">
        <w:t xml:space="preserve"> ods.</w:t>
      </w:r>
      <w:r w:rsidR="00523065" w:rsidRPr="001E10D2">
        <w:t xml:space="preserve"> </w:t>
      </w:r>
      <w:r w:rsidR="00371BD6" w:rsidRPr="001E10D2">
        <w:t>1</w:t>
      </w:r>
      <w:r w:rsidR="007A63FB" w:rsidRPr="001E10D2">
        <w:t xml:space="preserve"> písm. a)</w:t>
      </w:r>
      <w:r w:rsidR="00371BD6" w:rsidRPr="001E10D2">
        <w:t xml:space="preserve"> </w:t>
      </w:r>
      <w:r w:rsidR="008B7364" w:rsidRPr="001E10D2">
        <w:t xml:space="preserve">a </w:t>
      </w:r>
      <w:r w:rsidRPr="001E10D2">
        <w:t>ročný poplatok</w:t>
      </w:r>
      <w:r w:rsidR="006B63DF" w:rsidRPr="001E10D2">
        <w:t xml:space="preserve"> </w:t>
      </w:r>
      <w:r w:rsidR="00FF36E4" w:rsidRPr="001E10D2">
        <w:t>za emisie za všetky veľké zdroje a</w:t>
      </w:r>
      <w:r w:rsidR="00A91285" w:rsidRPr="001E10D2">
        <w:t>lebo</w:t>
      </w:r>
      <w:r w:rsidR="00FF36E4" w:rsidRPr="001E10D2">
        <w:t xml:space="preserve"> stredné zdroje</w:t>
      </w:r>
      <w:r w:rsidR="00342268" w:rsidRPr="001E10D2">
        <w:t xml:space="preserve"> prevádzkované v jednom okrese </w:t>
      </w:r>
      <w:r w:rsidR="006B63DF" w:rsidRPr="001E10D2">
        <w:t xml:space="preserve">podľa § </w:t>
      </w:r>
      <w:r w:rsidR="00FA25B7" w:rsidRPr="001E10D2">
        <w:t>2</w:t>
      </w:r>
      <w:r w:rsidR="006B63DF" w:rsidRPr="001E10D2">
        <w:t xml:space="preserve"> ods.</w:t>
      </w:r>
      <w:r w:rsidR="00E5065C" w:rsidRPr="001E10D2">
        <w:t xml:space="preserve"> 3</w:t>
      </w:r>
      <w:r w:rsidR="00A63F19" w:rsidRPr="001E10D2">
        <w:t>.</w:t>
      </w:r>
    </w:p>
    <w:p w:rsidR="00336270" w:rsidRPr="001E10D2" w:rsidRDefault="00336270" w:rsidP="0074023C">
      <w:pPr>
        <w:tabs>
          <w:tab w:val="left" w:pos="1276"/>
        </w:tabs>
        <w:ind w:left="284" w:firstLine="851"/>
        <w:jc w:val="both"/>
      </w:pPr>
    </w:p>
    <w:p w:rsidR="00396069" w:rsidRPr="001E10D2" w:rsidRDefault="00336270" w:rsidP="0074023C">
      <w:pPr>
        <w:pStyle w:val="Zarkazkladnhotextu"/>
        <w:numPr>
          <w:ilvl w:val="0"/>
          <w:numId w:val="1"/>
        </w:numPr>
        <w:tabs>
          <w:tab w:val="left" w:pos="1276"/>
        </w:tabs>
        <w:ind w:left="0" w:firstLine="851"/>
      </w:pPr>
      <w:r w:rsidRPr="001E10D2">
        <w:t xml:space="preserve">Údaje podľa odseku 1 </w:t>
      </w:r>
      <w:r w:rsidR="00396069" w:rsidRPr="001E10D2">
        <w:t xml:space="preserve">prevádzkovateľ </w:t>
      </w:r>
      <w:r w:rsidR="003B5982" w:rsidRPr="001E10D2">
        <w:t xml:space="preserve">zdroja podľa § 1 písm. a) </w:t>
      </w:r>
      <w:r w:rsidR="00396069" w:rsidRPr="001E10D2">
        <w:t>predkladá</w:t>
      </w:r>
      <w:r w:rsidR="00986759" w:rsidRPr="001E10D2">
        <w:t xml:space="preserve"> ako súčasť</w:t>
      </w:r>
      <w:r w:rsidR="00396069" w:rsidRPr="001E10D2">
        <w:t xml:space="preserve"> oznámen</w:t>
      </w:r>
      <w:r w:rsidR="00986759" w:rsidRPr="001E10D2">
        <w:t>ia</w:t>
      </w:r>
      <w:r w:rsidR="00396069" w:rsidRPr="001E10D2">
        <w:t xml:space="preserve"> podľa osobitného predpisu</w:t>
      </w:r>
      <w:r w:rsidR="00396069" w:rsidRPr="001E10D2">
        <w:rPr>
          <w:rStyle w:val="Odkaznapoznmkupodiarou"/>
        </w:rPr>
        <w:footnoteReference w:id="8"/>
      </w:r>
      <w:r w:rsidR="00B31B38" w:rsidRPr="001E10D2">
        <w:t>)</w:t>
      </w:r>
      <w:r w:rsidR="00B31B38" w:rsidRPr="001E10D2">
        <w:rPr>
          <w:vertAlign w:val="superscript"/>
        </w:rPr>
        <w:t xml:space="preserve"> </w:t>
      </w:r>
      <w:r w:rsidR="005713CE" w:rsidRPr="001E10D2">
        <w:t xml:space="preserve">do </w:t>
      </w:r>
      <w:r w:rsidR="00D30FD3" w:rsidRPr="001E10D2">
        <w:t xml:space="preserve">databázy </w:t>
      </w:r>
      <w:r w:rsidR="005713CE" w:rsidRPr="001E10D2">
        <w:t>Národného emisného informačného systému.</w:t>
      </w:r>
    </w:p>
    <w:p w:rsidR="00E66762" w:rsidRPr="001E10D2" w:rsidRDefault="00E66762" w:rsidP="0074023C">
      <w:pPr>
        <w:pStyle w:val="Zarkazkladnhotextu"/>
        <w:tabs>
          <w:tab w:val="left" w:pos="1276"/>
        </w:tabs>
        <w:ind w:firstLine="851"/>
      </w:pPr>
    </w:p>
    <w:p w:rsidR="00423CB1" w:rsidRPr="001E10D2" w:rsidRDefault="00C55BE8" w:rsidP="00E24BEA">
      <w:pPr>
        <w:pStyle w:val="Zarkazkladnhotextu"/>
        <w:numPr>
          <w:ilvl w:val="0"/>
          <w:numId w:val="1"/>
        </w:numPr>
        <w:tabs>
          <w:tab w:val="left" w:pos="1276"/>
        </w:tabs>
        <w:ind w:left="0" w:firstLine="851"/>
      </w:pPr>
      <w:r w:rsidRPr="001E10D2">
        <w:t xml:space="preserve">Pri zmene prevádzkovateľa </w:t>
      </w:r>
      <w:r w:rsidR="00750C8B" w:rsidRPr="001E10D2">
        <w:t xml:space="preserve">zdroja podľa § 1 písm. a) </w:t>
      </w:r>
      <w:r w:rsidRPr="001E10D2">
        <w:t xml:space="preserve">je pôvodný prevádzkovateľ </w:t>
      </w:r>
      <w:r w:rsidR="00750C8B" w:rsidRPr="001E10D2">
        <w:t xml:space="preserve">zdroja </w:t>
      </w:r>
      <w:r w:rsidR="00E5065C" w:rsidRPr="001E10D2">
        <w:t>povinný príslušnému</w:t>
      </w:r>
      <w:r w:rsidR="00E5065C" w:rsidRPr="001E10D2">
        <w:rPr>
          <w:rFonts w:ascii="Times" w:hAnsi="Times" w:cs="Times"/>
          <w:sz w:val="25"/>
          <w:szCs w:val="25"/>
        </w:rPr>
        <w:t xml:space="preserve"> </w:t>
      </w:r>
      <w:r w:rsidR="00E5065C" w:rsidRPr="001E10D2">
        <w:t xml:space="preserve">okresnému úradu </w:t>
      </w:r>
      <w:r w:rsidRPr="001E10D2">
        <w:t>do</w:t>
      </w:r>
      <w:r w:rsidR="00E24BEA" w:rsidRPr="001E10D2">
        <w:t> </w:t>
      </w:r>
      <w:r w:rsidR="00CF627A" w:rsidRPr="001E10D2">
        <w:t>20</w:t>
      </w:r>
      <w:r w:rsidR="00E24BEA" w:rsidRPr="001E10D2">
        <w:t> </w:t>
      </w:r>
      <w:r w:rsidRPr="001E10D2">
        <w:t xml:space="preserve">dní od vykonania zmeny </w:t>
      </w:r>
      <w:r w:rsidR="00423CB1" w:rsidRPr="001E10D2">
        <w:t xml:space="preserve">oznámiť túto skutočnosť vrátane údajov </w:t>
      </w:r>
      <w:r w:rsidR="006B63DF" w:rsidRPr="001E10D2">
        <w:t>podľa odseku</w:t>
      </w:r>
      <w:r w:rsidRPr="001E10D2">
        <w:t xml:space="preserve"> 1</w:t>
      </w:r>
      <w:r w:rsidR="00F11B30" w:rsidRPr="001E10D2">
        <w:t xml:space="preserve"> písm. a)</w:t>
      </w:r>
      <w:r w:rsidR="00E43513" w:rsidRPr="001E10D2">
        <w:t xml:space="preserve"> </w:t>
      </w:r>
      <w:r w:rsidR="00423CB1" w:rsidRPr="001E10D2">
        <w:t>potrebných</w:t>
      </w:r>
      <w:r w:rsidRPr="001E10D2">
        <w:t xml:space="preserve"> na určenie poplatku</w:t>
      </w:r>
      <w:r w:rsidR="00431845" w:rsidRPr="001E10D2">
        <w:t xml:space="preserve"> </w:t>
      </w:r>
      <w:r w:rsidR="00750C8B" w:rsidRPr="001E10D2">
        <w:t xml:space="preserve">za emisie </w:t>
      </w:r>
      <w:r w:rsidR="00431845" w:rsidRPr="001E10D2">
        <w:t>podľa</w:t>
      </w:r>
      <w:r w:rsidR="00401615" w:rsidRPr="001E10D2">
        <w:t xml:space="preserve"> </w:t>
      </w:r>
      <w:r w:rsidR="00431845" w:rsidRPr="001E10D2">
        <w:t>§</w:t>
      </w:r>
      <w:r w:rsidR="00E24BEA" w:rsidRPr="001E10D2">
        <w:t> </w:t>
      </w:r>
      <w:r w:rsidR="00FA25B7" w:rsidRPr="001E10D2">
        <w:t>2</w:t>
      </w:r>
      <w:r w:rsidR="00E24BEA" w:rsidRPr="001E10D2">
        <w:t> </w:t>
      </w:r>
      <w:r w:rsidR="00431845" w:rsidRPr="001E10D2">
        <w:t>ods.</w:t>
      </w:r>
      <w:r w:rsidR="00E5065C" w:rsidRPr="001E10D2">
        <w:t> 4</w:t>
      </w:r>
      <w:r w:rsidR="00E24BEA" w:rsidRPr="001E10D2">
        <w:t> písm. </w:t>
      </w:r>
      <w:r w:rsidR="00431845" w:rsidRPr="001E10D2">
        <w:t>b)</w:t>
      </w:r>
      <w:r w:rsidR="00E24BEA" w:rsidRPr="001E10D2">
        <w:t xml:space="preserve"> </w:t>
      </w:r>
      <w:r w:rsidRPr="001E10D2">
        <w:t>a</w:t>
      </w:r>
      <w:r w:rsidR="00E24BEA" w:rsidRPr="001E10D2">
        <w:t xml:space="preserve"> </w:t>
      </w:r>
      <w:r w:rsidRPr="001E10D2">
        <w:t xml:space="preserve">výpočet </w:t>
      </w:r>
      <w:r w:rsidR="00246F3E" w:rsidRPr="001E10D2">
        <w:t xml:space="preserve">tohto </w:t>
      </w:r>
      <w:r w:rsidRPr="001E10D2">
        <w:t>poplatku</w:t>
      </w:r>
      <w:r w:rsidR="00CD7409" w:rsidRPr="001E10D2">
        <w:t xml:space="preserve"> </w:t>
      </w:r>
      <w:r w:rsidR="00F30FA3" w:rsidRPr="001E10D2">
        <w:t xml:space="preserve">za emisie </w:t>
      </w:r>
      <w:r w:rsidR="00CD7409" w:rsidRPr="001E10D2">
        <w:t xml:space="preserve">spôsobom podľa odseku 2, pričom od roku </w:t>
      </w:r>
      <w:r w:rsidR="00CA30DC" w:rsidRPr="001E10D2">
        <w:t>2031</w:t>
      </w:r>
      <w:r w:rsidR="00CD7409" w:rsidRPr="001E10D2">
        <w:t xml:space="preserve"> sa </w:t>
      </w:r>
      <w:r w:rsidR="00FD4A75" w:rsidRPr="001E10D2">
        <w:t xml:space="preserve">na výpočet poplatku </w:t>
      </w:r>
      <w:r w:rsidR="00750C8B" w:rsidRPr="001E10D2">
        <w:t xml:space="preserve">za emisie </w:t>
      </w:r>
      <w:r w:rsidR="00CD7409" w:rsidRPr="001E10D2">
        <w:t>použ</w:t>
      </w:r>
      <w:r w:rsidR="00FD4A75" w:rsidRPr="001E10D2">
        <w:t>ije kompenzačný koeficient platný pre predchádzajúci</w:t>
      </w:r>
      <w:r w:rsidR="00CD7409" w:rsidRPr="001E10D2">
        <w:t xml:space="preserve"> </w:t>
      </w:r>
      <w:r w:rsidR="00FA25B7" w:rsidRPr="001E10D2">
        <w:t xml:space="preserve">kalendárny </w:t>
      </w:r>
      <w:r w:rsidR="00CD7409" w:rsidRPr="001E10D2">
        <w:t>rok</w:t>
      </w:r>
      <w:r w:rsidRPr="001E10D2">
        <w:t xml:space="preserve">; </w:t>
      </w:r>
      <w:r w:rsidR="0055581C" w:rsidRPr="001E10D2">
        <w:t xml:space="preserve">prevádzkovateľ </w:t>
      </w:r>
      <w:r w:rsidR="007658E8" w:rsidRPr="001E10D2">
        <w:t xml:space="preserve">zdroja </w:t>
      </w:r>
      <w:r w:rsidR="0055581C" w:rsidRPr="001E10D2">
        <w:t xml:space="preserve">okresnému úradu </w:t>
      </w:r>
      <w:r w:rsidRPr="001E10D2">
        <w:t xml:space="preserve">súčasne oznámi aj dátum zmeny a názov nového </w:t>
      </w:r>
      <w:r w:rsidR="00401615" w:rsidRPr="001E10D2">
        <w:t>prevádzkovateľa</w:t>
      </w:r>
      <w:r w:rsidR="007658E8" w:rsidRPr="001E10D2">
        <w:t xml:space="preserve"> zdroja</w:t>
      </w:r>
      <w:r w:rsidRPr="001E10D2">
        <w:t xml:space="preserve">. </w:t>
      </w:r>
    </w:p>
    <w:p w:rsidR="00423CB1" w:rsidRPr="001E10D2" w:rsidRDefault="00423CB1" w:rsidP="0074023C">
      <w:pPr>
        <w:pStyle w:val="Odsekzoznamu"/>
        <w:tabs>
          <w:tab w:val="left" w:pos="1276"/>
        </w:tabs>
        <w:ind w:firstLine="851"/>
      </w:pPr>
    </w:p>
    <w:p w:rsidR="00057EF1" w:rsidRPr="001E10D2" w:rsidRDefault="00CF627A" w:rsidP="00F44EBF">
      <w:pPr>
        <w:pStyle w:val="Zarkazkladnhotextu"/>
        <w:numPr>
          <w:ilvl w:val="0"/>
          <w:numId w:val="1"/>
        </w:numPr>
        <w:tabs>
          <w:tab w:val="left" w:pos="1276"/>
        </w:tabs>
        <w:spacing w:after="360"/>
        <w:ind w:left="0" w:firstLine="851"/>
      </w:pPr>
      <w:r w:rsidRPr="001E10D2">
        <w:t>Zánik</w:t>
      </w:r>
      <w:r w:rsidR="00C55BE8" w:rsidRPr="001E10D2">
        <w:t xml:space="preserve"> veľkého zdroja alebo stredného zdroja je prevádzkovateľ</w:t>
      </w:r>
      <w:r w:rsidR="00AF00E7" w:rsidRPr="001E10D2">
        <w:t xml:space="preserve"> </w:t>
      </w:r>
      <w:r w:rsidR="00750C8B" w:rsidRPr="001E10D2">
        <w:t xml:space="preserve">zdroja </w:t>
      </w:r>
      <w:r w:rsidR="00C55BE8" w:rsidRPr="001E10D2">
        <w:t xml:space="preserve">povinný </w:t>
      </w:r>
      <w:r w:rsidR="00A61B00" w:rsidRPr="001E10D2">
        <w:t xml:space="preserve">oznámiť </w:t>
      </w:r>
      <w:r w:rsidR="00E5065C" w:rsidRPr="001E10D2">
        <w:t>príslušnému</w:t>
      </w:r>
      <w:r w:rsidR="00E5065C" w:rsidRPr="001E10D2">
        <w:rPr>
          <w:rFonts w:ascii="Times" w:hAnsi="Times" w:cs="Times"/>
          <w:sz w:val="25"/>
          <w:szCs w:val="25"/>
        </w:rPr>
        <w:t xml:space="preserve"> </w:t>
      </w:r>
      <w:r w:rsidR="00E5065C" w:rsidRPr="001E10D2">
        <w:t xml:space="preserve">okresnému úradu </w:t>
      </w:r>
      <w:r w:rsidR="00332766" w:rsidRPr="001E10D2">
        <w:t xml:space="preserve">do </w:t>
      </w:r>
      <w:r w:rsidRPr="001E10D2">
        <w:t>20</w:t>
      </w:r>
      <w:r w:rsidR="00423CB1" w:rsidRPr="001E10D2">
        <w:t xml:space="preserve"> dní </w:t>
      </w:r>
      <w:r w:rsidR="00FA25B7" w:rsidRPr="001E10D2">
        <w:t xml:space="preserve">od zániku </w:t>
      </w:r>
      <w:r w:rsidR="00E5065C" w:rsidRPr="001E10D2">
        <w:t xml:space="preserve">veľkého zdroja alebo stredného zdroja </w:t>
      </w:r>
      <w:r w:rsidR="003E1670" w:rsidRPr="001E10D2">
        <w:t xml:space="preserve">vrátane </w:t>
      </w:r>
      <w:r w:rsidR="00C2077E" w:rsidRPr="001E10D2">
        <w:t>ú</w:t>
      </w:r>
      <w:r w:rsidR="003E1670" w:rsidRPr="001E10D2">
        <w:t>dajov</w:t>
      </w:r>
      <w:r w:rsidR="00C2077E" w:rsidRPr="001E10D2">
        <w:t xml:space="preserve"> podľa odseku 1 písm. a) </w:t>
      </w:r>
      <w:r w:rsidR="003E1670" w:rsidRPr="001E10D2">
        <w:t>potrebných</w:t>
      </w:r>
      <w:r w:rsidR="00C2077E" w:rsidRPr="001E10D2">
        <w:t xml:space="preserve"> na určenie poplatku</w:t>
      </w:r>
      <w:r w:rsidR="007658E8" w:rsidRPr="001E10D2">
        <w:t xml:space="preserve"> za emisie</w:t>
      </w:r>
      <w:r w:rsidR="00C2077E" w:rsidRPr="001E10D2">
        <w:t xml:space="preserve"> podľa § </w:t>
      </w:r>
      <w:r w:rsidR="00E5065C" w:rsidRPr="001E10D2">
        <w:t>2 ods. 4</w:t>
      </w:r>
      <w:r w:rsidR="00C2077E" w:rsidRPr="001E10D2">
        <w:t xml:space="preserve"> písm. b) a výpočet tohto poplatku</w:t>
      </w:r>
      <w:r w:rsidR="00750C8B" w:rsidRPr="001E10D2">
        <w:t xml:space="preserve"> za emisie</w:t>
      </w:r>
      <w:r w:rsidR="00CD7409" w:rsidRPr="001E10D2">
        <w:t xml:space="preserve"> spôsobom podľa odseku 2, pričom od roku 20</w:t>
      </w:r>
      <w:r w:rsidR="00FD4A75" w:rsidRPr="001E10D2">
        <w:t xml:space="preserve">31 </w:t>
      </w:r>
      <w:r w:rsidR="00CD7409" w:rsidRPr="001E10D2">
        <w:t>sa</w:t>
      </w:r>
      <w:r w:rsidR="00FD4A75" w:rsidRPr="001E10D2">
        <w:t xml:space="preserve"> na výpočet poplatku</w:t>
      </w:r>
      <w:r w:rsidR="00CD7409" w:rsidRPr="001E10D2">
        <w:t xml:space="preserve"> </w:t>
      </w:r>
      <w:r w:rsidR="008E3F1D" w:rsidRPr="001E10D2">
        <w:t xml:space="preserve">za emisie </w:t>
      </w:r>
      <w:r w:rsidR="00CD7409" w:rsidRPr="001E10D2">
        <w:t>použ</w:t>
      </w:r>
      <w:r w:rsidR="00FD4A75" w:rsidRPr="001E10D2">
        <w:t xml:space="preserve">ije kompenzačný koeficient platný pre </w:t>
      </w:r>
      <w:r w:rsidR="00CD7409" w:rsidRPr="001E10D2">
        <w:t>predchádzajú</w:t>
      </w:r>
      <w:r w:rsidR="00FD4A75" w:rsidRPr="001E10D2">
        <w:t xml:space="preserve">ci </w:t>
      </w:r>
      <w:r w:rsidR="00FA25B7" w:rsidRPr="001E10D2">
        <w:t xml:space="preserve">kalendárny </w:t>
      </w:r>
      <w:r w:rsidR="00FD4A75" w:rsidRPr="001E10D2">
        <w:t>rok</w:t>
      </w:r>
      <w:r w:rsidR="00F44EBF" w:rsidRPr="001E10D2">
        <w:t>.</w:t>
      </w:r>
      <w:r w:rsidRPr="001E10D2">
        <w:t xml:space="preserve"> Ak prevádzkovateľ </w:t>
      </w:r>
      <w:r w:rsidR="008E3F1D" w:rsidRPr="001E10D2">
        <w:t xml:space="preserve">zdroja podľa § 1 písm. a) </w:t>
      </w:r>
      <w:r w:rsidRPr="001E10D2">
        <w:t>prevádzkuje aj iný veľký</w:t>
      </w:r>
      <w:r w:rsidR="00A91285" w:rsidRPr="001E10D2">
        <w:t xml:space="preserve"> zdroj</w:t>
      </w:r>
      <w:r w:rsidRPr="001E10D2">
        <w:t xml:space="preserve"> alebo stredný zdroj v danom okrese, je povinný oznámiť údaje podľa odseku 1 písm. a) v termíne podľa odseku 1.</w:t>
      </w:r>
      <w:r w:rsidR="00A61B00" w:rsidRPr="001E10D2">
        <w:t xml:space="preserve"> </w:t>
      </w:r>
    </w:p>
    <w:p w:rsidR="00C36290" w:rsidRPr="001E10D2" w:rsidRDefault="00797500" w:rsidP="0074023C">
      <w:pPr>
        <w:pStyle w:val="Zarkazkladnhotextu"/>
        <w:tabs>
          <w:tab w:val="left" w:pos="1276"/>
        </w:tabs>
        <w:ind w:left="0" w:firstLine="851"/>
      </w:pPr>
      <w:r w:rsidRPr="001E10D2">
        <w:t xml:space="preserve">(5) </w:t>
      </w:r>
      <w:r w:rsidR="00C36290" w:rsidRPr="001E10D2">
        <w:t xml:space="preserve">Prevádzkovateľ </w:t>
      </w:r>
      <w:r w:rsidR="008E3F1D" w:rsidRPr="001E10D2">
        <w:t xml:space="preserve">zdroja podľa § 1 písm. b) </w:t>
      </w:r>
      <w:r w:rsidR="00C36290" w:rsidRPr="001E10D2">
        <w:t xml:space="preserve">každoročne do </w:t>
      </w:r>
      <w:r w:rsidR="00CD7409" w:rsidRPr="001E10D2">
        <w:t>28</w:t>
      </w:r>
      <w:r w:rsidR="00C36290" w:rsidRPr="001E10D2">
        <w:t xml:space="preserve">. februára oznámi príslušnej obci </w:t>
      </w:r>
      <w:r w:rsidRPr="001E10D2">
        <w:t>úplné a pravdivé údaje</w:t>
      </w:r>
      <w:r w:rsidR="009A0549" w:rsidRPr="001E10D2">
        <w:t xml:space="preserve"> </w:t>
      </w:r>
      <w:r w:rsidRPr="001E10D2">
        <w:t xml:space="preserve">potrebné pre výpočet poplatku </w:t>
      </w:r>
      <w:r w:rsidR="008E3F1D" w:rsidRPr="001E10D2">
        <w:t xml:space="preserve">za emisie </w:t>
      </w:r>
      <w:r w:rsidRPr="001E10D2">
        <w:t xml:space="preserve">podľa </w:t>
      </w:r>
      <w:r w:rsidR="00E5065C" w:rsidRPr="001E10D2">
        <w:t xml:space="preserve">prílohy č. 3 </w:t>
      </w:r>
      <w:r w:rsidR="00555E79" w:rsidRPr="001E10D2">
        <w:t xml:space="preserve">časti B. </w:t>
      </w:r>
      <w:r w:rsidR="002F729F" w:rsidRPr="001E10D2">
        <w:t>za</w:t>
      </w:r>
      <w:r w:rsidR="004D205F" w:rsidRPr="001E10D2">
        <w:t> </w:t>
      </w:r>
      <w:r w:rsidR="002F729F" w:rsidRPr="001E10D2">
        <w:t xml:space="preserve">predchádzajúci </w:t>
      </w:r>
      <w:r w:rsidR="00FA25B7" w:rsidRPr="001E10D2">
        <w:t xml:space="preserve">kalendárny </w:t>
      </w:r>
      <w:r w:rsidR="00E5065C" w:rsidRPr="001E10D2">
        <w:t>rok za</w:t>
      </w:r>
      <w:r w:rsidR="0075279F" w:rsidRPr="001E10D2">
        <w:t xml:space="preserve"> </w:t>
      </w:r>
      <w:r w:rsidR="00555E79" w:rsidRPr="001E10D2">
        <w:t>malé zdroje</w:t>
      </w:r>
      <w:r w:rsidR="00FA25B7" w:rsidRPr="001E10D2">
        <w:t xml:space="preserve"> </w:t>
      </w:r>
      <w:r w:rsidR="007658E8" w:rsidRPr="001E10D2">
        <w:t xml:space="preserve">prevádzkované </w:t>
      </w:r>
      <w:r w:rsidR="002F729F" w:rsidRPr="001E10D2">
        <w:t>v</w:t>
      </w:r>
      <w:r w:rsidR="00E82CCD" w:rsidRPr="001E10D2">
        <w:t xml:space="preserve"> jednej </w:t>
      </w:r>
      <w:r w:rsidR="00F45117" w:rsidRPr="001E10D2">
        <w:t>obci</w:t>
      </w:r>
      <w:r w:rsidR="00E5065C" w:rsidRPr="001E10D2">
        <w:t xml:space="preserve"> spôsobom ustanoveným vo všeobecne </w:t>
      </w:r>
      <w:r w:rsidR="00F45117" w:rsidRPr="001E10D2">
        <w:t>záväznom nariadení</w:t>
      </w:r>
      <w:r w:rsidR="00E5065C" w:rsidRPr="001E10D2">
        <w:t xml:space="preserve"> obce</w:t>
      </w:r>
      <w:r w:rsidR="00F45117" w:rsidRPr="001E10D2">
        <w:t>.</w:t>
      </w:r>
      <w:r w:rsidR="00750C8B" w:rsidRPr="001E10D2">
        <w:t xml:space="preserve">  </w:t>
      </w:r>
    </w:p>
    <w:p w:rsidR="00E82CCD" w:rsidRPr="001E10D2" w:rsidRDefault="00E82CCD" w:rsidP="0074023C">
      <w:pPr>
        <w:pStyle w:val="Zarkazkladnhotextu"/>
        <w:tabs>
          <w:tab w:val="left" w:pos="1276"/>
        </w:tabs>
        <w:ind w:left="0" w:firstLine="851"/>
      </w:pPr>
    </w:p>
    <w:p w:rsidR="006A7CE5" w:rsidRPr="001E10D2" w:rsidRDefault="003A706B" w:rsidP="000D133F">
      <w:pPr>
        <w:spacing w:after="120"/>
        <w:jc w:val="center"/>
        <w:rPr>
          <w:b/>
        </w:rPr>
      </w:pPr>
      <w:r w:rsidRPr="001E10D2">
        <w:rPr>
          <w:b/>
        </w:rPr>
        <w:t xml:space="preserve">§ </w:t>
      </w:r>
      <w:r w:rsidR="009B7FB7" w:rsidRPr="001E10D2">
        <w:rPr>
          <w:b/>
        </w:rPr>
        <w:t>5</w:t>
      </w:r>
    </w:p>
    <w:p w:rsidR="006A7CE5" w:rsidRPr="001E10D2" w:rsidRDefault="00E27165">
      <w:pPr>
        <w:jc w:val="center"/>
        <w:rPr>
          <w:b/>
        </w:rPr>
      </w:pPr>
      <w:r w:rsidRPr="001E10D2">
        <w:rPr>
          <w:b/>
        </w:rPr>
        <w:t xml:space="preserve"> </w:t>
      </w:r>
      <w:r w:rsidR="00396069" w:rsidRPr="001E10D2">
        <w:rPr>
          <w:b/>
        </w:rPr>
        <w:t>P</w:t>
      </w:r>
      <w:r w:rsidR="006A7CE5" w:rsidRPr="001E10D2">
        <w:rPr>
          <w:b/>
        </w:rPr>
        <w:t>latenie poplatkov</w:t>
      </w:r>
      <w:r w:rsidRPr="001E10D2">
        <w:rPr>
          <w:b/>
        </w:rPr>
        <w:t xml:space="preserve"> </w:t>
      </w:r>
    </w:p>
    <w:p w:rsidR="005B1A6D" w:rsidRPr="001E10D2" w:rsidRDefault="005B1A6D">
      <w:pPr>
        <w:jc w:val="center"/>
        <w:rPr>
          <w:b/>
        </w:rPr>
      </w:pPr>
    </w:p>
    <w:p w:rsidR="006A7CE5" w:rsidRPr="001E10D2" w:rsidRDefault="006A7CE5" w:rsidP="00F44EBF">
      <w:pPr>
        <w:pStyle w:val="Zarkazkladnhotextu2"/>
        <w:numPr>
          <w:ilvl w:val="0"/>
          <w:numId w:val="23"/>
        </w:numPr>
        <w:tabs>
          <w:tab w:val="left" w:pos="1276"/>
        </w:tabs>
        <w:ind w:left="0" w:firstLine="851"/>
      </w:pPr>
      <w:r w:rsidRPr="001E10D2">
        <w:lastRenderedPageBreak/>
        <w:t>Ročný poplatok</w:t>
      </w:r>
      <w:r w:rsidR="00F30FA3" w:rsidRPr="001E10D2">
        <w:t xml:space="preserve"> za emisie</w:t>
      </w:r>
      <w:r w:rsidR="00533FD4" w:rsidRPr="001E10D2">
        <w:t xml:space="preserve"> z</w:t>
      </w:r>
      <w:r w:rsidR="00F30FA3" w:rsidRPr="001E10D2">
        <w:t xml:space="preserve"> veľkého </w:t>
      </w:r>
      <w:r w:rsidR="00022605" w:rsidRPr="001E10D2">
        <w:t>zdroja</w:t>
      </w:r>
      <w:r w:rsidR="00F30FA3" w:rsidRPr="001E10D2">
        <w:t xml:space="preserve"> </w:t>
      </w:r>
      <w:r w:rsidR="00022605" w:rsidRPr="001E10D2">
        <w:t>a</w:t>
      </w:r>
      <w:r w:rsidR="002B0542" w:rsidRPr="001E10D2">
        <w:t>lebo</w:t>
      </w:r>
      <w:r w:rsidR="00022605" w:rsidRPr="001E10D2">
        <w:t xml:space="preserve"> stredného zdroja </w:t>
      </w:r>
      <w:r w:rsidRPr="001E10D2">
        <w:t>sa platí</w:t>
      </w:r>
      <w:r w:rsidR="00B11187" w:rsidRPr="001E10D2">
        <w:t xml:space="preserve"> na účet </w:t>
      </w:r>
      <w:r w:rsidR="00125109" w:rsidRPr="001E10D2">
        <w:t xml:space="preserve">Environmentálneho </w:t>
      </w:r>
      <w:r w:rsidR="00B11187" w:rsidRPr="001E10D2">
        <w:t>fondu</w:t>
      </w:r>
      <w:r w:rsidR="00F25D35" w:rsidRPr="001E10D2">
        <w:t xml:space="preserve"> (ďalej len „fond“)</w:t>
      </w:r>
      <w:r w:rsidR="00B11187" w:rsidRPr="001E10D2">
        <w:t xml:space="preserve"> takto</w:t>
      </w:r>
      <w:r w:rsidR="00343179" w:rsidRPr="001E10D2">
        <w:t>:</w:t>
      </w:r>
    </w:p>
    <w:p w:rsidR="00C966EB" w:rsidRPr="001E10D2" w:rsidRDefault="00601CAD" w:rsidP="00F44EBF">
      <w:pPr>
        <w:numPr>
          <w:ilvl w:val="0"/>
          <w:numId w:val="24"/>
        </w:numPr>
        <w:ind w:left="284" w:hanging="284"/>
        <w:jc w:val="both"/>
      </w:pPr>
      <w:r w:rsidRPr="001E10D2">
        <w:t xml:space="preserve">od </w:t>
      </w:r>
      <w:r w:rsidR="005B1A6D" w:rsidRPr="001E10D2">
        <w:t>500</w:t>
      </w:r>
      <w:r w:rsidR="00C916B2" w:rsidRPr="001E10D2">
        <w:t xml:space="preserve"> </w:t>
      </w:r>
      <w:r w:rsidRPr="001E10D2">
        <w:t>eur</w:t>
      </w:r>
      <w:r w:rsidR="00F25D35" w:rsidRPr="001E10D2">
        <w:t xml:space="preserve"> do</w:t>
      </w:r>
      <w:r w:rsidRPr="001E10D2">
        <w:t xml:space="preserve"> </w:t>
      </w:r>
      <w:r w:rsidR="005D4268" w:rsidRPr="001E10D2">
        <w:t>4</w:t>
      </w:r>
      <w:r w:rsidR="006C3CBA" w:rsidRPr="001E10D2">
        <w:t> </w:t>
      </w:r>
      <w:r w:rsidR="005D4268" w:rsidRPr="001E10D2">
        <w:t>999</w:t>
      </w:r>
      <w:r w:rsidRPr="001E10D2">
        <w:t xml:space="preserve"> eur </w:t>
      </w:r>
      <w:r w:rsidR="006F3E1F" w:rsidRPr="001E10D2">
        <w:t xml:space="preserve">jednorazovo do </w:t>
      </w:r>
      <w:r w:rsidR="00DB0100" w:rsidRPr="001E10D2">
        <w:t>30</w:t>
      </w:r>
      <w:r w:rsidR="006F3E1F" w:rsidRPr="001E10D2">
        <w:t xml:space="preserve"> dní odo dňa právoplatnosti rozhodnutia podľa </w:t>
      </w:r>
      <w:r w:rsidR="005F3D4F" w:rsidRPr="001E10D2">
        <w:t xml:space="preserve">§ </w:t>
      </w:r>
      <w:r w:rsidR="00B53984" w:rsidRPr="001E10D2">
        <w:t>2</w:t>
      </w:r>
      <w:r w:rsidR="00AF1C72" w:rsidRPr="001E10D2">
        <w:t xml:space="preserve"> ods. </w:t>
      </w:r>
      <w:r w:rsidR="00B53984" w:rsidRPr="001E10D2">
        <w:t>5</w:t>
      </w:r>
      <w:r w:rsidR="006628B7" w:rsidRPr="001E10D2">
        <w:t>,</w:t>
      </w:r>
    </w:p>
    <w:p w:rsidR="00C966EB" w:rsidRPr="001E10D2" w:rsidRDefault="0033205B" w:rsidP="00F44EBF">
      <w:pPr>
        <w:numPr>
          <w:ilvl w:val="0"/>
          <w:numId w:val="24"/>
        </w:numPr>
        <w:ind w:left="284" w:hanging="284"/>
        <w:jc w:val="both"/>
      </w:pPr>
      <w:r w:rsidRPr="001E10D2">
        <w:t xml:space="preserve">od </w:t>
      </w:r>
      <w:r w:rsidR="00C916B2" w:rsidRPr="001E10D2">
        <w:t>5</w:t>
      </w:r>
      <w:r w:rsidR="00050382" w:rsidRPr="001E10D2">
        <w:t> </w:t>
      </w:r>
      <w:r w:rsidR="005D4268" w:rsidRPr="001E10D2">
        <w:t>000</w:t>
      </w:r>
      <w:r w:rsidR="006F3E1F" w:rsidRPr="001E10D2">
        <w:t xml:space="preserve"> eur </w:t>
      </w:r>
      <w:r w:rsidRPr="001E10D2">
        <w:t xml:space="preserve">do </w:t>
      </w:r>
      <w:r w:rsidR="005D4268" w:rsidRPr="001E10D2">
        <w:t>99</w:t>
      </w:r>
      <w:r w:rsidRPr="001E10D2">
        <w:t xml:space="preserve"> </w:t>
      </w:r>
      <w:r w:rsidR="005D4268" w:rsidRPr="001E10D2">
        <w:t>999</w:t>
      </w:r>
      <w:r w:rsidRPr="001E10D2">
        <w:t xml:space="preserve"> eur v štvrťročných splátkach vo výške jednej štvrtiny ročného poplatku </w:t>
      </w:r>
      <w:r w:rsidR="00533FD4" w:rsidRPr="001E10D2">
        <w:t xml:space="preserve">za emisie </w:t>
      </w:r>
      <w:r w:rsidRPr="001E10D2">
        <w:t xml:space="preserve">najneskôr do konca príslušného </w:t>
      </w:r>
      <w:r w:rsidR="00584CC9" w:rsidRPr="001E10D2">
        <w:t xml:space="preserve">kalendárneho </w:t>
      </w:r>
      <w:r w:rsidRPr="001E10D2">
        <w:t>štvrťroka,</w:t>
      </w:r>
    </w:p>
    <w:p w:rsidR="00601CAD" w:rsidRPr="001E10D2" w:rsidRDefault="00601CAD" w:rsidP="00F44EBF">
      <w:pPr>
        <w:numPr>
          <w:ilvl w:val="0"/>
          <w:numId w:val="24"/>
        </w:numPr>
        <w:ind w:left="284" w:hanging="284"/>
        <w:jc w:val="both"/>
      </w:pPr>
      <w:r w:rsidRPr="001E10D2">
        <w:t xml:space="preserve">od </w:t>
      </w:r>
      <w:r w:rsidR="005D4268" w:rsidRPr="001E10D2">
        <w:t>100 000</w:t>
      </w:r>
      <w:r w:rsidR="006F3E1F" w:rsidRPr="001E10D2">
        <w:t xml:space="preserve"> </w:t>
      </w:r>
      <w:r w:rsidRPr="001E10D2">
        <w:t>eur v mesačných splátkach vo výške jednej dvanástiny ročného poplatku</w:t>
      </w:r>
      <w:r w:rsidR="00533FD4" w:rsidRPr="001E10D2">
        <w:t xml:space="preserve"> za emisie</w:t>
      </w:r>
      <w:r w:rsidRPr="001E10D2">
        <w:t xml:space="preserve"> najneskôr do konca príslušného </w:t>
      </w:r>
      <w:r w:rsidR="00584CC9" w:rsidRPr="001E10D2">
        <w:t xml:space="preserve">kalendárneho </w:t>
      </w:r>
      <w:r w:rsidRPr="001E10D2">
        <w:t>mesiaca.</w:t>
      </w:r>
    </w:p>
    <w:p w:rsidR="006A7CE5" w:rsidRPr="001E10D2" w:rsidRDefault="006A7CE5" w:rsidP="00F44EBF">
      <w:pPr>
        <w:tabs>
          <w:tab w:val="left" w:pos="1276"/>
        </w:tabs>
        <w:ind w:firstLine="851"/>
      </w:pPr>
    </w:p>
    <w:p w:rsidR="005D3D67" w:rsidRPr="001E10D2" w:rsidRDefault="005D3D67" w:rsidP="00F44EBF">
      <w:pPr>
        <w:pStyle w:val="Zarkazkladnhotextu2"/>
        <w:numPr>
          <w:ilvl w:val="0"/>
          <w:numId w:val="23"/>
        </w:numPr>
        <w:tabs>
          <w:tab w:val="left" w:pos="1276"/>
        </w:tabs>
        <w:ind w:left="0" w:firstLine="851"/>
      </w:pPr>
      <w:r w:rsidRPr="001E10D2">
        <w:t xml:space="preserve">Prevádzkovateľ </w:t>
      </w:r>
      <w:r w:rsidR="00533FD4" w:rsidRPr="001E10D2">
        <w:t xml:space="preserve">zdroja podľa § 1 písm. a) </w:t>
      </w:r>
      <w:r w:rsidRPr="001E10D2">
        <w:t>až do</w:t>
      </w:r>
      <w:r w:rsidR="00441DFA" w:rsidRPr="001E10D2">
        <w:t> </w:t>
      </w:r>
      <w:r w:rsidRPr="001E10D2">
        <w:t xml:space="preserve">nadobudnutia právoplatnosti rozhodnutia o určení ročného poplatku </w:t>
      </w:r>
      <w:r w:rsidR="00533FD4" w:rsidRPr="001E10D2">
        <w:t xml:space="preserve">za emisie </w:t>
      </w:r>
      <w:r w:rsidRPr="001E10D2">
        <w:t xml:space="preserve">je povinný platiť poplatok </w:t>
      </w:r>
      <w:r w:rsidR="00533FD4" w:rsidRPr="001E10D2">
        <w:t xml:space="preserve">za emisie </w:t>
      </w:r>
      <w:r w:rsidRPr="001E10D2">
        <w:t xml:space="preserve">podľa vlastného výpočtu v splátkach podľa odseku </w:t>
      </w:r>
      <w:r w:rsidR="00621B80" w:rsidRPr="001E10D2">
        <w:t>1</w:t>
      </w:r>
      <w:r w:rsidRPr="001E10D2">
        <w:t xml:space="preserve"> písm. b) alebo</w:t>
      </w:r>
      <w:r w:rsidR="00BF3830" w:rsidRPr="001E10D2">
        <w:t xml:space="preserve"> písm.</w:t>
      </w:r>
      <w:r w:rsidRPr="001E10D2">
        <w:t xml:space="preserve"> c). Preplatky v splátkach poplatku </w:t>
      </w:r>
      <w:r w:rsidR="00533FD4" w:rsidRPr="001E10D2">
        <w:t xml:space="preserve">za emisie </w:t>
      </w:r>
      <w:r w:rsidRPr="001E10D2">
        <w:t xml:space="preserve">si prevádzkovateľ </w:t>
      </w:r>
      <w:r w:rsidR="00533FD4" w:rsidRPr="001E10D2">
        <w:t xml:space="preserve">zdroja </w:t>
      </w:r>
      <w:r w:rsidRPr="001E10D2">
        <w:t xml:space="preserve">odpočíta zo splátok platených po nadobudnutí právoplatnosti rozhodnutia o určení ročného poplatku </w:t>
      </w:r>
      <w:r w:rsidR="00533FD4" w:rsidRPr="001E10D2">
        <w:t xml:space="preserve">za emisie </w:t>
      </w:r>
      <w:r w:rsidRPr="001E10D2">
        <w:t xml:space="preserve">a nedoplatky doplatí v prvej splátke po nadobudnutí právoplatnosti tohto rozhodnutia </w:t>
      </w:r>
      <w:r w:rsidR="009A0549" w:rsidRPr="001E10D2">
        <w:t>najneskôr d</w:t>
      </w:r>
      <w:r w:rsidRPr="001E10D2">
        <w:t>o 60 dní odo dňa nadobudnutia jeho právoplatnosti.</w:t>
      </w:r>
      <w:r w:rsidR="00533FD4" w:rsidRPr="001E10D2">
        <w:t xml:space="preserve"> </w:t>
      </w:r>
    </w:p>
    <w:p w:rsidR="005D3D67" w:rsidRPr="001E10D2" w:rsidRDefault="005D3D67" w:rsidP="00F44EBF">
      <w:pPr>
        <w:pStyle w:val="Zarkazkladnhotextu2"/>
        <w:tabs>
          <w:tab w:val="left" w:pos="1276"/>
        </w:tabs>
        <w:ind w:left="0" w:firstLine="851"/>
      </w:pPr>
    </w:p>
    <w:p w:rsidR="005D3D67" w:rsidRPr="001E10D2" w:rsidRDefault="005D3D67" w:rsidP="00F44EBF">
      <w:pPr>
        <w:pStyle w:val="Zarkazkladnhotextu2"/>
        <w:numPr>
          <w:ilvl w:val="0"/>
          <w:numId w:val="23"/>
        </w:numPr>
        <w:tabs>
          <w:tab w:val="left" w:pos="1276"/>
        </w:tabs>
        <w:ind w:left="0" w:firstLine="851"/>
      </w:pPr>
      <w:r w:rsidRPr="001E10D2">
        <w:t xml:space="preserve">Preplatky v splátkach poplatku </w:t>
      </w:r>
      <w:r w:rsidR="00533FD4" w:rsidRPr="001E10D2">
        <w:t xml:space="preserve">za emisie </w:t>
      </w:r>
      <w:r w:rsidRPr="001E10D2">
        <w:t>platených do nadobudnutia právoplatnosti rozhodnutia o určení ročného poplatku</w:t>
      </w:r>
      <w:r w:rsidR="00533FD4" w:rsidRPr="001E10D2">
        <w:t xml:space="preserve"> za emisie</w:t>
      </w:r>
      <w:r w:rsidRPr="001E10D2">
        <w:t xml:space="preserve">, ktoré nemožno zúčtovať podľa odseku </w:t>
      </w:r>
      <w:r w:rsidR="00621B80" w:rsidRPr="001E10D2">
        <w:t>2</w:t>
      </w:r>
      <w:r w:rsidRPr="001E10D2">
        <w:t xml:space="preserve">, zúčtuje fond po nadobudnutí právoplatnosti rozhodnutia o určení ročného poplatku </w:t>
      </w:r>
      <w:r w:rsidR="00533FD4" w:rsidRPr="001E10D2">
        <w:t xml:space="preserve">za emisie </w:t>
      </w:r>
      <w:r w:rsidRPr="001E10D2">
        <w:t xml:space="preserve">a preplatok vráti prevádzkovateľovi </w:t>
      </w:r>
      <w:r w:rsidR="00533FD4" w:rsidRPr="001E10D2">
        <w:t xml:space="preserve">zdroja podľa § 1 písm. a) </w:t>
      </w:r>
      <w:r w:rsidRPr="001E10D2">
        <w:t>do 60 dní od</w:t>
      </w:r>
      <w:r w:rsidR="00F44EBF" w:rsidRPr="001E10D2">
        <w:t> </w:t>
      </w:r>
      <w:r w:rsidRPr="001E10D2">
        <w:t>doručenia žiadosti o</w:t>
      </w:r>
      <w:r w:rsidR="004D205F" w:rsidRPr="001E10D2">
        <w:t> </w:t>
      </w:r>
      <w:r w:rsidRPr="001E10D2">
        <w:t>vrátenie preplatku, alebo</w:t>
      </w:r>
      <w:r w:rsidR="00D136AF" w:rsidRPr="001E10D2">
        <w:t xml:space="preserve"> do jedného roka odo dňa nadobudnutia právoplatnosti tohto rozhodnutia,</w:t>
      </w:r>
      <w:r w:rsidRPr="001E10D2">
        <w:t xml:space="preserve"> ak žiadosť nebola podaná. </w:t>
      </w:r>
      <w:r w:rsidR="00AF4FCA" w:rsidRPr="001E10D2">
        <w:t>Pr</w:t>
      </w:r>
      <w:r w:rsidRPr="001E10D2">
        <w:t>eplatok</w:t>
      </w:r>
      <w:r w:rsidR="002620CC" w:rsidRPr="001E10D2">
        <w:t xml:space="preserve"> do výšky 5 eur</w:t>
      </w:r>
      <w:r w:rsidR="00AF4FCA" w:rsidRPr="001E10D2">
        <w:t xml:space="preserve"> sa nevracia</w:t>
      </w:r>
      <w:r w:rsidR="00AF3105" w:rsidRPr="001E10D2">
        <w:t>.</w:t>
      </w:r>
      <w:r w:rsidR="00533FD4" w:rsidRPr="001E10D2">
        <w:t xml:space="preserve">  </w:t>
      </w:r>
    </w:p>
    <w:p w:rsidR="005D3D67" w:rsidRPr="001E10D2" w:rsidRDefault="005D3D67" w:rsidP="00F44EBF">
      <w:pPr>
        <w:pStyle w:val="Zarkazkladnhotextu2"/>
        <w:tabs>
          <w:tab w:val="left" w:pos="1276"/>
        </w:tabs>
        <w:ind w:left="0" w:firstLine="851"/>
      </w:pPr>
    </w:p>
    <w:p w:rsidR="00EE79C4" w:rsidRPr="001E10D2" w:rsidRDefault="005D3D67" w:rsidP="006922A6">
      <w:pPr>
        <w:pStyle w:val="Zarkazkladnhotextu2"/>
        <w:numPr>
          <w:ilvl w:val="0"/>
          <w:numId w:val="23"/>
        </w:numPr>
        <w:tabs>
          <w:tab w:val="left" w:pos="1276"/>
        </w:tabs>
        <w:ind w:left="0" w:firstLine="851"/>
      </w:pPr>
      <w:r w:rsidRPr="001E10D2">
        <w:t xml:space="preserve">Pri zmene prevádzkovateľa </w:t>
      </w:r>
      <w:r w:rsidR="00533FD4" w:rsidRPr="001E10D2">
        <w:t xml:space="preserve">zdroja podľa § 1 písm. a) </w:t>
      </w:r>
      <w:r w:rsidRPr="001E10D2">
        <w:t xml:space="preserve">je pôvodný prevádzkovateľ </w:t>
      </w:r>
      <w:r w:rsidR="00533FD4" w:rsidRPr="001E10D2">
        <w:t xml:space="preserve">zdroja </w:t>
      </w:r>
      <w:r w:rsidRPr="001E10D2">
        <w:t>povinný zaplatiť okrem ročného poplatku</w:t>
      </w:r>
      <w:r w:rsidR="00533FD4" w:rsidRPr="001E10D2">
        <w:t xml:space="preserve"> za emisie</w:t>
      </w:r>
      <w:r w:rsidRPr="001E10D2">
        <w:t xml:space="preserve"> určeného</w:t>
      </w:r>
      <w:r w:rsidR="009314B2" w:rsidRPr="001E10D2">
        <w:t xml:space="preserve"> podľa § </w:t>
      </w:r>
      <w:r w:rsidR="00B64E3E" w:rsidRPr="001E10D2">
        <w:t>2</w:t>
      </w:r>
      <w:r w:rsidR="009314B2" w:rsidRPr="001E10D2">
        <w:t xml:space="preserve"> ods. </w:t>
      </w:r>
      <w:r w:rsidR="00AF4FCA" w:rsidRPr="001E10D2">
        <w:t>4</w:t>
      </w:r>
      <w:r w:rsidR="009314B2" w:rsidRPr="001E10D2">
        <w:t xml:space="preserve"> písm. a)</w:t>
      </w:r>
      <w:r w:rsidR="007658E8" w:rsidRPr="001E10D2">
        <w:t>,</w:t>
      </w:r>
      <w:r w:rsidRPr="001E10D2">
        <w:t xml:space="preserve"> aj</w:t>
      </w:r>
      <w:r w:rsidR="00441DFA" w:rsidRPr="001E10D2">
        <w:t> </w:t>
      </w:r>
      <w:r w:rsidRPr="001E10D2">
        <w:t xml:space="preserve"> poplatok</w:t>
      </w:r>
      <w:r w:rsidR="009314B2" w:rsidRPr="001E10D2">
        <w:t xml:space="preserve"> </w:t>
      </w:r>
      <w:r w:rsidR="00533FD4" w:rsidRPr="001E10D2">
        <w:t xml:space="preserve">za emisie </w:t>
      </w:r>
      <w:r w:rsidR="002C654E" w:rsidRPr="001E10D2">
        <w:t xml:space="preserve">za obdobie prevádzky </w:t>
      </w:r>
      <w:r w:rsidR="00621B80" w:rsidRPr="001E10D2">
        <w:t xml:space="preserve">zdroja </w:t>
      </w:r>
      <w:r w:rsidR="009314B2" w:rsidRPr="001E10D2">
        <w:t xml:space="preserve">určený podľa § </w:t>
      </w:r>
      <w:r w:rsidR="00B64E3E" w:rsidRPr="001E10D2">
        <w:t>2</w:t>
      </w:r>
      <w:r w:rsidR="009314B2" w:rsidRPr="001E10D2">
        <w:t xml:space="preserve"> ods.</w:t>
      </w:r>
      <w:r w:rsidR="00B716B8" w:rsidRPr="001E10D2">
        <w:t xml:space="preserve"> </w:t>
      </w:r>
      <w:r w:rsidR="00AF4FCA" w:rsidRPr="001E10D2">
        <w:t>4</w:t>
      </w:r>
      <w:r w:rsidR="009314B2" w:rsidRPr="001E10D2">
        <w:t xml:space="preserve"> písm. b). </w:t>
      </w:r>
      <w:r w:rsidR="00571A30" w:rsidRPr="001E10D2">
        <w:t>Tento p</w:t>
      </w:r>
      <w:r w:rsidRPr="001E10D2">
        <w:t xml:space="preserve">oplatok </w:t>
      </w:r>
      <w:r w:rsidR="00533FD4" w:rsidRPr="001E10D2">
        <w:t xml:space="preserve">za emisie </w:t>
      </w:r>
      <w:r w:rsidRPr="001E10D2">
        <w:t>sa platí jednorazovo alebo v</w:t>
      </w:r>
      <w:r w:rsidR="00F44EBF" w:rsidRPr="001E10D2">
        <w:t> </w:t>
      </w:r>
      <w:r w:rsidRPr="001E10D2">
        <w:t>splátkach v</w:t>
      </w:r>
      <w:r w:rsidR="000F1201" w:rsidRPr="001E10D2">
        <w:t> </w:t>
      </w:r>
      <w:r w:rsidRPr="001E10D2">
        <w:t xml:space="preserve">termínoch určených </w:t>
      </w:r>
      <w:r w:rsidR="006922A6" w:rsidRPr="001E10D2">
        <w:t xml:space="preserve">rozhodnutím okresného úradu, v územnom obvode ktorého je veľký zdroj alebo stredný zdroj umiestnený.  </w:t>
      </w:r>
      <w:r w:rsidR="00EE426A" w:rsidRPr="001E10D2">
        <w:t xml:space="preserve"> </w:t>
      </w:r>
      <w:r w:rsidR="00533FD4" w:rsidRPr="001E10D2">
        <w:t xml:space="preserve">  </w:t>
      </w:r>
    </w:p>
    <w:p w:rsidR="00EE79C4" w:rsidRPr="001E10D2" w:rsidRDefault="00EE79C4" w:rsidP="00F44EBF">
      <w:pPr>
        <w:pStyle w:val="Zarkazkladnhotextu2"/>
        <w:tabs>
          <w:tab w:val="left" w:pos="1276"/>
        </w:tabs>
        <w:ind w:left="0" w:firstLine="851"/>
      </w:pPr>
    </w:p>
    <w:p w:rsidR="005D3D67" w:rsidRPr="001E10D2" w:rsidRDefault="005D3D67" w:rsidP="00F44EBF">
      <w:pPr>
        <w:pStyle w:val="Zarkazkladnhotextu2"/>
        <w:numPr>
          <w:ilvl w:val="0"/>
          <w:numId w:val="23"/>
        </w:numPr>
        <w:tabs>
          <w:tab w:val="left" w:pos="1276"/>
        </w:tabs>
        <w:ind w:left="0" w:firstLine="851"/>
      </w:pPr>
      <w:r w:rsidRPr="001E10D2">
        <w:t xml:space="preserve">Pri zániku veľkého zdroja alebo stredného zdroja je prevádzkovateľ </w:t>
      </w:r>
      <w:r w:rsidR="009132E7" w:rsidRPr="001E10D2">
        <w:t xml:space="preserve">zdroja </w:t>
      </w:r>
      <w:r w:rsidR="007658E8" w:rsidRPr="001E10D2">
        <w:t xml:space="preserve">podľa § 1 písm. a) </w:t>
      </w:r>
      <w:r w:rsidRPr="001E10D2">
        <w:t xml:space="preserve">povinný zaplatiť okrem ročného poplatku </w:t>
      </w:r>
      <w:r w:rsidR="009132E7" w:rsidRPr="001E10D2">
        <w:t xml:space="preserve">za emisie </w:t>
      </w:r>
      <w:r w:rsidRPr="001E10D2">
        <w:t xml:space="preserve">určeného </w:t>
      </w:r>
      <w:r w:rsidR="009314B2" w:rsidRPr="001E10D2">
        <w:t xml:space="preserve">podľa § </w:t>
      </w:r>
      <w:r w:rsidR="00B64E3E" w:rsidRPr="001E10D2">
        <w:t>2</w:t>
      </w:r>
      <w:r w:rsidR="009314B2" w:rsidRPr="001E10D2">
        <w:t xml:space="preserve"> ods. </w:t>
      </w:r>
      <w:r w:rsidR="00AF4FCA" w:rsidRPr="001E10D2">
        <w:t>4</w:t>
      </w:r>
      <w:r w:rsidR="009314B2" w:rsidRPr="001E10D2">
        <w:t xml:space="preserve"> písm. a)</w:t>
      </w:r>
      <w:r w:rsidR="007658E8" w:rsidRPr="001E10D2">
        <w:t>,</w:t>
      </w:r>
      <w:r w:rsidR="009314B2" w:rsidRPr="001E10D2">
        <w:t xml:space="preserve"> </w:t>
      </w:r>
      <w:r w:rsidRPr="001E10D2">
        <w:t>aj poplatok</w:t>
      </w:r>
      <w:r w:rsidR="009314B2" w:rsidRPr="001E10D2">
        <w:t xml:space="preserve"> </w:t>
      </w:r>
      <w:r w:rsidR="009132E7" w:rsidRPr="001E10D2">
        <w:t xml:space="preserve">za emisie </w:t>
      </w:r>
      <w:r w:rsidR="002C654E" w:rsidRPr="001E10D2">
        <w:t xml:space="preserve">za obdobie prevádzky </w:t>
      </w:r>
      <w:r w:rsidR="00621B80" w:rsidRPr="001E10D2">
        <w:t xml:space="preserve">zdroja </w:t>
      </w:r>
      <w:r w:rsidR="007658E8" w:rsidRPr="001E10D2">
        <w:t xml:space="preserve">určený </w:t>
      </w:r>
      <w:r w:rsidR="009314B2" w:rsidRPr="001E10D2">
        <w:t xml:space="preserve">podľa § </w:t>
      </w:r>
      <w:r w:rsidR="00B64E3E" w:rsidRPr="001E10D2">
        <w:t>2</w:t>
      </w:r>
      <w:r w:rsidR="009314B2" w:rsidRPr="001E10D2">
        <w:t xml:space="preserve"> ods. </w:t>
      </w:r>
      <w:r w:rsidR="00AF4FCA" w:rsidRPr="001E10D2">
        <w:t>4</w:t>
      </w:r>
      <w:r w:rsidR="009314B2" w:rsidRPr="001E10D2">
        <w:t xml:space="preserve"> písm. b)</w:t>
      </w:r>
      <w:r w:rsidR="00571A30" w:rsidRPr="001E10D2">
        <w:t>. Tento p</w:t>
      </w:r>
      <w:r w:rsidRPr="001E10D2">
        <w:t xml:space="preserve">oplatok </w:t>
      </w:r>
      <w:r w:rsidR="009132E7" w:rsidRPr="001E10D2">
        <w:t xml:space="preserve">za emisie </w:t>
      </w:r>
      <w:r w:rsidRPr="001E10D2">
        <w:t>sa</w:t>
      </w:r>
      <w:r w:rsidR="00441DFA" w:rsidRPr="001E10D2">
        <w:t> </w:t>
      </w:r>
      <w:r w:rsidRPr="001E10D2">
        <w:t>platí jednorazovo alebo v splátkach v termínoch určených rozhodnutím okresného úradu</w:t>
      </w:r>
      <w:r w:rsidR="006922A6" w:rsidRPr="001E10D2">
        <w:t xml:space="preserve">, </w:t>
      </w:r>
      <w:r w:rsidR="00AC0153" w:rsidRPr="001E10D2">
        <w:t>v územnom obvode ktorého je veľký zdroj alebo stredný zdroj umiestnený</w:t>
      </w:r>
      <w:r w:rsidRPr="001E10D2">
        <w:t>.</w:t>
      </w:r>
      <w:r w:rsidR="009132E7" w:rsidRPr="001E10D2">
        <w:t xml:space="preserve">  </w:t>
      </w:r>
    </w:p>
    <w:p w:rsidR="00B7274E" w:rsidRPr="001E10D2" w:rsidRDefault="00B7274E" w:rsidP="00B7274E">
      <w:pPr>
        <w:pStyle w:val="Zarkazkladnhotextu2"/>
        <w:tabs>
          <w:tab w:val="left" w:pos="1276"/>
        </w:tabs>
        <w:ind w:left="851" w:firstLine="0"/>
      </w:pPr>
    </w:p>
    <w:p w:rsidR="0074326D" w:rsidRPr="001E10D2" w:rsidRDefault="00702515" w:rsidP="00702515">
      <w:pPr>
        <w:pStyle w:val="Zarkazkladnhotextu2"/>
        <w:numPr>
          <w:ilvl w:val="0"/>
          <w:numId w:val="23"/>
        </w:numPr>
        <w:tabs>
          <w:tab w:val="left" w:pos="1276"/>
        </w:tabs>
        <w:ind w:left="0" w:firstLine="851"/>
      </w:pPr>
      <w:r w:rsidRPr="001E10D2">
        <w:t>P</w:t>
      </w:r>
      <w:r w:rsidR="0074326D" w:rsidRPr="001E10D2">
        <w:t>oplatok</w:t>
      </w:r>
      <w:r w:rsidRPr="001E10D2">
        <w:t xml:space="preserve"> za emisie neplatí prevádzkovateľ zdroja podľa § 1 písm. a)</w:t>
      </w:r>
      <w:r w:rsidR="0074326D" w:rsidRPr="001E10D2">
        <w:t xml:space="preserve">, ak </w:t>
      </w:r>
      <w:r w:rsidR="008E3022" w:rsidRPr="001E10D2">
        <w:t xml:space="preserve">výška </w:t>
      </w:r>
      <w:r w:rsidR="000A013D" w:rsidRPr="001E10D2">
        <w:t xml:space="preserve">ročného </w:t>
      </w:r>
      <w:r w:rsidR="008E3022" w:rsidRPr="001E10D2">
        <w:t xml:space="preserve">poplatku za emisie </w:t>
      </w:r>
      <w:r w:rsidR="00E276FF" w:rsidRPr="001E10D2">
        <w:t>podľa § 2</w:t>
      </w:r>
      <w:r w:rsidR="000A013D" w:rsidRPr="001E10D2">
        <w:t xml:space="preserve"> ods. </w:t>
      </w:r>
      <w:r w:rsidR="00CB1A16" w:rsidRPr="001E10D2">
        <w:t xml:space="preserve">3 </w:t>
      </w:r>
      <w:r w:rsidR="000A013D" w:rsidRPr="001E10D2">
        <w:t xml:space="preserve">alebo poplatku za emisie za obdobie prevádzky zdroja v príslušnom roku podľa § 2 ods. 1 písm. b) </w:t>
      </w:r>
      <w:r w:rsidR="008E3022" w:rsidRPr="001E10D2">
        <w:t xml:space="preserve">je </w:t>
      </w:r>
      <w:r w:rsidR="0074326D" w:rsidRPr="001E10D2">
        <w:t xml:space="preserve">menej ako </w:t>
      </w:r>
      <w:r w:rsidRPr="001E10D2">
        <w:t xml:space="preserve">500 eur. </w:t>
      </w:r>
    </w:p>
    <w:p w:rsidR="00702515" w:rsidRPr="001E10D2" w:rsidRDefault="00702515" w:rsidP="00702515">
      <w:pPr>
        <w:pStyle w:val="Zarkazkladnhotextu2"/>
        <w:tabs>
          <w:tab w:val="left" w:pos="426"/>
          <w:tab w:val="left" w:pos="1276"/>
        </w:tabs>
        <w:rPr>
          <w:u w:val="single"/>
        </w:rPr>
      </w:pPr>
    </w:p>
    <w:p w:rsidR="00702515" w:rsidRPr="001E10D2" w:rsidRDefault="00702515" w:rsidP="00702515">
      <w:pPr>
        <w:pStyle w:val="Zarkazkladnhotextu2"/>
        <w:numPr>
          <w:ilvl w:val="0"/>
          <w:numId w:val="23"/>
        </w:numPr>
        <w:ind w:left="0" w:firstLine="851"/>
      </w:pPr>
      <w:r w:rsidRPr="001E10D2">
        <w:t xml:space="preserve">Poplatok za emisie neplatí prevádzkovateľ zdroja podľa § 1 písm. b), ak výška </w:t>
      </w:r>
      <w:r w:rsidR="000A013D" w:rsidRPr="001E10D2">
        <w:t xml:space="preserve">ročného </w:t>
      </w:r>
      <w:r w:rsidRPr="001E10D2">
        <w:t>popl</w:t>
      </w:r>
      <w:r w:rsidR="008E3022" w:rsidRPr="001E10D2">
        <w:t xml:space="preserve">atku za emisie </w:t>
      </w:r>
      <w:r w:rsidR="000A013D" w:rsidRPr="001E10D2">
        <w:t xml:space="preserve">podľa § 3 ods. 4 </w:t>
      </w:r>
      <w:r w:rsidR="008E3022" w:rsidRPr="001E10D2">
        <w:t>je</w:t>
      </w:r>
      <w:r w:rsidRPr="001E10D2">
        <w:t xml:space="preserve"> menej ako 100 eur. </w:t>
      </w:r>
    </w:p>
    <w:p w:rsidR="005D3D67" w:rsidRPr="001E10D2" w:rsidRDefault="005D3D67" w:rsidP="00F44EBF">
      <w:pPr>
        <w:ind w:firstLine="851"/>
      </w:pPr>
    </w:p>
    <w:p w:rsidR="004433E6" w:rsidRPr="001E10D2" w:rsidRDefault="003A706B" w:rsidP="000D133F">
      <w:pPr>
        <w:spacing w:after="120"/>
        <w:jc w:val="center"/>
        <w:rPr>
          <w:b/>
        </w:rPr>
      </w:pPr>
      <w:r w:rsidRPr="001E10D2">
        <w:rPr>
          <w:b/>
        </w:rPr>
        <w:t xml:space="preserve">§ </w:t>
      </w:r>
      <w:r w:rsidR="00B87F1E" w:rsidRPr="001E10D2">
        <w:rPr>
          <w:b/>
        </w:rPr>
        <w:t>6</w:t>
      </w:r>
    </w:p>
    <w:p w:rsidR="00723077" w:rsidRPr="001E10D2" w:rsidRDefault="00723077" w:rsidP="00723077">
      <w:pPr>
        <w:keepNext/>
        <w:jc w:val="center"/>
        <w:rPr>
          <w:b/>
        </w:rPr>
      </w:pPr>
      <w:r w:rsidRPr="001E10D2">
        <w:rPr>
          <w:b/>
        </w:rPr>
        <w:t>Príjemca poplatku</w:t>
      </w:r>
    </w:p>
    <w:p w:rsidR="00723077" w:rsidRPr="001E10D2" w:rsidRDefault="00723077" w:rsidP="00723077"/>
    <w:p w:rsidR="00723077" w:rsidRPr="001E10D2" w:rsidRDefault="00723077" w:rsidP="00723077">
      <w:pPr>
        <w:pStyle w:val="Zarkazkladnhotextu2"/>
        <w:ind w:left="0" w:firstLine="851"/>
      </w:pPr>
      <w:r w:rsidRPr="001E10D2">
        <w:t xml:space="preserve">(1) Poplatky </w:t>
      </w:r>
      <w:r w:rsidR="00086C0F" w:rsidRPr="001E10D2">
        <w:t>za emisie z veľkého zdroja a</w:t>
      </w:r>
      <w:r w:rsidR="00AF4FCA" w:rsidRPr="001E10D2">
        <w:t xml:space="preserve">lebo </w:t>
      </w:r>
      <w:r w:rsidR="00086C0F" w:rsidRPr="001E10D2">
        <w:t xml:space="preserve"> stredného zdroja </w:t>
      </w:r>
      <w:r w:rsidRPr="001E10D2">
        <w:t>platené prevádzkovateľom</w:t>
      </w:r>
      <w:r w:rsidR="00B25539" w:rsidRPr="001E10D2">
        <w:t xml:space="preserve"> zdroja</w:t>
      </w:r>
      <w:r w:rsidR="00086C0F" w:rsidRPr="001E10D2">
        <w:t xml:space="preserve"> podľa § 1 písm. a) </w:t>
      </w:r>
      <w:r w:rsidRPr="001E10D2">
        <w:t>sú príjmom fondu.</w:t>
      </w:r>
      <w:r w:rsidR="00086C0F" w:rsidRPr="001E10D2">
        <w:t xml:space="preserve"> </w:t>
      </w:r>
    </w:p>
    <w:p w:rsidR="006B089A" w:rsidRPr="001E10D2" w:rsidRDefault="006B089A" w:rsidP="00723077">
      <w:pPr>
        <w:pStyle w:val="Zarkazkladnhotextu2"/>
        <w:ind w:left="0" w:firstLine="851"/>
      </w:pPr>
    </w:p>
    <w:p w:rsidR="00723077" w:rsidRPr="001E10D2" w:rsidRDefault="00723077" w:rsidP="00723077">
      <w:pPr>
        <w:pStyle w:val="Zarkazkladnhotextu2"/>
        <w:ind w:left="0" w:firstLine="851"/>
      </w:pPr>
      <w:r w:rsidRPr="001E10D2">
        <w:lastRenderedPageBreak/>
        <w:t xml:space="preserve">(2) Poplatky </w:t>
      </w:r>
      <w:r w:rsidR="00086C0F" w:rsidRPr="001E10D2">
        <w:t xml:space="preserve">za emisie z malého zdroja platené prevádzkovateľom zdroja podľa § 1 písm. b) </w:t>
      </w:r>
      <w:r w:rsidRPr="001E10D2">
        <w:t>sú príjmom rozpočtu obce.</w:t>
      </w:r>
    </w:p>
    <w:p w:rsidR="00723077" w:rsidRPr="001E10D2" w:rsidRDefault="00723077" w:rsidP="00723077">
      <w:pPr>
        <w:pStyle w:val="Zarkazkladnhotextu2"/>
        <w:ind w:left="0" w:firstLine="851"/>
      </w:pPr>
    </w:p>
    <w:p w:rsidR="00723077" w:rsidRPr="001E10D2" w:rsidRDefault="00723077" w:rsidP="00723077">
      <w:pPr>
        <w:pStyle w:val="Zarkazkladnhotextu2"/>
        <w:ind w:left="284" w:firstLine="0"/>
      </w:pPr>
    </w:p>
    <w:p w:rsidR="006A7CE5" w:rsidRPr="001E10D2" w:rsidRDefault="003A706B" w:rsidP="009555C5">
      <w:pPr>
        <w:keepNext/>
        <w:spacing w:after="120"/>
        <w:jc w:val="center"/>
        <w:rPr>
          <w:b/>
        </w:rPr>
      </w:pPr>
      <w:r w:rsidRPr="001E10D2">
        <w:rPr>
          <w:b/>
        </w:rPr>
        <w:t xml:space="preserve">§ </w:t>
      </w:r>
      <w:r w:rsidR="00B87F1E" w:rsidRPr="001E10D2">
        <w:rPr>
          <w:b/>
        </w:rPr>
        <w:t>7</w:t>
      </w:r>
    </w:p>
    <w:p w:rsidR="006A7CE5" w:rsidRPr="001E10D2" w:rsidRDefault="00723077" w:rsidP="009555C5">
      <w:pPr>
        <w:keepNext/>
        <w:jc w:val="center"/>
        <w:rPr>
          <w:b/>
        </w:rPr>
      </w:pPr>
      <w:r w:rsidRPr="001E10D2">
        <w:rPr>
          <w:b/>
        </w:rPr>
        <w:t>Pokuty</w:t>
      </w:r>
    </w:p>
    <w:p w:rsidR="00723077" w:rsidRPr="001E10D2" w:rsidRDefault="00723077" w:rsidP="009555C5">
      <w:pPr>
        <w:keepNext/>
        <w:jc w:val="center"/>
        <w:rPr>
          <w:b/>
        </w:rPr>
      </w:pPr>
    </w:p>
    <w:p w:rsidR="00723077" w:rsidRPr="001E10D2" w:rsidRDefault="00723077" w:rsidP="00723077">
      <w:pPr>
        <w:pStyle w:val="Zarkazkladnhotextu"/>
        <w:numPr>
          <w:ilvl w:val="1"/>
          <w:numId w:val="2"/>
        </w:numPr>
        <w:tabs>
          <w:tab w:val="left" w:pos="1276"/>
        </w:tabs>
        <w:ind w:left="0" w:firstLine="851"/>
      </w:pPr>
      <w:r w:rsidRPr="001E10D2">
        <w:t xml:space="preserve">Za nesplnenie povinností podľa § </w:t>
      </w:r>
      <w:r w:rsidR="008E08E6" w:rsidRPr="001E10D2">
        <w:t>4</w:t>
      </w:r>
      <w:r w:rsidRPr="001E10D2">
        <w:t xml:space="preserve"> ods. 3 a 4 okresný úrad </w:t>
      </w:r>
      <w:r w:rsidR="00A63E44" w:rsidRPr="001E10D2">
        <w:t xml:space="preserve">uloží </w:t>
      </w:r>
      <w:r w:rsidRPr="001E10D2">
        <w:t xml:space="preserve">prevádzkovateľovi </w:t>
      </w:r>
      <w:r w:rsidR="00B739CA" w:rsidRPr="001E10D2">
        <w:t xml:space="preserve">zdroja podľa § 1 písm. a) </w:t>
      </w:r>
      <w:r w:rsidRPr="001E10D2">
        <w:t>pokutu od 100 eur do 1 000 eur.</w:t>
      </w:r>
      <w:r w:rsidR="00B739CA" w:rsidRPr="001E10D2">
        <w:t xml:space="preserve"> </w:t>
      </w:r>
    </w:p>
    <w:p w:rsidR="00723077" w:rsidRPr="001E10D2" w:rsidRDefault="00723077" w:rsidP="00723077">
      <w:pPr>
        <w:pStyle w:val="Zarkazkladnhotextu"/>
        <w:tabs>
          <w:tab w:val="left" w:pos="1276"/>
        </w:tabs>
        <w:ind w:left="0" w:firstLine="0"/>
      </w:pPr>
    </w:p>
    <w:p w:rsidR="00723077" w:rsidRPr="001E10D2" w:rsidRDefault="00723077" w:rsidP="00723077">
      <w:pPr>
        <w:pStyle w:val="Zarkazkladnhotextu"/>
        <w:numPr>
          <w:ilvl w:val="1"/>
          <w:numId w:val="2"/>
        </w:numPr>
        <w:tabs>
          <w:tab w:val="left" w:pos="1276"/>
        </w:tabs>
        <w:ind w:left="0" w:firstLine="851"/>
      </w:pPr>
      <w:r w:rsidRPr="001E10D2">
        <w:t xml:space="preserve">Za nesplnenie povinností podľa § </w:t>
      </w:r>
      <w:r w:rsidR="008E08E6" w:rsidRPr="001E10D2">
        <w:t>4</w:t>
      </w:r>
      <w:r w:rsidRPr="001E10D2">
        <w:t xml:space="preserve"> ods. 5 obec uloží prevádzkovateľovi </w:t>
      </w:r>
      <w:r w:rsidR="00B739CA" w:rsidRPr="001E10D2">
        <w:t xml:space="preserve">zdroja podľa § 1 písm. b) </w:t>
      </w:r>
      <w:r w:rsidRPr="001E10D2">
        <w:t>pokutu od 50 eur do</w:t>
      </w:r>
      <w:r w:rsidR="0070568C" w:rsidRPr="001E10D2">
        <w:t xml:space="preserve"> 800 </w:t>
      </w:r>
      <w:r w:rsidRPr="001E10D2">
        <w:t>eur.</w:t>
      </w:r>
    </w:p>
    <w:p w:rsidR="00723077" w:rsidRPr="001E10D2" w:rsidRDefault="00723077" w:rsidP="00723077">
      <w:pPr>
        <w:tabs>
          <w:tab w:val="left" w:pos="1276"/>
        </w:tabs>
        <w:ind w:firstLine="851"/>
      </w:pPr>
    </w:p>
    <w:p w:rsidR="00EC3E63" w:rsidRPr="001E10D2" w:rsidRDefault="00BB0444" w:rsidP="00C07DA1">
      <w:pPr>
        <w:pStyle w:val="Zarkazkladnhotextu"/>
        <w:numPr>
          <w:ilvl w:val="1"/>
          <w:numId w:val="2"/>
        </w:numPr>
        <w:tabs>
          <w:tab w:val="left" w:pos="1276"/>
        </w:tabs>
        <w:ind w:left="0" w:firstLine="851"/>
      </w:pPr>
      <w:r w:rsidRPr="001E10D2">
        <w:t>Pokutu podľa odsekov</w:t>
      </w:r>
      <w:r w:rsidR="00723077" w:rsidRPr="001E10D2">
        <w:t xml:space="preserve"> 1 a 2 možno uložiť do jedného roka odo dňa, keď sa príslušný orgán ochrany ovzdušia o porušení povinností dozvedel, najneskôr do troch rokov od porušenia tejto povinnosti.</w:t>
      </w:r>
      <w:r w:rsidR="00C07DA1" w:rsidRPr="001E10D2">
        <w:t xml:space="preserve"> </w:t>
      </w:r>
    </w:p>
    <w:p w:rsidR="00EC3E63" w:rsidRPr="001E10D2" w:rsidRDefault="00EC3E63" w:rsidP="00EC3E63">
      <w:pPr>
        <w:pStyle w:val="Odsekzoznamu"/>
      </w:pPr>
    </w:p>
    <w:p w:rsidR="00EC3E63" w:rsidRPr="001E10D2" w:rsidRDefault="00AF4FCA" w:rsidP="00EC3E63">
      <w:pPr>
        <w:numPr>
          <w:ilvl w:val="1"/>
          <w:numId w:val="2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E10D2">
        <w:t xml:space="preserve">Pri rozhodovaní o výške pokuty prihliada okresný úrad a obec na závažnosť a rozsah porušenia povinností, na okolnosti, ktoré viedli k tomuto porušeniu, a na čas trvania protiprávneho stavu. </w:t>
      </w:r>
      <w:r w:rsidR="00EC3E63" w:rsidRPr="001E10D2">
        <w:rPr>
          <w:szCs w:val="24"/>
        </w:rPr>
        <w:t xml:space="preserve">Za opakované protiprávne konanie uvedené v odsekoch 1 a </w:t>
      </w:r>
      <w:r w:rsidR="008C0A9A" w:rsidRPr="001E10D2">
        <w:rPr>
          <w:szCs w:val="24"/>
        </w:rPr>
        <w:t>2</w:t>
      </w:r>
      <w:r w:rsidR="00EC3E63" w:rsidRPr="001E10D2">
        <w:rPr>
          <w:szCs w:val="24"/>
        </w:rPr>
        <w:t xml:space="preserve"> </w:t>
      </w:r>
      <w:r w:rsidR="008C0A9A" w:rsidRPr="001E10D2">
        <w:rPr>
          <w:szCs w:val="24"/>
        </w:rPr>
        <w:t>možno uložiť</w:t>
      </w:r>
      <w:r w:rsidR="00B54504" w:rsidRPr="001E10D2">
        <w:rPr>
          <w:szCs w:val="24"/>
        </w:rPr>
        <w:t xml:space="preserve"> pokut</w:t>
      </w:r>
      <w:r w:rsidR="00553115" w:rsidRPr="001E10D2">
        <w:rPr>
          <w:szCs w:val="24"/>
        </w:rPr>
        <w:t>u</w:t>
      </w:r>
      <w:r w:rsidR="00EC3E63" w:rsidRPr="001E10D2">
        <w:rPr>
          <w:szCs w:val="24"/>
        </w:rPr>
        <w:t xml:space="preserve"> až do výšky dvojnásobku hornej hranice pokút. </w:t>
      </w:r>
    </w:p>
    <w:p w:rsidR="00C07DA1" w:rsidRPr="001E10D2" w:rsidRDefault="00C07DA1" w:rsidP="00C07DA1">
      <w:pPr>
        <w:pStyle w:val="Odsekzoznamu"/>
      </w:pPr>
    </w:p>
    <w:p w:rsidR="00723077" w:rsidRPr="001E10D2" w:rsidRDefault="00723077" w:rsidP="00723077">
      <w:pPr>
        <w:pStyle w:val="Zarkazkladnhotextu"/>
        <w:numPr>
          <w:ilvl w:val="1"/>
          <w:numId w:val="2"/>
        </w:numPr>
        <w:tabs>
          <w:tab w:val="left" w:pos="1276"/>
        </w:tabs>
        <w:ind w:left="0" w:firstLine="851"/>
      </w:pPr>
      <w:r w:rsidRPr="001E10D2">
        <w:t xml:space="preserve">Pokuty uložené podľa odseku 1 sú príjmom </w:t>
      </w:r>
      <w:r w:rsidR="008E08E6" w:rsidRPr="001E10D2">
        <w:t xml:space="preserve">rozpočtu </w:t>
      </w:r>
      <w:r w:rsidRPr="001E10D2">
        <w:t xml:space="preserve">okresného úradu. Pokuty uložené podľa odseku 2 sú príjmom </w:t>
      </w:r>
      <w:r w:rsidR="008E08E6" w:rsidRPr="001E10D2">
        <w:t xml:space="preserve">rozpočtu </w:t>
      </w:r>
      <w:r w:rsidRPr="001E10D2">
        <w:t>obce.</w:t>
      </w:r>
    </w:p>
    <w:p w:rsidR="00C07DA1" w:rsidRPr="001E10D2" w:rsidRDefault="00C07DA1" w:rsidP="00C07DA1">
      <w:pPr>
        <w:pStyle w:val="Odsekzoznamu"/>
      </w:pPr>
    </w:p>
    <w:p w:rsidR="00723077" w:rsidRPr="001E10D2" w:rsidRDefault="00723077" w:rsidP="00AF3105">
      <w:pPr>
        <w:pStyle w:val="Zarkazkladnhotextu2"/>
        <w:ind w:left="284" w:firstLine="0"/>
      </w:pPr>
    </w:p>
    <w:p w:rsidR="004433E6" w:rsidRPr="001E10D2" w:rsidRDefault="003A706B" w:rsidP="000D133F">
      <w:pPr>
        <w:spacing w:after="120"/>
        <w:jc w:val="center"/>
        <w:rPr>
          <w:b/>
        </w:rPr>
      </w:pPr>
      <w:r w:rsidRPr="001E10D2">
        <w:rPr>
          <w:b/>
        </w:rPr>
        <w:t xml:space="preserve">§ </w:t>
      </w:r>
      <w:r w:rsidR="00B87F1E" w:rsidRPr="001E10D2">
        <w:rPr>
          <w:b/>
        </w:rPr>
        <w:t>8</w:t>
      </w:r>
    </w:p>
    <w:p w:rsidR="004433E6" w:rsidRPr="001E10D2" w:rsidRDefault="004433E6" w:rsidP="004433E6">
      <w:pPr>
        <w:jc w:val="center"/>
        <w:rPr>
          <w:b/>
        </w:rPr>
      </w:pPr>
      <w:r w:rsidRPr="001E10D2">
        <w:rPr>
          <w:b/>
        </w:rPr>
        <w:t xml:space="preserve">Konanie </w:t>
      </w:r>
      <w:r w:rsidR="00EA4DC2" w:rsidRPr="001E10D2">
        <w:rPr>
          <w:b/>
        </w:rPr>
        <w:t>o určení</w:t>
      </w:r>
      <w:r w:rsidR="00E15354" w:rsidRPr="001E10D2">
        <w:rPr>
          <w:b/>
        </w:rPr>
        <w:t xml:space="preserve"> </w:t>
      </w:r>
      <w:r w:rsidR="00EA4DC2" w:rsidRPr="001E10D2">
        <w:rPr>
          <w:b/>
        </w:rPr>
        <w:t>poplatku a</w:t>
      </w:r>
      <w:r w:rsidR="00186AA6" w:rsidRPr="001E10D2">
        <w:rPr>
          <w:b/>
        </w:rPr>
        <w:t xml:space="preserve"> konanie o </w:t>
      </w:r>
      <w:r w:rsidR="00EA4DC2" w:rsidRPr="001E10D2">
        <w:rPr>
          <w:b/>
        </w:rPr>
        <w:t>uložení</w:t>
      </w:r>
      <w:r w:rsidR="00FC12BC" w:rsidRPr="001E10D2">
        <w:rPr>
          <w:b/>
        </w:rPr>
        <w:t xml:space="preserve"> pokuty</w:t>
      </w:r>
    </w:p>
    <w:p w:rsidR="004433E6" w:rsidRPr="001E10D2" w:rsidRDefault="004433E6" w:rsidP="004433E6">
      <w:pPr>
        <w:jc w:val="center"/>
      </w:pPr>
    </w:p>
    <w:p w:rsidR="005D3D67" w:rsidRPr="001E10D2" w:rsidRDefault="006B4C59" w:rsidP="00441DFA">
      <w:pPr>
        <w:numPr>
          <w:ilvl w:val="0"/>
          <w:numId w:val="8"/>
        </w:numPr>
        <w:tabs>
          <w:tab w:val="left" w:pos="1276"/>
        </w:tabs>
        <w:spacing w:after="120"/>
        <w:ind w:left="0" w:firstLine="851"/>
        <w:jc w:val="both"/>
      </w:pPr>
      <w:r w:rsidRPr="001E10D2">
        <w:t xml:space="preserve">Na konanie </w:t>
      </w:r>
      <w:r w:rsidR="00EA4DC2" w:rsidRPr="001E10D2">
        <w:t>o určení poplatku a</w:t>
      </w:r>
      <w:r w:rsidR="00AC0153" w:rsidRPr="001E10D2">
        <w:t xml:space="preserve"> konanie </w:t>
      </w:r>
      <w:r w:rsidR="00A42CC2" w:rsidRPr="001E10D2">
        <w:t xml:space="preserve">o </w:t>
      </w:r>
      <w:r w:rsidR="00EA4DC2" w:rsidRPr="001E10D2">
        <w:t xml:space="preserve">uložení pokuty </w:t>
      </w:r>
      <w:r w:rsidR="0026034F" w:rsidRPr="001E10D2">
        <w:t xml:space="preserve">podľa tohto zákona sa vzťahuje </w:t>
      </w:r>
      <w:r w:rsidR="005665F1" w:rsidRPr="001E10D2">
        <w:t>s</w:t>
      </w:r>
      <w:r w:rsidR="0026034F" w:rsidRPr="001E10D2">
        <w:t>právny poriadok</w:t>
      </w:r>
      <w:r w:rsidRPr="001E10D2">
        <w:t>,</w:t>
      </w:r>
      <w:r w:rsidR="005D3D67" w:rsidRPr="001E10D2">
        <w:t xml:space="preserve"> </w:t>
      </w:r>
      <w:r w:rsidRPr="001E10D2">
        <w:t xml:space="preserve">ak </w:t>
      </w:r>
      <w:r w:rsidR="00EA4DC2" w:rsidRPr="001E10D2">
        <w:t>v odsekoch 2 až 6 nie je ustanovené</w:t>
      </w:r>
      <w:r w:rsidRPr="001E10D2">
        <w:t xml:space="preserve"> inak. </w:t>
      </w:r>
    </w:p>
    <w:p w:rsidR="005D3D67" w:rsidRPr="001E10D2" w:rsidRDefault="004433E6" w:rsidP="00441DFA">
      <w:pPr>
        <w:numPr>
          <w:ilvl w:val="0"/>
          <w:numId w:val="8"/>
        </w:numPr>
        <w:tabs>
          <w:tab w:val="left" w:pos="1276"/>
          <w:tab w:val="left" w:pos="1560"/>
        </w:tabs>
        <w:spacing w:after="120"/>
        <w:ind w:left="0" w:firstLine="851"/>
        <w:jc w:val="both"/>
      </w:pPr>
      <w:r w:rsidRPr="001E10D2">
        <w:t xml:space="preserve">Oznámenie podľa § </w:t>
      </w:r>
      <w:r w:rsidR="009B7FB7" w:rsidRPr="001E10D2">
        <w:t>4</w:t>
      </w:r>
      <w:r w:rsidR="00A83204" w:rsidRPr="001E10D2">
        <w:t xml:space="preserve"> </w:t>
      </w:r>
      <w:r w:rsidR="005D6ECB" w:rsidRPr="001E10D2">
        <w:t xml:space="preserve">ods. 1, 3 a 4 </w:t>
      </w:r>
      <w:r w:rsidRPr="001E10D2">
        <w:t xml:space="preserve">je návrhom na začatie konania </w:t>
      </w:r>
      <w:r w:rsidR="00D30FD3" w:rsidRPr="001E10D2">
        <w:t>o určení poplatku</w:t>
      </w:r>
      <w:r w:rsidR="000D133F" w:rsidRPr="001E10D2">
        <w:t xml:space="preserve"> </w:t>
      </w:r>
      <w:r w:rsidRPr="001E10D2">
        <w:t xml:space="preserve">podľa </w:t>
      </w:r>
      <w:r w:rsidR="00203565" w:rsidRPr="001E10D2">
        <w:t>odseku</w:t>
      </w:r>
      <w:r w:rsidR="00441DFA" w:rsidRPr="001E10D2">
        <w:t> </w:t>
      </w:r>
      <w:r w:rsidR="00203565" w:rsidRPr="001E10D2">
        <w:t>1.</w:t>
      </w:r>
      <w:r w:rsidR="007B325A" w:rsidRPr="001E10D2">
        <w:t xml:space="preserve"> </w:t>
      </w:r>
      <w:r w:rsidR="00475D19" w:rsidRPr="001E10D2">
        <w:t xml:space="preserve">Konanie </w:t>
      </w:r>
      <w:r w:rsidR="00460A64" w:rsidRPr="001E10D2">
        <w:t xml:space="preserve">o určení poplatku </w:t>
      </w:r>
      <w:r w:rsidR="00475D19" w:rsidRPr="001E10D2">
        <w:t xml:space="preserve">sa začína </w:t>
      </w:r>
      <w:r w:rsidR="00AF3105" w:rsidRPr="001E10D2">
        <w:t xml:space="preserve">dňom </w:t>
      </w:r>
      <w:r w:rsidR="009555C5" w:rsidRPr="001E10D2">
        <w:t xml:space="preserve">oznámenia </w:t>
      </w:r>
      <w:r w:rsidR="00AF3105" w:rsidRPr="001E10D2">
        <w:t xml:space="preserve">údajov </w:t>
      </w:r>
      <w:r w:rsidR="00460A64" w:rsidRPr="001E10D2">
        <w:t>o</w:t>
      </w:r>
      <w:r w:rsidR="0070568C" w:rsidRPr="001E10D2">
        <w:t xml:space="preserve"> emisiách </w:t>
      </w:r>
      <w:r w:rsidR="0004606D" w:rsidRPr="001E10D2">
        <w:t xml:space="preserve">vypustených </w:t>
      </w:r>
      <w:r w:rsidR="00460A64" w:rsidRPr="001E10D2">
        <w:t xml:space="preserve">za predchádzajúci kalendárny rok </w:t>
      </w:r>
      <w:r w:rsidR="002B0542" w:rsidRPr="001E10D2">
        <w:t>prevádzkovateľom</w:t>
      </w:r>
      <w:r w:rsidR="00AF3105" w:rsidRPr="001E10D2">
        <w:t xml:space="preserve"> </w:t>
      </w:r>
      <w:r w:rsidR="00B739CA" w:rsidRPr="001E10D2">
        <w:t>zdroja podľa § 1 písm. a)</w:t>
      </w:r>
      <w:r w:rsidR="009555C5" w:rsidRPr="001E10D2">
        <w:t xml:space="preserve"> vložením</w:t>
      </w:r>
      <w:r w:rsidR="007B325A" w:rsidRPr="001E10D2">
        <w:t xml:space="preserve"> do databázy Národného emisného informačného systému.</w:t>
      </w:r>
      <w:r w:rsidR="00B739CA" w:rsidRPr="001E10D2">
        <w:t xml:space="preserve"> </w:t>
      </w:r>
    </w:p>
    <w:p w:rsidR="005D3D67" w:rsidRPr="001E10D2" w:rsidRDefault="004433E6" w:rsidP="00441DFA">
      <w:pPr>
        <w:numPr>
          <w:ilvl w:val="0"/>
          <w:numId w:val="8"/>
        </w:numPr>
        <w:tabs>
          <w:tab w:val="left" w:pos="1276"/>
        </w:tabs>
        <w:spacing w:after="120"/>
        <w:ind w:left="0" w:firstLine="851"/>
        <w:jc w:val="both"/>
      </w:pPr>
      <w:r w:rsidRPr="001E10D2">
        <w:t xml:space="preserve">Okresný úrad </w:t>
      </w:r>
      <w:r w:rsidR="00B241C5" w:rsidRPr="001E10D2">
        <w:t xml:space="preserve">vydá rozhodnutie podľa § </w:t>
      </w:r>
      <w:r w:rsidR="009B7FB7" w:rsidRPr="001E10D2">
        <w:t>2</w:t>
      </w:r>
      <w:r w:rsidR="00B241C5" w:rsidRPr="001E10D2">
        <w:t xml:space="preserve"> ods. </w:t>
      </w:r>
      <w:r w:rsidR="00AF4FCA" w:rsidRPr="001E10D2">
        <w:t>4</w:t>
      </w:r>
      <w:r w:rsidR="00B241C5" w:rsidRPr="001E10D2">
        <w:t xml:space="preserve"> písm. a)</w:t>
      </w:r>
      <w:r w:rsidRPr="001E10D2">
        <w:t xml:space="preserve"> do 31. mája</w:t>
      </w:r>
      <w:r w:rsidR="00C7546D" w:rsidRPr="001E10D2">
        <w:t xml:space="preserve"> </w:t>
      </w:r>
      <w:r w:rsidR="00203565" w:rsidRPr="001E10D2">
        <w:t>kalendárneho roka</w:t>
      </w:r>
      <w:r w:rsidRPr="001E10D2">
        <w:t xml:space="preserve">. </w:t>
      </w:r>
      <w:r w:rsidR="00203565" w:rsidRPr="001E10D2">
        <w:t>O</w:t>
      </w:r>
      <w:r w:rsidRPr="001E10D2">
        <w:t xml:space="preserve">kresný úrad konanie </w:t>
      </w:r>
      <w:r w:rsidR="005378F9" w:rsidRPr="001E10D2">
        <w:t xml:space="preserve">o určení poplatku </w:t>
      </w:r>
      <w:r w:rsidRPr="001E10D2">
        <w:t>zastaví,</w:t>
      </w:r>
      <w:r w:rsidR="00551BB2" w:rsidRPr="001E10D2">
        <w:t xml:space="preserve"> ak zistí, že prevádzkovateľ zdroja podľa § 1 písm. a) </w:t>
      </w:r>
      <w:r w:rsidR="00E50A2F" w:rsidRPr="001E10D2">
        <w:t xml:space="preserve">poplatok za emisie </w:t>
      </w:r>
      <w:r w:rsidR="00551BB2" w:rsidRPr="001E10D2">
        <w:t xml:space="preserve">podľa § 5 ods. </w:t>
      </w:r>
      <w:r w:rsidR="00E276FF" w:rsidRPr="001E10D2">
        <w:t>6</w:t>
      </w:r>
      <w:r w:rsidR="008F23AC" w:rsidRPr="001E10D2">
        <w:t xml:space="preserve"> </w:t>
      </w:r>
      <w:r w:rsidR="00E50A2F" w:rsidRPr="001E10D2">
        <w:t>neplatí</w:t>
      </w:r>
      <w:r w:rsidR="00472917" w:rsidRPr="001E10D2">
        <w:t>.</w:t>
      </w:r>
      <w:r w:rsidR="002E40F4" w:rsidRPr="001E10D2">
        <w:t xml:space="preserve"> </w:t>
      </w:r>
      <w:r w:rsidRPr="001E10D2">
        <w:t>Proti rozhodnutiu o zastavení konania sa nemožno odvolať.</w:t>
      </w:r>
      <w:r w:rsidR="00ED27AC" w:rsidRPr="001E10D2">
        <w:rPr>
          <w:i/>
          <w:iCs/>
        </w:rPr>
        <w:t xml:space="preserve"> </w:t>
      </w:r>
    </w:p>
    <w:p w:rsidR="006309A8" w:rsidRPr="001E10D2" w:rsidRDefault="006309A8" w:rsidP="006309A8">
      <w:pPr>
        <w:numPr>
          <w:ilvl w:val="0"/>
          <w:numId w:val="8"/>
        </w:numPr>
        <w:tabs>
          <w:tab w:val="left" w:pos="1276"/>
        </w:tabs>
        <w:spacing w:after="120"/>
        <w:ind w:left="0" w:firstLine="851"/>
        <w:jc w:val="both"/>
      </w:pPr>
      <w:r w:rsidRPr="001E10D2">
        <w:t xml:space="preserve">Oznámenie podľa § </w:t>
      </w:r>
      <w:r w:rsidR="009B7FB7" w:rsidRPr="001E10D2">
        <w:t>4</w:t>
      </w:r>
      <w:r w:rsidRPr="001E10D2">
        <w:t xml:space="preserve"> ods. 5 je návrhom na začatie konania </w:t>
      </w:r>
      <w:r w:rsidR="005378F9" w:rsidRPr="001E10D2">
        <w:t>o určení poplatku</w:t>
      </w:r>
      <w:r w:rsidR="00273DB0" w:rsidRPr="001E10D2">
        <w:t xml:space="preserve"> podľa odseku 1</w:t>
      </w:r>
      <w:r w:rsidRPr="001E10D2">
        <w:t xml:space="preserve">. Konanie </w:t>
      </w:r>
      <w:r w:rsidR="00C71DD8" w:rsidRPr="001E10D2">
        <w:t xml:space="preserve">o určení poplatku </w:t>
      </w:r>
      <w:r w:rsidRPr="001E10D2">
        <w:t xml:space="preserve">sa začína dňom doručenia oznámenia </w:t>
      </w:r>
      <w:r w:rsidR="00C71DD8" w:rsidRPr="001E10D2">
        <w:t xml:space="preserve">údajov </w:t>
      </w:r>
      <w:r w:rsidR="00AA60DD" w:rsidRPr="001E10D2">
        <w:t>prevádzkovateľom</w:t>
      </w:r>
      <w:r w:rsidRPr="001E10D2">
        <w:t xml:space="preserve"> </w:t>
      </w:r>
      <w:r w:rsidR="00FA0F17" w:rsidRPr="001E10D2">
        <w:t>zdroja podľa § 1 písm. b)</w:t>
      </w:r>
      <w:r w:rsidRPr="001E10D2">
        <w:t>.</w:t>
      </w:r>
    </w:p>
    <w:p w:rsidR="00375D41" w:rsidRPr="001E10D2" w:rsidRDefault="00375D41" w:rsidP="00441DFA">
      <w:pPr>
        <w:numPr>
          <w:ilvl w:val="0"/>
          <w:numId w:val="8"/>
        </w:numPr>
        <w:tabs>
          <w:tab w:val="left" w:pos="1276"/>
        </w:tabs>
        <w:spacing w:after="120"/>
        <w:ind w:left="0" w:firstLine="851"/>
        <w:jc w:val="both"/>
      </w:pPr>
      <w:r w:rsidRPr="001E10D2">
        <w:t xml:space="preserve">Obec vydá rozhodnutie </w:t>
      </w:r>
      <w:r w:rsidR="00B1100B" w:rsidRPr="001E10D2">
        <w:t xml:space="preserve">podľa § </w:t>
      </w:r>
      <w:r w:rsidR="00B87F1E" w:rsidRPr="001E10D2">
        <w:t>3</w:t>
      </w:r>
      <w:r w:rsidR="00B1100B" w:rsidRPr="001E10D2">
        <w:t xml:space="preserve"> ods. </w:t>
      </w:r>
      <w:r w:rsidR="00C71DD8" w:rsidRPr="001E10D2">
        <w:t>6</w:t>
      </w:r>
      <w:r w:rsidR="00B1100B" w:rsidRPr="001E10D2">
        <w:t xml:space="preserve"> </w:t>
      </w:r>
      <w:r w:rsidRPr="001E10D2">
        <w:t xml:space="preserve">do 31. mája kalendárneho roka. Obec konanie </w:t>
      </w:r>
      <w:r w:rsidR="005378F9" w:rsidRPr="001E10D2">
        <w:t xml:space="preserve">o určení poplatku </w:t>
      </w:r>
      <w:r w:rsidRPr="001E10D2">
        <w:t>zastaví, ak zistí, že</w:t>
      </w:r>
      <w:r w:rsidR="00551BB2" w:rsidRPr="001E10D2">
        <w:t xml:space="preserve"> prevádzkovateľ zdroja podľa § 1 písm. b) </w:t>
      </w:r>
      <w:r w:rsidR="00E50A2F" w:rsidRPr="001E10D2">
        <w:t xml:space="preserve">poplatok za emisie </w:t>
      </w:r>
      <w:r w:rsidR="00551BB2" w:rsidRPr="001E10D2">
        <w:t>podľa § 5 ods.</w:t>
      </w:r>
      <w:r w:rsidR="00E50A2F" w:rsidRPr="001E10D2">
        <w:t xml:space="preserve"> 7</w:t>
      </w:r>
      <w:r w:rsidR="00551BB2" w:rsidRPr="001E10D2">
        <w:t xml:space="preserve"> </w:t>
      </w:r>
      <w:r w:rsidR="00E50A2F" w:rsidRPr="001E10D2">
        <w:t>neplatí.</w:t>
      </w:r>
      <w:r w:rsidRPr="001E10D2">
        <w:t xml:space="preserve"> Proti rozhodnutiu o zastavení konania sa nemožno odvolať.</w:t>
      </w:r>
    </w:p>
    <w:p w:rsidR="005145E5" w:rsidRPr="001E10D2" w:rsidRDefault="009B7FB7" w:rsidP="00441DFA">
      <w:pPr>
        <w:numPr>
          <w:ilvl w:val="0"/>
          <w:numId w:val="8"/>
        </w:numPr>
        <w:tabs>
          <w:tab w:val="left" w:pos="1276"/>
        </w:tabs>
        <w:spacing w:after="120"/>
        <w:ind w:left="0" w:firstLine="851"/>
        <w:jc w:val="both"/>
      </w:pPr>
      <w:r w:rsidRPr="001E10D2">
        <w:lastRenderedPageBreak/>
        <w:t xml:space="preserve">Pri rozhodovaní obce </w:t>
      </w:r>
      <w:r w:rsidR="00186AA6" w:rsidRPr="001E10D2">
        <w:t xml:space="preserve">v konaní </w:t>
      </w:r>
      <w:r w:rsidR="00174EAA" w:rsidRPr="001E10D2">
        <w:t>podľa tohto zákona</w:t>
      </w:r>
      <w:r w:rsidR="00257E4D" w:rsidRPr="001E10D2">
        <w:t xml:space="preserve"> ide o výkon</w:t>
      </w:r>
      <w:r w:rsidR="00174EAA" w:rsidRPr="001E10D2">
        <w:t> </w:t>
      </w:r>
      <w:r w:rsidRPr="001E10D2">
        <w:t>prenesen</w:t>
      </w:r>
      <w:r w:rsidR="00174EAA" w:rsidRPr="001E10D2">
        <w:t>ej pôsobnosti štátnej správy.</w:t>
      </w:r>
    </w:p>
    <w:p w:rsidR="00C50F69" w:rsidRPr="001E10D2" w:rsidRDefault="00C50F69" w:rsidP="00C50F69">
      <w:pPr>
        <w:jc w:val="center"/>
      </w:pPr>
    </w:p>
    <w:p w:rsidR="00416905" w:rsidRPr="001E10D2" w:rsidRDefault="00510F4D" w:rsidP="000D133F">
      <w:pPr>
        <w:spacing w:after="120"/>
        <w:jc w:val="center"/>
        <w:rPr>
          <w:b/>
          <w:bCs/>
        </w:rPr>
      </w:pPr>
      <w:r w:rsidRPr="001E10D2">
        <w:rPr>
          <w:b/>
          <w:bCs/>
        </w:rPr>
        <w:t xml:space="preserve">§ </w:t>
      </w:r>
      <w:r w:rsidR="00B87F1E" w:rsidRPr="001E10D2">
        <w:rPr>
          <w:b/>
          <w:bCs/>
        </w:rPr>
        <w:t>9</w:t>
      </w:r>
    </w:p>
    <w:p w:rsidR="00416905" w:rsidRPr="001E10D2" w:rsidRDefault="00F009AC" w:rsidP="00416905">
      <w:pPr>
        <w:jc w:val="center"/>
        <w:rPr>
          <w:b/>
        </w:rPr>
      </w:pPr>
      <w:r w:rsidRPr="001E10D2">
        <w:rPr>
          <w:b/>
        </w:rPr>
        <w:t>Prechodné ustanovenia</w:t>
      </w:r>
    </w:p>
    <w:p w:rsidR="00416905" w:rsidRPr="001E10D2" w:rsidRDefault="00416905" w:rsidP="00416905">
      <w:pPr>
        <w:jc w:val="center"/>
        <w:rPr>
          <w:b/>
        </w:rPr>
      </w:pPr>
    </w:p>
    <w:p w:rsidR="003579E4" w:rsidRPr="001E10D2" w:rsidRDefault="00E12469" w:rsidP="003579E4">
      <w:pPr>
        <w:numPr>
          <w:ilvl w:val="0"/>
          <w:numId w:val="19"/>
        </w:numPr>
        <w:tabs>
          <w:tab w:val="left" w:pos="1276"/>
        </w:tabs>
        <w:ind w:left="0" w:firstLine="851"/>
        <w:jc w:val="both"/>
      </w:pPr>
      <w:r w:rsidRPr="001E10D2">
        <w:t>K</w:t>
      </w:r>
      <w:r w:rsidR="003579E4" w:rsidRPr="001E10D2">
        <w:t xml:space="preserve">onanie začaté </w:t>
      </w:r>
      <w:r w:rsidRPr="001E10D2">
        <w:t>podľa predpisov účinných do 31. decembra 2022, ktoré sa</w:t>
      </w:r>
      <w:r w:rsidR="00F009AC" w:rsidRPr="001E10D2">
        <w:t> právoplatne ne</w:t>
      </w:r>
      <w:r w:rsidRPr="001E10D2">
        <w:t>skončilo</w:t>
      </w:r>
      <w:r w:rsidR="00F009AC" w:rsidRPr="001E10D2">
        <w:t xml:space="preserve"> </w:t>
      </w:r>
      <w:r w:rsidR="00186AA6" w:rsidRPr="001E10D2">
        <w:t>do  31. decembra 2022</w:t>
      </w:r>
      <w:r w:rsidRPr="001E10D2">
        <w:t>,</w:t>
      </w:r>
      <w:r w:rsidR="00F009AC" w:rsidRPr="001E10D2">
        <w:t xml:space="preserve"> </w:t>
      </w:r>
      <w:r w:rsidR="006C7352" w:rsidRPr="001E10D2">
        <w:t xml:space="preserve">sa </w:t>
      </w:r>
      <w:r w:rsidRPr="001E10D2">
        <w:t>dokončí podľa predpisov účinných do 31. decembra 2022</w:t>
      </w:r>
      <w:r w:rsidR="003579E4" w:rsidRPr="001E10D2">
        <w:t xml:space="preserve">. </w:t>
      </w:r>
    </w:p>
    <w:p w:rsidR="001A4E43" w:rsidRPr="001E10D2" w:rsidRDefault="001A4E43" w:rsidP="001A4E43">
      <w:pPr>
        <w:tabs>
          <w:tab w:val="left" w:pos="1276"/>
        </w:tabs>
        <w:ind w:left="851"/>
        <w:jc w:val="both"/>
      </w:pPr>
    </w:p>
    <w:p w:rsidR="00416905" w:rsidRPr="001E10D2" w:rsidRDefault="00276C61" w:rsidP="00276C61">
      <w:pPr>
        <w:numPr>
          <w:ilvl w:val="0"/>
          <w:numId w:val="19"/>
        </w:numPr>
        <w:spacing w:after="120"/>
        <w:ind w:left="0" w:firstLine="851"/>
        <w:jc w:val="both"/>
      </w:pPr>
      <w:r w:rsidRPr="001E10D2">
        <w:t>Pre veľký zdroj alebo stredný zdroj, ktorý spaľuje hnedé uhlie majúce pôvod na území Slovenskej republiky v množstve nad 30 % ročnej spotreby</w:t>
      </w:r>
      <w:r w:rsidR="006C7352" w:rsidRPr="001E10D2">
        <w:t xml:space="preserve"> takéhoto zdroja</w:t>
      </w:r>
      <w:r w:rsidRPr="001E10D2">
        <w:t>, platí osobitná poplatková povinnosť s použitím osobitného kompenzačného koeficientu uvedeného v </w:t>
      </w:r>
      <w:r w:rsidR="00E12469" w:rsidRPr="001E10D2">
        <w:t xml:space="preserve">prílohe č. 2 </w:t>
      </w:r>
      <w:r w:rsidRPr="001E10D2">
        <w:t>tabuľke č. 2</w:t>
      </w:r>
      <w:r w:rsidR="00E12469" w:rsidRPr="001E10D2">
        <w:t>;</w:t>
      </w:r>
      <w:r w:rsidRPr="001E10D2">
        <w:t xml:space="preserve"> </w:t>
      </w:r>
      <w:r w:rsidR="00E12469" w:rsidRPr="001E10D2">
        <w:t xml:space="preserve">táto osobitná </w:t>
      </w:r>
      <w:r w:rsidR="00270ED6" w:rsidRPr="001E10D2">
        <w:t xml:space="preserve">poplatková povinnosť </w:t>
      </w:r>
      <w:r w:rsidR="00E12469" w:rsidRPr="001E10D2">
        <w:t>sa uplatní</w:t>
      </w:r>
      <w:r w:rsidR="00B1100B" w:rsidRPr="001E10D2">
        <w:t xml:space="preserve"> v</w:t>
      </w:r>
      <w:r w:rsidR="00471653" w:rsidRPr="001E10D2">
        <w:t xml:space="preserve"> </w:t>
      </w:r>
      <w:r w:rsidR="002A1AB4" w:rsidRPr="001E10D2">
        <w:t>kalendárn</w:t>
      </w:r>
      <w:r w:rsidR="00B1100B" w:rsidRPr="001E10D2">
        <w:t>om</w:t>
      </w:r>
      <w:r w:rsidR="002A1AB4" w:rsidRPr="001E10D2">
        <w:t xml:space="preserve"> </w:t>
      </w:r>
      <w:r w:rsidR="00270ED6" w:rsidRPr="001E10D2">
        <w:t>rok</w:t>
      </w:r>
      <w:r w:rsidR="00B1100B" w:rsidRPr="001E10D2">
        <w:t>u</w:t>
      </w:r>
      <w:r w:rsidR="00270ED6" w:rsidRPr="001E10D2">
        <w:t xml:space="preserve"> 2023.</w:t>
      </w:r>
    </w:p>
    <w:p w:rsidR="00416905" w:rsidRPr="001E10D2" w:rsidRDefault="00416905" w:rsidP="00C50F69">
      <w:pPr>
        <w:jc w:val="center"/>
        <w:rPr>
          <w:b/>
          <w:bCs/>
        </w:rPr>
      </w:pPr>
    </w:p>
    <w:p w:rsidR="00566711" w:rsidRPr="001E10D2" w:rsidRDefault="00566711" w:rsidP="009555C5">
      <w:pPr>
        <w:keepNext/>
        <w:spacing w:after="120"/>
        <w:jc w:val="center"/>
        <w:rPr>
          <w:b/>
          <w:bCs/>
        </w:rPr>
      </w:pPr>
      <w:r w:rsidRPr="001E10D2">
        <w:rPr>
          <w:b/>
          <w:bCs/>
        </w:rPr>
        <w:t xml:space="preserve">§ </w:t>
      </w:r>
      <w:r w:rsidR="00B87F1E" w:rsidRPr="001E10D2">
        <w:rPr>
          <w:b/>
          <w:bCs/>
        </w:rPr>
        <w:t>10</w:t>
      </w:r>
    </w:p>
    <w:p w:rsidR="00416905" w:rsidRPr="001E10D2" w:rsidRDefault="00416905" w:rsidP="009555C5">
      <w:pPr>
        <w:keepNext/>
        <w:spacing w:after="240"/>
        <w:jc w:val="center"/>
        <w:rPr>
          <w:b/>
        </w:rPr>
      </w:pPr>
      <w:r w:rsidRPr="001E10D2">
        <w:rPr>
          <w:b/>
        </w:rPr>
        <w:t>Zrušovacie ustanovenie</w:t>
      </w:r>
    </w:p>
    <w:p w:rsidR="00416905" w:rsidRPr="001E10D2" w:rsidRDefault="00416905" w:rsidP="00416905">
      <w:pPr>
        <w:pStyle w:val="Zkladntext"/>
      </w:pPr>
      <w:r w:rsidRPr="001E10D2">
        <w:t>Zrušuje sa zákon č. 401/1998 Z. z. o poplatkoch za znečisťovanie ovzdušia v znení zákona č. 61/2001 Z. z., zákona č. 553/2001 Z. z., zákona č. 478/2002 Z. z., zákona č. 525/2003 Z. z., zákona č. 587/2004 Z. z., zákona č. 571/2005 Z. z., zákona č. 203/2007 Z. z., zákona č. 529/2007 Z. z., zákona č. 515/2008 Z. z., zákona č. 286/2009 Z. z., zákona č. 409/2014 Z. z. a</w:t>
      </w:r>
      <w:r w:rsidR="000D133F" w:rsidRPr="001E10D2">
        <w:t> </w:t>
      </w:r>
      <w:r w:rsidRPr="001E10D2">
        <w:t xml:space="preserve"> zákona č. 194/2018 Z. z.</w:t>
      </w:r>
    </w:p>
    <w:p w:rsidR="00566711" w:rsidRPr="001E10D2" w:rsidRDefault="00566711" w:rsidP="00566711">
      <w:pPr>
        <w:jc w:val="center"/>
        <w:rPr>
          <w:b/>
        </w:rPr>
      </w:pPr>
    </w:p>
    <w:p w:rsidR="006A7CE5" w:rsidRPr="001E10D2" w:rsidRDefault="003A706B" w:rsidP="000D133F">
      <w:pPr>
        <w:spacing w:after="120"/>
        <w:jc w:val="center"/>
        <w:rPr>
          <w:b/>
          <w:bCs/>
        </w:rPr>
      </w:pPr>
      <w:r w:rsidRPr="001E10D2">
        <w:rPr>
          <w:b/>
          <w:bCs/>
        </w:rPr>
        <w:t xml:space="preserve">§ </w:t>
      </w:r>
      <w:r w:rsidR="00B87F1E" w:rsidRPr="001E10D2">
        <w:rPr>
          <w:b/>
          <w:bCs/>
        </w:rPr>
        <w:t>11</w:t>
      </w:r>
    </w:p>
    <w:p w:rsidR="006A7CE5" w:rsidRPr="001E10D2" w:rsidRDefault="00B723B5" w:rsidP="00B723B5">
      <w:pPr>
        <w:jc w:val="center"/>
        <w:rPr>
          <w:b/>
          <w:bCs/>
        </w:rPr>
      </w:pPr>
      <w:r w:rsidRPr="001E10D2">
        <w:rPr>
          <w:b/>
          <w:bCs/>
        </w:rPr>
        <w:t>Účinnosť</w:t>
      </w:r>
    </w:p>
    <w:p w:rsidR="00510F4D" w:rsidRPr="001E10D2" w:rsidRDefault="00510F4D" w:rsidP="00B723B5">
      <w:pPr>
        <w:jc w:val="center"/>
      </w:pPr>
    </w:p>
    <w:p w:rsidR="006A7CE5" w:rsidRPr="001E10D2" w:rsidRDefault="006A7CE5">
      <w:r w:rsidRPr="001E10D2">
        <w:t xml:space="preserve">   Tento zákon nadobúda účinnosť 1. </w:t>
      </w:r>
      <w:r w:rsidR="00873C15" w:rsidRPr="001E10D2">
        <w:t>januára</w:t>
      </w:r>
      <w:r w:rsidR="00E27165" w:rsidRPr="001E10D2">
        <w:t xml:space="preserve"> </w:t>
      </w:r>
      <w:r w:rsidR="00AB36AF" w:rsidRPr="001E10D2">
        <w:t>2023</w:t>
      </w:r>
      <w:r w:rsidRPr="001E10D2">
        <w:t>.</w:t>
      </w:r>
    </w:p>
    <w:p w:rsidR="00F249CB" w:rsidRPr="001E10D2" w:rsidRDefault="00F249CB">
      <w:pPr>
        <w:jc w:val="center"/>
      </w:pPr>
    </w:p>
    <w:p w:rsidR="005044D4" w:rsidRPr="001E10D2" w:rsidRDefault="00AD7123">
      <w:pPr>
        <w:jc w:val="center"/>
      </w:pPr>
      <w:r w:rsidRPr="001E10D2">
        <w:t xml:space="preserve">  </w:t>
      </w:r>
      <w:r w:rsidR="00591B78" w:rsidRPr="001E10D2">
        <w:t xml:space="preserve">                                                                          </w:t>
      </w:r>
      <w:r w:rsidR="006A7CE5" w:rsidRPr="001E10D2">
        <w:t xml:space="preserve">  </w:t>
      </w:r>
      <w:r w:rsidR="00195854" w:rsidRPr="001E10D2">
        <w:t xml:space="preserve">  </w:t>
      </w:r>
      <w:r w:rsidR="006A7CE5" w:rsidRPr="001E10D2">
        <w:t xml:space="preserve"> </w:t>
      </w:r>
    </w:p>
    <w:p w:rsidR="006A7CE5" w:rsidRPr="001E10D2" w:rsidRDefault="005044D4" w:rsidP="00C60BA1">
      <w:pPr>
        <w:jc w:val="right"/>
        <w:rPr>
          <w:b/>
        </w:rPr>
      </w:pPr>
      <w:r w:rsidRPr="001E10D2">
        <w:br w:type="page"/>
      </w:r>
      <w:r w:rsidR="00C50F69" w:rsidRPr="001E10D2">
        <w:lastRenderedPageBreak/>
        <w:t xml:space="preserve">                    </w:t>
      </w:r>
      <w:r w:rsidR="006127A0" w:rsidRPr="001E10D2">
        <w:t xml:space="preserve">                            </w:t>
      </w:r>
      <w:r w:rsidR="00C50F69" w:rsidRPr="001E10D2">
        <w:t xml:space="preserve">                             </w:t>
      </w:r>
      <w:r w:rsidR="006A7CE5" w:rsidRPr="001E10D2">
        <w:t xml:space="preserve"> </w:t>
      </w:r>
      <w:r w:rsidR="006A7CE5" w:rsidRPr="001E10D2">
        <w:rPr>
          <w:b/>
        </w:rPr>
        <w:t>Príloha č.</w:t>
      </w:r>
      <w:r w:rsidR="00195854" w:rsidRPr="001E10D2">
        <w:rPr>
          <w:b/>
        </w:rPr>
        <w:t xml:space="preserve"> </w:t>
      </w:r>
      <w:r w:rsidR="006A7CE5" w:rsidRPr="001E10D2">
        <w:rPr>
          <w:b/>
        </w:rPr>
        <w:t>1</w:t>
      </w:r>
    </w:p>
    <w:p w:rsidR="006A7CE5" w:rsidRPr="001E10D2" w:rsidRDefault="005F7895" w:rsidP="005F7895">
      <w:pPr>
        <w:jc w:val="center"/>
      </w:pPr>
      <w:r w:rsidRPr="001E10D2">
        <w:rPr>
          <w:b/>
        </w:rPr>
        <w:t xml:space="preserve">                                                                                                        </w:t>
      </w:r>
      <w:r w:rsidR="00C60BA1" w:rsidRPr="001E10D2">
        <w:rPr>
          <w:b/>
        </w:rPr>
        <w:t xml:space="preserve">  </w:t>
      </w:r>
      <w:r w:rsidRPr="001E10D2">
        <w:rPr>
          <w:b/>
        </w:rPr>
        <w:t xml:space="preserve">  </w:t>
      </w:r>
      <w:r w:rsidR="006A7CE5" w:rsidRPr="001E10D2">
        <w:rPr>
          <w:b/>
        </w:rPr>
        <w:t>k zákonu č.</w:t>
      </w:r>
      <w:r w:rsidR="00352F67" w:rsidRPr="001E10D2">
        <w:rPr>
          <w:b/>
        </w:rPr>
        <w:t xml:space="preserve"> </w:t>
      </w:r>
      <w:r w:rsidRPr="001E10D2">
        <w:rPr>
          <w:b/>
        </w:rPr>
        <w:t>.....</w:t>
      </w:r>
      <w:r w:rsidR="006A7CE5" w:rsidRPr="001E10D2">
        <w:rPr>
          <w:b/>
        </w:rPr>
        <w:t>/</w:t>
      </w:r>
      <w:r w:rsidR="00C60BA1" w:rsidRPr="001E10D2">
        <w:rPr>
          <w:b/>
        </w:rPr>
        <w:t>2022</w:t>
      </w:r>
      <w:r w:rsidR="006A7CE5" w:rsidRPr="001E10D2">
        <w:rPr>
          <w:b/>
        </w:rPr>
        <w:t xml:space="preserve"> Z.</w:t>
      </w:r>
      <w:r w:rsidR="00FE4185" w:rsidRPr="001E10D2">
        <w:rPr>
          <w:b/>
        </w:rPr>
        <w:t xml:space="preserve"> </w:t>
      </w:r>
      <w:r w:rsidR="006A7CE5" w:rsidRPr="001E10D2">
        <w:rPr>
          <w:b/>
        </w:rPr>
        <w:t>z.</w:t>
      </w:r>
      <w:r w:rsidR="006A7CE5" w:rsidRPr="001E10D2">
        <w:t xml:space="preserve"> </w:t>
      </w:r>
    </w:p>
    <w:p w:rsidR="006A7CE5" w:rsidRPr="001E10D2" w:rsidRDefault="006A7CE5"/>
    <w:p w:rsidR="00A12690" w:rsidRPr="001E10D2" w:rsidRDefault="00415620" w:rsidP="00A12690">
      <w:pPr>
        <w:jc w:val="center"/>
        <w:rPr>
          <w:b/>
        </w:rPr>
      </w:pPr>
      <w:r w:rsidRPr="001E10D2">
        <w:rPr>
          <w:b/>
        </w:rPr>
        <w:t>EMISIE</w:t>
      </w:r>
      <w:r w:rsidR="00A12690" w:rsidRPr="001E10D2">
        <w:rPr>
          <w:b/>
        </w:rPr>
        <w:t>, NA KTORÉ SA VZŤAHUJE POPLATKOVÁ POVINNOSŤ</w:t>
      </w:r>
    </w:p>
    <w:p w:rsidR="00A12690" w:rsidRPr="001E10D2" w:rsidRDefault="00A12690" w:rsidP="00A12690">
      <w:r w:rsidRPr="001E10D2">
        <w:t xml:space="preserve">                             </w:t>
      </w:r>
    </w:p>
    <w:p w:rsidR="00A12690" w:rsidRPr="001E10D2" w:rsidRDefault="00A12690" w:rsidP="00A12690">
      <w:pPr>
        <w:tabs>
          <w:tab w:val="left" w:pos="7088"/>
        </w:tabs>
        <w:spacing w:after="120"/>
      </w:pPr>
      <w:r w:rsidRPr="001E10D2">
        <w:t>Tuhé znečisťujúce látky</w:t>
      </w:r>
      <w:r w:rsidRPr="001E10D2">
        <w:rPr>
          <w:rStyle w:val="Odkaznapoznmkupodiarou"/>
        </w:rPr>
        <w:footnoteReference w:id="9"/>
      </w:r>
      <w:r w:rsidR="00B31B38" w:rsidRPr="001E10D2">
        <w:t>)</w:t>
      </w:r>
      <w:r w:rsidRPr="001E10D2">
        <w:rPr>
          <w:vertAlign w:val="superscript"/>
        </w:rPr>
        <w:t xml:space="preserve"> </w:t>
      </w:r>
      <w:r w:rsidRPr="001E10D2">
        <w:t>(TZL)</w:t>
      </w:r>
    </w:p>
    <w:p w:rsidR="00A12690" w:rsidRPr="001E10D2" w:rsidRDefault="00A12690" w:rsidP="00A12690">
      <w:pPr>
        <w:tabs>
          <w:tab w:val="left" w:pos="7088"/>
        </w:tabs>
        <w:spacing w:after="120"/>
      </w:pPr>
      <w:r w:rsidRPr="001E10D2">
        <w:t>Oxidy síry vyjadrené ako oxid siričitý (SO</w:t>
      </w:r>
      <w:r w:rsidRPr="001E10D2">
        <w:rPr>
          <w:vertAlign w:val="subscript"/>
        </w:rPr>
        <w:t>2</w:t>
      </w:r>
      <w:r w:rsidRPr="001E10D2">
        <w:t>)</w:t>
      </w:r>
    </w:p>
    <w:p w:rsidR="00A12690" w:rsidRPr="001E10D2" w:rsidRDefault="00A12690" w:rsidP="00A12690">
      <w:pPr>
        <w:tabs>
          <w:tab w:val="left" w:pos="7088"/>
        </w:tabs>
        <w:spacing w:after="120"/>
      </w:pPr>
      <w:r w:rsidRPr="001E10D2">
        <w:t>Oxidy dusíka vyjadrené ako oxid dusičitý (NO</w:t>
      </w:r>
      <w:r w:rsidRPr="001E10D2">
        <w:rPr>
          <w:vertAlign w:val="subscript"/>
        </w:rPr>
        <w:t>X</w:t>
      </w:r>
      <w:r w:rsidRPr="001E10D2">
        <w:t>)</w:t>
      </w:r>
    </w:p>
    <w:p w:rsidR="00A12690" w:rsidRPr="001E10D2" w:rsidRDefault="00A12690" w:rsidP="00A12690">
      <w:pPr>
        <w:spacing w:after="120"/>
      </w:pPr>
      <w:r w:rsidRPr="001E10D2">
        <w:t>Oxid uhoľnatý (CO)</w:t>
      </w:r>
    </w:p>
    <w:p w:rsidR="00A12690" w:rsidRPr="001E10D2" w:rsidRDefault="00A12690" w:rsidP="00A12690">
      <w:pPr>
        <w:spacing w:after="120"/>
      </w:pPr>
      <w:r w:rsidRPr="001E10D2">
        <w:t>Amoniak (NH</w:t>
      </w:r>
      <w:r w:rsidRPr="001E10D2">
        <w:rPr>
          <w:vertAlign w:val="subscript"/>
        </w:rPr>
        <w:t>3</w:t>
      </w:r>
      <w:r w:rsidRPr="001E10D2">
        <w:t>)</w:t>
      </w:r>
    </w:p>
    <w:p w:rsidR="00A12690" w:rsidRPr="001E10D2" w:rsidRDefault="00A12690" w:rsidP="00A12690">
      <w:pPr>
        <w:pStyle w:val="Zkladntext"/>
        <w:spacing w:after="120"/>
      </w:pPr>
      <w:r w:rsidRPr="001E10D2">
        <w:t>Organické látky v plynnej fáze vyjadrené ako celkový organický uhlík</w:t>
      </w:r>
      <w:r w:rsidRPr="001E10D2">
        <w:rPr>
          <w:rStyle w:val="Odkaznapoznmkupodiarou"/>
        </w:rPr>
        <w:footnoteReference w:id="10"/>
      </w:r>
      <w:r w:rsidR="00B31B38" w:rsidRPr="001E10D2">
        <w:t>)</w:t>
      </w:r>
      <w:r w:rsidRPr="001E10D2">
        <w:rPr>
          <w:vertAlign w:val="superscript"/>
        </w:rPr>
        <w:t xml:space="preserve"> </w:t>
      </w:r>
      <w:r w:rsidRPr="001E10D2">
        <w:t>(TOC)</w:t>
      </w:r>
    </w:p>
    <w:p w:rsidR="00A12690" w:rsidRPr="001E10D2" w:rsidRDefault="00A12690" w:rsidP="005D4B39">
      <w:pPr>
        <w:spacing w:after="240"/>
        <w:jc w:val="center"/>
        <w:rPr>
          <w:b/>
        </w:rPr>
      </w:pPr>
    </w:p>
    <w:p w:rsidR="000E3A37" w:rsidRPr="001E10D2" w:rsidRDefault="000E3A37" w:rsidP="002A0611">
      <w:pPr>
        <w:pStyle w:val="Zkladntext"/>
        <w:rPr>
          <w:sz w:val="20"/>
        </w:rPr>
      </w:pPr>
    </w:p>
    <w:p w:rsidR="000E3A37" w:rsidRPr="001E10D2" w:rsidRDefault="000E3A37" w:rsidP="002A0611">
      <w:pPr>
        <w:pStyle w:val="Zkladntext"/>
        <w:rPr>
          <w:sz w:val="20"/>
        </w:rPr>
      </w:pPr>
    </w:p>
    <w:p w:rsidR="00AD7123" w:rsidRPr="001E10D2" w:rsidRDefault="006A7CE5" w:rsidP="002A0611">
      <w:pPr>
        <w:pStyle w:val="Zkladntext"/>
        <w:rPr>
          <w:sz w:val="20"/>
        </w:rPr>
      </w:pPr>
      <w:r w:rsidRPr="001E10D2">
        <w:rPr>
          <w:sz w:val="20"/>
        </w:rPr>
        <w:t xml:space="preserve">                                                              </w:t>
      </w:r>
    </w:p>
    <w:p w:rsidR="006A7CE5" w:rsidRPr="001E10D2" w:rsidRDefault="00AD7123" w:rsidP="00C60BA1">
      <w:pPr>
        <w:jc w:val="right"/>
        <w:rPr>
          <w:b/>
        </w:rPr>
      </w:pPr>
      <w:r w:rsidRPr="001E10D2">
        <w:br w:type="page"/>
      </w:r>
      <w:r w:rsidRPr="001E10D2">
        <w:lastRenderedPageBreak/>
        <w:t xml:space="preserve">                                                                                </w:t>
      </w:r>
      <w:r w:rsidR="006A7CE5" w:rsidRPr="001E10D2">
        <w:t xml:space="preserve">  </w:t>
      </w:r>
      <w:r w:rsidR="006A7CE5" w:rsidRPr="001E10D2">
        <w:rPr>
          <w:b/>
        </w:rPr>
        <w:t>Príloha č.</w:t>
      </w:r>
      <w:r w:rsidR="003E0928" w:rsidRPr="001E10D2">
        <w:rPr>
          <w:b/>
        </w:rPr>
        <w:t xml:space="preserve"> </w:t>
      </w:r>
      <w:r w:rsidR="006A7CE5" w:rsidRPr="001E10D2">
        <w:rPr>
          <w:b/>
        </w:rPr>
        <w:t>2</w:t>
      </w:r>
    </w:p>
    <w:p w:rsidR="006A7CE5" w:rsidRPr="001E10D2" w:rsidRDefault="00374046" w:rsidP="00374046">
      <w:pPr>
        <w:jc w:val="center"/>
      </w:pPr>
      <w:r w:rsidRPr="001E10D2">
        <w:rPr>
          <w:b/>
        </w:rPr>
        <w:t xml:space="preserve">                                                                                                        </w:t>
      </w:r>
      <w:r w:rsidR="00C60BA1" w:rsidRPr="001E10D2">
        <w:rPr>
          <w:b/>
        </w:rPr>
        <w:t xml:space="preserve">   </w:t>
      </w:r>
      <w:r w:rsidRPr="001E10D2">
        <w:rPr>
          <w:b/>
        </w:rPr>
        <w:t xml:space="preserve"> </w:t>
      </w:r>
      <w:r w:rsidR="006A7CE5" w:rsidRPr="001E10D2">
        <w:rPr>
          <w:b/>
        </w:rPr>
        <w:t>k zákonu č.</w:t>
      </w:r>
      <w:r w:rsidR="003E0928" w:rsidRPr="001E10D2">
        <w:rPr>
          <w:b/>
        </w:rPr>
        <w:t xml:space="preserve"> </w:t>
      </w:r>
      <w:r w:rsidRPr="001E10D2">
        <w:rPr>
          <w:b/>
        </w:rPr>
        <w:t>.....</w:t>
      </w:r>
      <w:r w:rsidR="006A7CE5" w:rsidRPr="001E10D2">
        <w:rPr>
          <w:b/>
        </w:rPr>
        <w:t>/</w:t>
      </w:r>
      <w:r w:rsidR="00C60BA1" w:rsidRPr="001E10D2">
        <w:rPr>
          <w:b/>
        </w:rPr>
        <w:t>2022</w:t>
      </w:r>
      <w:r w:rsidR="006A7CE5" w:rsidRPr="001E10D2">
        <w:rPr>
          <w:b/>
        </w:rPr>
        <w:t xml:space="preserve"> Z.</w:t>
      </w:r>
      <w:r w:rsidR="00FE4185" w:rsidRPr="001E10D2">
        <w:rPr>
          <w:b/>
        </w:rPr>
        <w:t xml:space="preserve"> </w:t>
      </w:r>
      <w:r w:rsidR="006A7CE5" w:rsidRPr="001E10D2">
        <w:rPr>
          <w:b/>
        </w:rPr>
        <w:t>z.</w:t>
      </w:r>
    </w:p>
    <w:p w:rsidR="006A7CE5" w:rsidRPr="001E10D2" w:rsidRDefault="006A7CE5"/>
    <w:p w:rsidR="00050382" w:rsidRPr="001E10D2" w:rsidRDefault="00050382" w:rsidP="00E04132">
      <w:pPr>
        <w:pStyle w:val="Zkladntext2"/>
        <w:ind w:left="284"/>
        <w:rPr>
          <w:b/>
        </w:rPr>
      </w:pPr>
    </w:p>
    <w:p w:rsidR="00A12690" w:rsidRPr="001E10D2" w:rsidRDefault="005D4B39" w:rsidP="00650124">
      <w:pPr>
        <w:pStyle w:val="Zkladntext2"/>
        <w:rPr>
          <w:b/>
        </w:rPr>
      </w:pPr>
      <w:r w:rsidRPr="001E10D2">
        <w:rPr>
          <w:sz w:val="20"/>
        </w:rPr>
        <w:t xml:space="preserve">   </w:t>
      </w:r>
      <w:r w:rsidR="00A12690" w:rsidRPr="001E10D2">
        <w:rPr>
          <w:b/>
        </w:rPr>
        <w:t xml:space="preserve">VÝPOČET POPLATKU </w:t>
      </w:r>
      <w:r w:rsidR="00650124" w:rsidRPr="001E10D2">
        <w:rPr>
          <w:b/>
        </w:rPr>
        <w:t>ZA EMISIE Z VEĽKÉHO</w:t>
      </w:r>
      <w:r w:rsidR="00A12690" w:rsidRPr="001E10D2">
        <w:rPr>
          <w:b/>
        </w:rPr>
        <w:t xml:space="preserve"> ZDROJ</w:t>
      </w:r>
      <w:r w:rsidR="00650124" w:rsidRPr="001E10D2">
        <w:rPr>
          <w:b/>
        </w:rPr>
        <w:t>A</w:t>
      </w:r>
      <w:r w:rsidR="00A12690" w:rsidRPr="001E10D2">
        <w:rPr>
          <w:b/>
        </w:rPr>
        <w:t xml:space="preserve">  A</w:t>
      </w:r>
      <w:r w:rsidR="00A91285" w:rsidRPr="001E10D2">
        <w:rPr>
          <w:b/>
        </w:rPr>
        <w:t>LEBO</w:t>
      </w:r>
      <w:r w:rsidR="00650124" w:rsidRPr="001E10D2">
        <w:rPr>
          <w:b/>
        </w:rPr>
        <w:t> </w:t>
      </w:r>
      <w:r w:rsidR="00A12690" w:rsidRPr="001E10D2">
        <w:rPr>
          <w:b/>
        </w:rPr>
        <w:t>STREDN</w:t>
      </w:r>
      <w:r w:rsidR="00650124" w:rsidRPr="001E10D2">
        <w:rPr>
          <w:b/>
        </w:rPr>
        <w:t>ÉHO</w:t>
      </w:r>
      <w:r w:rsidR="00A12690" w:rsidRPr="001E10D2">
        <w:rPr>
          <w:b/>
        </w:rPr>
        <w:t xml:space="preserve"> ZDROJ</w:t>
      </w:r>
      <w:r w:rsidR="00650124" w:rsidRPr="001E10D2">
        <w:rPr>
          <w:b/>
        </w:rPr>
        <w:t>A</w:t>
      </w:r>
      <w:r w:rsidR="00A12690" w:rsidRPr="001E10D2">
        <w:rPr>
          <w:b/>
        </w:rPr>
        <w:t xml:space="preserve">  </w:t>
      </w:r>
    </w:p>
    <w:p w:rsidR="00A12690" w:rsidRPr="001E10D2" w:rsidRDefault="00A12690" w:rsidP="00A12690">
      <w:pPr>
        <w:pStyle w:val="Zkladntext2"/>
        <w:rPr>
          <w:b/>
        </w:rPr>
      </w:pPr>
    </w:p>
    <w:p w:rsidR="00A12690" w:rsidRPr="001E10D2" w:rsidRDefault="00A12690" w:rsidP="00A12690">
      <w:pPr>
        <w:spacing w:after="120"/>
        <w:jc w:val="both"/>
      </w:pPr>
      <w:r w:rsidRPr="001E10D2">
        <w:t xml:space="preserve">Výpočet poplatku </w:t>
      </w:r>
      <w:r w:rsidR="001748BF" w:rsidRPr="001E10D2">
        <w:t xml:space="preserve">za </w:t>
      </w:r>
      <w:r w:rsidR="00C94CAA" w:rsidRPr="001E10D2">
        <w:t>konkrétnu emisiu</w:t>
      </w:r>
      <w:r w:rsidR="006F4F24" w:rsidRPr="001E10D2">
        <w:t xml:space="preserve"> </w:t>
      </w:r>
      <w:r w:rsidRPr="001E10D2">
        <w:t>(i) z veľkého zdroja a</w:t>
      </w:r>
      <w:r w:rsidR="00E12469" w:rsidRPr="001E10D2">
        <w:t>lebo</w:t>
      </w:r>
      <w:r w:rsidRPr="001E10D2">
        <w:t xml:space="preserve"> stredného zdroja je uvedený v časti A.</w:t>
      </w:r>
    </w:p>
    <w:p w:rsidR="00A12690" w:rsidRPr="001E10D2" w:rsidRDefault="00A12690" w:rsidP="00A12690">
      <w:pPr>
        <w:spacing w:after="120"/>
        <w:jc w:val="both"/>
      </w:pPr>
      <w:r w:rsidRPr="001E10D2">
        <w:t xml:space="preserve">Výpočet poplatku </w:t>
      </w:r>
      <w:r w:rsidR="00650124" w:rsidRPr="001E10D2">
        <w:t xml:space="preserve">za emisie </w:t>
      </w:r>
      <w:r w:rsidRPr="001E10D2">
        <w:t>z</w:t>
      </w:r>
      <w:r w:rsidR="008F5F7A" w:rsidRPr="001E10D2">
        <w:t> veľkého a</w:t>
      </w:r>
      <w:r w:rsidR="00A91285" w:rsidRPr="001E10D2">
        <w:t>lebo</w:t>
      </w:r>
      <w:r w:rsidR="008F5F7A" w:rsidRPr="001E10D2">
        <w:t> stredného zdroja</w:t>
      </w:r>
      <w:r w:rsidR="00C94CAA" w:rsidRPr="001E10D2">
        <w:t xml:space="preserve"> za zdroj</w:t>
      </w:r>
      <w:r w:rsidRPr="001E10D2">
        <w:t xml:space="preserve"> je uvedený v časti B.</w:t>
      </w:r>
      <w:r w:rsidR="00650124" w:rsidRPr="001E10D2">
        <w:t xml:space="preserve">  </w:t>
      </w:r>
    </w:p>
    <w:p w:rsidR="00A12690" w:rsidRPr="001E10D2" w:rsidRDefault="00A12690" w:rsidP="00A12690">
      <w:pPr>
        <w:spacing w:after="120"/>
        <w:jc w:val="both"/>
      </w:pPr>
      <w:r w:rsidRPr="001E10D2">
        <w:t xml:space="preserve">Výpočet ročného poplatku </w:t>
      </w:r>
      <w:r w:rsidR="00650124" w:rsidRPr="001E10D2">
        <w:t xml:space="preserve">za emisie </w:t>
      </w:r>
      <w:r w:rsidRPr="001E10D2">
        <w:t>prevádzkovateľa</w:t>
      </w:r>
      <w:r w:rsidR="00650124" w:rsidRPr="001E10D2">
        <w:t xml:space="preserve"> zdroja podľa § 1 písm. a)</w:t>
      </w:r>
      <w:r w:rsidRPr="001E10D2">
        <w:t xml:space="preserve"> je uvedený v časti C.</w:t>
      </w:r>
    </w:p>
    <w:p w:rsidR="00A12690" w:rsidRPr="001E10D2" w:rsidRDefault="00A12690" w:rsidP="00A12690">
      <w:pPr>
        <w:spacing w:after="120"/>
        <w:jc w:val="both"/>
      </w:pPr>
      <w:r w:rsidRPr="001E10D2">
        <w:t xml:space="preserve">Základné poplatky </w:t>
      </w:r>
      <w:r w:rsidR="008F5F7A" w:rsidRPr="001E10D2">
        <w:t xml:space="preserve">za </w:t>
      </w:r>
      <w:r w:rsidR="00E61EBF" w:rsidRPr="001E10D2">
        <w:t xml:space="preserve">emisie </w:t>
      </w:r>
      <w:r w:rsidRPr="001E10D2">
        <w:t>sú uvedené v tabuľke č. 1.</w:t>
      </w:r>
      <w:r w:rsidR="00650124" w:rsidRPr="001E10D2">
        <w:t xml:space="preserve"> </w:t>
      </w:r>
    </w:p>
    <w:p w:rsidR="00A12690" w:rsidRPr="001E10D2" w:rsidRDefault="00A12690" w:rsidP="00A12690">
      <w:pPr>
        <w:spacing w:after="120"/>
        <w:jc w:val="both"/>
      </w:pPr>
      <w:r w:rsidRPr="001E10D2">
        <w:t>Kompenzačné koeficienty sú uvedené v tabuľke č. 2.</w:t>
      </w:r>
    </w:p>
    <w:p w:rsidR="00A12690" w:rsidRPr="001E10D2" w:rsidRDefault="00A12690" w:rsidP="00A12690">
      <w:pPr>
        <w:spacing w:before="120"/>
        <w:ind w:left="284" w:hanging="284"/>
        <w:rPr>
          <w:b/>
        </w:rPr>
      </w:pPr>
    </w:p>
    <w:p w:rsidR="00A12690" w:rsidRPr="001E10D2" w:rsidRDefault="00A12690" w:rsidP="00F73E0E">
      <w:pPr>
        <w:spacing w:before="120"/>
        <w:ind w:left="284" w:hanging="284"/>
        <w:jc w:val="both"/>
        <w:rPr>
          <w:b/>
        </w:rPr>
      </w:pPr>
      <w:r w:rsidRPr="001E10D2">
        <w:rPr>
          <w:b/>
        </w:rPr>
        <w:t xml:space="preserve">A. Výpočet poplatku </w:t>
      </w:r>
      <w:r w:rsidR="001748BF" w:rsidRPr="001E10D2">
        <w:rPr>
          <w:b/>
        </w:rPr>
        <w:t>za</w:t>
      </w:r>
      <w:r w:rsidR="00C94CAA" w:rsidRPr="001E10D2">
        <w:rPr>
          <w:b/>
        </w:rPr>
        <w:t xml:space="preserve"> konkrétnu</w:t>
      </w:r>
      <w:r w:rsidR="001748BF" w:rsidRPr="001E10D2">
        <w:rPr>
          <w:b/>
        </w:rPr>
        <w:t xml:space="preserve"> </w:t>
      </w:r>
      <w:r w:rsidR="00430DCE" w:rsidRPr="001E10D2">
        <w:rPr>
          <w:b/>
        </w:rPr>
        <w:t>emisiu</w:t>
      </w:r>
      <w:r w:rsidR="006F4F24" w:rsidRPr="001E10D2">
        <w:rPr>
          <w:b/>
        </w:rPr>
        <w:t xml:space="preserve"> </w:t>
      </w:r>
      <w:r w:rsidRPr="001E10D2">
        <w:rPr>
          <w:b/>
        </w:rPr>
        <w:t>z veľkého zdroja a</w:t>
      </w:r>
      <w:r w:rsidR="00A91285" w:rsidRPr="001E10D2">
        <w:rPr>
          <w:b/>
        </w:rPr>
        <w:t>lebo</w:t>
      </w:r>
      <w:r w:rsidRPr="001E10D2">
        <w:rPr>
          <w:b/>
        </w:rPr>
        <w:t xml:space="preserve"> stredného zdroja</w:t>
      </w:r>
    </w:p>
    <w:p w:rsidR="00A12690" w:rsidRPr="001E10D2" w:rsidRDefault="00A12690" w:rsidP="00A12690">
      <w:pPr>
        <w:spacing w:before="120"/>
        <w:ind w:left="284"/>
        <w:rPr>
          <w:vertAlign w:val="subscript"/>
        </w:rPr>
      </w:pPr>
      <w:proofErr w:type="spellStart"/>
      <w:r w:rsidRPr="001E10D2">
        <w:t>P</w:t>
      </w:r>
      <w:r w:rsidRPr="001E10D2">
        <w:rPr>
          <w:vertAlign w:val="subscript"/>
        </w:rPr>
        <w:t>ZLi</w:t>
      </w:r>
      <w:proofErr w:type="spellEnd"/>
      <w:r w:rsidRPr="001E10D2">
        <w:t xml:space="preserve"> =  K</w:t>
      </w:r>
      <w:r w:rsidRPr="001E10D2">
        <w:rPr>
          <w:vertAlign w:val="subscript"/>
        </w:rPr>
        <w:t>K</w:t>
      </w:r>
      <w:r w:rsidRPr="001E10D2">
        <w:t xml:space="preserve"> . K</w:t>
      </w:r>
      <w:r w:rsidRPr="001E10D2">
        <w:rPr>
          <w:vertAlign w:val="subscript"/>
        </w:rPr>
        <w:t>OH</w:t>
      </w:r>
      <w:r w:rsidRPr="001E10D2">
        <w:t xml:space="preserve"> . </w:t>
      </w:r>
      <w:proofErr w:type="spellStart"/>
      <w:r w:rsidRPr="001E10D2">
        <w:t>ZP</w:t>
      </w:r>
      <w:r w:rsidRPr="001E10D2">
        <w:rPr>
          <w:vertAlign w:val="subscript"/>
        </w:rPr>
        <w:t>ZLi</w:t>
      </w:r>
      <w:proofErr w:type="spellEnd"/>
      <w:r w:rsidRPr="001E10D2">
        <w:t xml:space="preserve"> . </w:t>
      </w:r>
      <w:proofErr w:type="spellStart"/>
      <w:r w:rsidRPr="001E10D2">
        <w:t>M</w:t>
      </w:r>
      <w:r w:rsidRPr="001E10D2">
        <w:rPr>
          <w:vertAlign w:val="subscript"/>
        </w:rPr>
        <w:t>ZLi</w:t>
      </w:r>
      <w:proofErr w:type="spellEnd"/>
    </w:p>
    <w:p w:rsidR="00A12690" w:rsidRPr="001E10D2" w:rsidRDefault="00A12690" w:rsidP="00A12690">
      <w:pPr>
        <w:spacing w:before="120"/>
        <w:ind w:left="993" w:hanging="709"/>
        <w:jc w:val="both"/>
      </w:pPr>
      <w:proofErr w:type="spellStart"/>
      <w:r w:rsidRPr="001E10D2">
        <w:t>P</w:t>
      </w:r>
      <w:r w:rsidRPr="001E10D2">
        <w:rPr>
          <w:vertAlign w:val="subscript"/>
        </w:rPr>
        <w:t>ZLi</w:t>
      </w:r>
      <w:proofErr w:type="spellEnd"/>
      <w:r w:rsidRPr="001E10D2">
        <w:t xml:space="preserve"> - poplatok za </w:t>
      </w:r>
      <w:r w:rsidR="00C94CAA" w:rsidRPr="001E10D2">
        <w:t xml:space="preserve">konkrétnu </w:t>
      </w:r>
      <w:r w:rsidR="006F4F24" w:rsidRPr="001E10D2">
        <w:t xml:space="preserve">emisiu </w:t>
      </w:r>
      <w:r w:rsidRPr="001E10D2">
        <w:t xml:space="preserve">(i) </w:t>
      </w:r>
      <w:r w:rsidR="000D0037" w:rsidRPr="001E10D2">
        <w:t>veľkého zdroja a</w:t>
      </w:r>
      <w:r w:rsidR="00A91285" w:rsidRPr="001E10D2">
        <w:t>lebo</w:t>
      </w:r>
      <w:r w:rsidR="000D0037" w:rsidRPr="001E10D2">
        <w:t> stredného zdroja</w:t>
      </w:r>
      <w:r w:rsidRPr="001E10D2">
        <w:t xml:space="preserve">, pričom poplatok za </w:t>
      </w:r>
      <w:r w:rsidR="000D0037" w:rsidRPr="001E10D2">
        <w:t xml:space="preserve">emisie </w:t>
      </w:r>
      <w:r w:rsidRPr="001E10D2">
        <w:t xml:space="preserve">oxidu uhoľnatého (CO) sa </w:t>
      </w:r>
      <w:r w:rsidR="000D0037" w:rsidRPr="001E10D2">
        <w:t>vy</w:t>
      </w:r>
      <w:r w:rsidRPr="001E10D2">
        <w:t>počíta len z</w:t>
      </w:r>
      <w:r w:rsidR="000D0037" w:rsidRPr="001E10D2">
        <w:t> veľkého zdroja a</w:t>
      </w:r>
      <w:r w:rsidR="00A91285" w:rsidRPr="001E10D2">
        <w:t>lebo</w:t>
      </w:r>
      <w:r w:rsidR="000D0037" w:rsidRPr="001E10D2">
        <w:t> stredného zdroja</w:t>
      </w:r>
      <w:r w:rsidRPr="001E10D2">
        <w:t>:</w:t>
      </w:r>
    </w:p>
    <w:p w:rsidR="00A12690" w:rsidRPr="001E10D2" w:rsidRDefault="00A12690" w:rsidP="00A12690">
      <w:pPr>
        <w:pStyle w:val="Zarkazkladnhotextu"/>
        <w:ind w:left="993" w:firstLine="0"/>
        <w:rPr>
          <w:szCs w:val="24"/>
        </w:rPr>
      </w:pPr>
      <w:r w:rsidRPr="001E10D2">
        <w:t xml:space="preserve">1. </w:t>
      </w:r>
      <w:r w:rsidR="000D0037" w:rsidRPr="001E10D2">
        <w:t>nezaradeného</w:t>
      </w:r>
      <w:r w:rsidRPr="001E10D2">
        <w:rPr>
          <w:szCs w:val="24"/>
        </w:rPr>
        <w:t xml:space="preserve"> do systému obchodovania s emisnými kvótami</w:t>
      </w:r>
      <w:r w:rsidR="000D0037" w:rsidRPr="001E10D2">
        <w:rPr>
          <w:szCs w:val="24"/>
          <w:vertAlign w:val="superscript"/>
        </w:rPr>
        <w:t>5</w:t>
      </w:r>
      <w:r w:rsidR="000D0037" w:rsidRPr="001E10D2">
        <w:rPr>
          <w:szCs w:val="24"/>
        </w:rPr>
        <w:t>)</w:t>
      </w:r>
      <w:r w:rsidRPr="001E10D2">
        <w:rPr>
          <w:szCs w:val="24"/>
        </w:rPr>
        <w:t xml:space="preserve"> a </w:t>
      </w:r>
    </w:p>
    <w:p w:rsidR="00A12690" w:rsidRPr="001E10D2" w:rsidRDefault="00A12690" w:rsidP="00A12690">
      <w:pPr>
        <w:pStyle w:val="Zarkazkladnhotextu"/>
        <w:spacing w:after="120"/>
        <w:ind w:left="992" w:firstLine="0"/>
        <w:rPr>
          <w:rFonts w:ascii="&amp;quot" w:hAnsi="&amp;quot"/>
          <w:sz w:val="21"/>
          <w:szCs w:val="21"/>
        </w:rPr>
      </w:pPr>
      <w:r w:rsidRPr="001E10D2">
        <w:rPr>
          <w:szCs w:val="24"/>
        </w:rPr>
        <w:t xml:space="preserve">2. </w:t>
      </w:r>
      <w:r w:rsidR="000D0037" w:rsidRPr="001E10D2">
        <w:rPr>
          <w:szCs w:val="24"/>
        </w:rPr>
        <w:t>zaradeného</w:t>
      </w:r>
      <w:r w:rsidRPr="001E10D2">
        <w:rPr>
          <w:szCs w:val="24"/>
        </w:rPr>
        <w:t xml:space="preserve"> do systému obchodovania s emisnými kvótami, ak ide o spaľovanie biomasy a bioplynu   </w:t>
      </w:r>
    </w:p>
    <w:p w:rsidR="00A12690" w:rsidRPr="001E10D2" w:rsidRDefault="00A12690" w:rsidP="00A12690">
      <w:pPr>
        <w:spacing w:after="120"/>
        <w:ind w:left="284"/>
      </w:pPr>
      <w:proofErr w:type="spellStart"/>
      <w:r w:rsidRPr="001E10D2">
        <w:t>ZP</w:t>
      </w:r>
      <w:r w:rsidRPr="001E10D2">
        <w:rPr>
          <w:vertAlign w:val="subscript"/>
        </w:rPr>
        <w:t>ZLi</w:t>
      </w:r>
      <w:proofErr w:type="spellEnd"/>
      <w:r w:rsidRPr="001E10D2">
        <w:rPr>
          <w:vertAlign w:val="subscript"/>
        </w:rPr>
        <w:t xml:space="preserve"> </w:t>
      </w:r>
      <w:r w:rsidRPr="001E10D2">
        <w:t xml:space="preserve">- základný poplatok </w:t>
      </w:r>
      <w:r w:rsidR="009E1177" w:rsidRPr="001E10D2">
        <w:t>za</w:t>
      </w:r>
      <w:r w:rsidRPr="001E10D2">
        <w:t xml:space="preserve"> </w:t>
      </w:r>
      <w:r w:rsidR="006F4F24" w:rsidRPr="001E10D2">
        <w:t xml:space="preserve">emisiu </w:t>
      </w:r>
      <w:r w:rsidRPr="001E10D2">
        <w:t>(i) podľa tabuľky č. 1</w:t>
      </w:r>
    </w:p>
    <w:p w:rsidR="00A12690" w:rsidRPr="001E10D2" w:rsidRDefault="00A12690" w:rsidP="00A12690">
      <w:pPr>
        <w:ind w:left="993" w:hanging="709"/>
        <w:jc w:val="both"/>
      </w:pPr>
      <w:r w:rsidRPr="001E10D2">
        <w:t>K</w:t>
      </w:r>
      <w:r w:rsidRPr="001E10D2">
        <w:rPr>
          <w:vertAlign w:val="subscript"/>
        </w:rPr>
        <w:t xml:space="preserve">K </w:t>
      </w:r>
      <w:r w:rsidRPr="001E10D2">
        <w:t xml:space="preserve">- kompenzačný koeficient podľa tabuľky č. 2, platný pre rok, v ktorom boli </w:t>
      </w:r>
      <w:r w:rsidR="006F4F24" w:rsidRPr="001E10D2">
        <w:t>emisie</w:t>
      </w:r>
      <w:r w:rsidR="005F327D" w:rsidRPr="001E10D2">
        <w:t xml:space="preserve"> </w:t>
      </w:r>
      <w:r w:rsidRPr="001E10D2">
        <w:t xml:space="preserve">skutočne vypustené </w:t>
      </w:r>
    </w:p>
    <w:p w:rsidR="00A12690" w:rsidRPr="001E10D2" w:rsidRDefault="00A12690" w:rsidP="00A12690">
      <w:pPr>
        <w:spacing w:before="120"/>
        <w:ind w:left="993" w:hanging="709"/>
        <w:jc w:val="both"/>
      </w:pPr>
      <w:r w:rsidRPr="001E10D2">
        <w:t>K</w:t>
      </w:r>
      <w:r w:rsidRPr="001E10D2">
        <w:rPr>
          <w:vertAlign w:val="subscript"/>
        </w:rPr>
        <w:t>OH</w:t>
      </w:r>
      <w:r w:rsidRPr="001E10D2">
        <w:t xml:space="preserve"> - koeficient odchylnej hodnoty podľa § 2 ods. </w:t>
      </w:r>
      <w:r w:rsidR="009E1177" w:rsidRPr="001E10D2">
        <w:t>2</w:t>
      </w:r>
      <w:r w:rsidRPr="001E10D2">
        <w:t xml:space="preserve"> písm. d) (K</w:t>
      </w:r>
      <w:r w:rsidRPr="001E10D2">
        <w:rPr>
          <w:vertAlign w:val="subscript"/>
        </w:rPr>
        <w:t>OH</w:t>
      </w:r>
      <w:r w:rsidRPr="001E10D2">
        <w:t xml:space="preserve"> = 3) sa použije len pre výpočet poplatku za tú </w:t>
      </w:r>
      <w:r w:rsidR="006F4F24" w:rsidRPr="001E10D2">
        <w:t>emisiu</w:t>
      </w:r>
      <w:r w:rsidRPr="001E10D2">
        <w:t>, pre ktorú je učený emisný limit ako odchylná hodnota; v ostatných prípadoch sa tento koeficient nepoužije</w:t>
      </w:r>
    </w:p>
    <w:p w:rsidR="00A12690" w:rsidRPr="001E10D2" w:rsidRDefault="00A12690" w:rsidP="006F4F24">
      <w:pPr>
        <w:spacing w:before="120"/>
        <w:ind w:left="993" w:hanging="709"/>
        <w:jc w:val="both"/>
      </w:pPr>
      <w:proofErr w:type="spellStart"/>
      <w:r w:rsidRPr="001E10D2">
        <w:t>M</w:t>
      </w:r>
      <w:r w:rsidRPr="001E10D2">
        <w:rPr>
          <w:vertAlign w:val="subscript"/>
        </w:rPr>
        <w:t>ZLi</w:t>
      </w:r>
      <w:proofErr w:type="spellEnd"/>
      <w:r w:rsidRPr="001E10D2">
        <w:t xml:space="preserve"> - množstvo </w:t>
      </w:r>
      <w:r w:rsidR="006F4F24" w:rsidRPr="001E10D2">
        <w:t xml:space="preserve">emisie </w:t>
      </w:r>
      <w:r w:rsidRPr="001E10D2">
        <w:t xml:space="preserve">(i) z veľkého zdroja </w:t>
      </w:r>
      <w:r w:rsidR="006F4F24" w:rsidRPr="001E10D2">
        <w:t xml:space="preserve">     </w:t>
      </w:r>
      <w:r w:rsidRPr="001E10D2">
        <w:t xml:space="preserve">alebo stredného zdroja </w:t>
      </w:r>
    </w:p>
    <w:p w:rsidR="00A12690" w:rsidRPr="001E10D2" w:rsidRDefault="00A12690" w:rsidP="00A12690">
      <w:pPr>
        <w:spacing w:before="120"/>
      </w:pPr>
    </w:p>
    <w:p w:rsidR="00A12690" w:rsidRPr="001E10D2" w:rsidRDefault="00A12690" w:rsidP="00A12690">
      <w:pPr>
        <w:spacing w:after="120"/>
        <w:rPr>
          <w:b/>
          <w:strike/>
        </w:rPr>
      </w:pPr>
      <w:r w:rsidRPr="001E10D2">
        <w:rPr>
          <w:b/>
        </w:rPr>
        <w:t xml:space="preserve">B. Výpočet poplatku za </w:t>
      </w:r>
      <w:r w:rsidR="00650124" w:rsidRPr="001E10D2">
        <w:rPr>
          <w:b/>
        </w:rPr>
        <w:t>emisie z veľkého</w:t>
      </w:r>
      <w:r w:rsidRPr="001E10D2">
        <w:rPr>
          <w:b/>
        </w:rPr>
        <w:t xml:space="preserve"> zdroj</w:t>
      </w:r>
      <w:r w:rsidR="00650124" w:rsidRPr="001E10D2">
        <w:rPr>
          <w:b/>
        </w:rPr>
        <w:t>a</w:t>
      </w:r>
      <w:r w:rsidRPr="001E10D2">
        <w:rPr>
          <w:b/>
        </w:rPr>
        <w:t xml:space="preserve"> a</w:t>
      </w:r>
      <w:r w:rsidR="00E12469" w:rsidRPr="001E10D2">
        <w:rPr>
          <w:b/>
        </w:rPr>
        <w:t>lebo</w:t>
      </w:r>
      <w:r w:rsidR="00650124" w:rsidRPr="001E10D2">
        <w:rPr>
          <w:b/>
        </w:rPr>
        <w:t> </w:t>
      </w:r>
      <w:r w:rsidRPr="001E10D2">
        <w:rPr>
          <w:b/>
        </w:rPr>
        <w:t>stredn</w:t>
      </w:r>
      <w:r w:rsidR="00650124" w:rsidRPr="001E10D2">
        <w:rPr>
          <w:b/>
        </w:rPr>
        <w:t xml:space="preserve">ého </w:t>
      </w:r>
      <w:r w:rsidRPr="001E10D2">
        <w:rPr>
          <w:b/>
        </w:rPr>
        <w:t>zdroj</w:t>
      </w:r>
      <w:r w:rsidR="00650124" w:rsidRPr="001E10D2">
        <w:rPr>
          <w:b/>
        </w:rPr>
        <w:t>a</w:t>
      </w:r>
      <w:r w:rsidR="00C94CAA" w:rsidRPr="001E10D2">
        <w:rPr>
          <w:b/>
        </w:rPr>
        <w:t xml:space="preserve"> za zdroj</w:t>
      </w:r>
    </w:p>
    <w:p w:rsidR="00A12690" w:rsidRPr="001E10D2" w:rsidRDefault="00A12690" w:rsidP="00A12690">
      <w:pPr>
        <w:spacing w:after="120"/>
        <w:ind w:left="284"/>
        <w:jc w:val="both"/>
      </w:pPr>
      <w:r w:rsidRPr="001E10D2">
        <w:t xml:space="preserve">Poplatok </w:t>
      </w:r>
      <w:r w:rsidR="00650124" w:rsidRPr="001E10D2">
        <w:t xml:space="preserve">za emisie </w:t>
      </w:r>
      <w:r w:rsidRPr="001E10D2">
        <w:t xml:space="preserve">za jeden zdroj (Z) sa vypočíta ako súčet poplatkov </w:t>
      </w:r>
      <w:r w:rsidR="00650124" w:rsidRPr="001E10D2">
        <w:t xml:space="preserve">za </w:t>
      </w:r>
      <w:r w:rsidR="006F4F24" w:rsidRPr="001E10D2">
        <w:t>emisie</w:t>
      </w:r>
      <w:r w:rsidRPr="001E10D2">
        <w:t xml:space="preserve"> (i) uvedené v prílohe č. 1 podľa vzorca:</w:t>
      </w:r>
    </w:p>
    <w:p w:rsidR="00A12690" w:rsidRPr="001E10D2" w:rsidRDefault="00A12690" w:rsidP="00A12690">
      <w:pPr>
        <w:ind w:left="284"/>
      </w:pPr>
      <w:r w:rsidRPr="001E10D2">
        <w:t>P</w:t>
      </w:r>
      <w:r w:rsidRPr="001E10D2">
        <w:rPr>
          <w:vertAlign w:val="subscript"/>
        </w:rPr>
        <w:t>Z</w:t>
      </w:r>
      <w:r w:rsidRPr="001E10D2">
        <w:t xml:space="preserve"> = </w:t>
      </w:r>
      <w:r w:rsidRPr="001E10D2">
        <w:sym w:font="Symbol" w:char="F0E5"/>
      </w:r>
      <w:r w:rsidRPr="001E10D2">
        <w:t xml:space="preserve"> </w:t>
      </w:r>
      <w:proofErr w:type="spellStart"/>
      <w:r w:rsidRPr="001E10D2">
        <w:t>P</w:t>
      </w:r>
      <w:r w:rsidRPr="001E10D2">
        <w:rPr>
          <w:vertAlign w:val="subscript"/>
        </w:rPr>
        <w:t>ZLi</w:t>
      </w:r>
      <w:proofErr w:type="spellEnd"/>
    </w:p>
    <w:p w:rsidR="00A12690" w:rsidRPr="001E10D2" w:rsidRDefault="00A12690" w:rsidP="00A12690">
      <w:pPr>
        <w:ind w:left="284"/>
        <w:rPr>
          <w:vertAlign w:val="superscript"/>
        </w:rPr>
      </w:pPr>
      <w:r w:rsidRPr="001E10D2">
        <w:t xml:space="preserve">          </w:t>
      </w:r>
      <w:r w:rsidRPr="001E10D2">
        <w:rPr>
          <w:vertAlign w:val="superscript"/>
        </w:rPr>
        <w:t>i</w:t>
      </w:r>
    </w:p>
    <w:p w:rsidR="00A12690" w:rsidRPr="001E10D2" w:rsidRDefault="00A12690" w:rsidP="00A12690">
      <w:pPr>
        <w:spacing w:after="120"/>
        <w:ind w:left="284"/>
      </w:pPr>
      <w:r w:rsidRPr="001E10D2">
        <w:t>P</w:t>
      </w:r>
      <w:r w:rsidRPr="001E10D2">
        <w:rPr>
          <w:vertAlign w:val="subscript"/>
        </w:rPr>
        <w:t>Z</w:t>
      </w:r>
      <w:r w:rsidRPr="001E10D2">
        <w:t xml:space="preserve">   - poplatok</w:t>
      </w:r>
      <w:r w:rsidR="00650124" w:rsidRPr="001E10D2">
        <w:t xml:space="preserve"> za emisie</w:t>
      </w:r>
      <w:r w:rsidRPr="001E10D2">
        <w:t xml:space="preserve"> za zdroj (Z)</w:t>
      </w:r>
    </w:p>
    <w:p w:rsidR="00A12690" w:rsidRPr="001E10D2" w:rsidRDefault="00A12690" w:rsidP="00A12690">
      <w:pPr>
        <w:spacing w:after="120"/>
        <w:ind w:left="284"/>
        <w:jc w:val="both"/>
      </w:pPr>
      <w:proofErr w:type="spellStart"/>
      <w:r w:rsidRPr="001E10D2">
        <w:t>P</w:t>
      </w:r>
      <w:r w:rsidRPr="001E10D2">
        <w:rPr>
          <w:vertAlign w:val="subscript"/>
        </w:rPr>
        <w:t>ZLi</w:t>
      </w:r>
      <w:proofErr w:type="spellEnd"/>
      <w:r w:rsidRPr="001E10D2">
        <w:t xml:space="preserve"> - poplatok za</w:t>
      </w:r>
      <w:r w:rsidR="006F4F24" w:rsidRPr="001E10D2">
        <w:t xml:space="preserve"> emisiu</w:t>
      </w:r>
      <w:r w:rsidRPr="001E10D2">
        <w:t xml:space="preserve"> (i) vypustenú </w:t>
      </w:r>
      <w:r w:rsidR="00857519" w:rsidRPr="001E10D2">
        <w:t xml:space="preserve">do ovzdušia </w:t>
      </w:r>
      <w:r w:rsidRPr="001E10D2">
        <w:t xml:space="preserve">zo zdroja </w:t>
      </w:r>
    </w:p>
    <w:p w:rsidR="00A12690" w:rsidRPr="001E10D2" w:rsidRDefault="00A12690" w:rsidP="00A12690">
      <w:pPr>
        <w:pStyle w:val="Zkladntext"/>
      </w:pPr>
    </w:p>
    <w:p w:rsidR="00A12690" w:rsidRPr="001E10D2" w:rsidRDefault="00A12690" w:rsidP="00A12690">
      <w:pPr>
        <w:pStyle w:val="Zkladntext"/>
        <w:rPr>
          <w:b/>
        </w:rPr>
      </w:pPr>
      <w:r w:rsidRPr="001E10D2">
        <w:t>C</w:t>
      </w:r>
      <w:r w:rsidRPr="001E10D2">
        <w:rPr>
          <w:b/>
        </w:rPr>
        <w:t xml:space="preserve">. Ročný poplatok </w:t>
      </w:r>
      <w:r w:rsidR="00650124" w:rsidRPr="001E10D2">
        <w:rPr>
          <w:b/>
        </w:rPr>
        <w:t xml:space="preserve">za emisie </w:t>
      </w:r>
      <w:r w:rsidRPr="001E10D2">
        <w:rPr>
          <w:b/>
        </w:rPr>
        <w:t>prevádzkovateľa</w:t>
      </w:r>
      <w:r w:rsidRPr="001E10D2">
        <w:rPr>
          <w:b/>
          <w:bCs/>
        </w:rPr>
        <w:t xml:space="preserve"> zdroja</w:t>
      </w:r>
      <w:r w:rsidRPr="001E10D2">
        <w:rPr>
          <w:b/>
        </w:rPr>
        <w:t xml:space="preserve"> </w:t>
      </w:r>
      <w:r w:rsidR="00650124" w:rsidRPr="001E10D2">
        <w:rPr>
          <w:b/>
        </w:rPr>
        <w:t>podľa § 1 písm. a)</w:t>
      </w:r>
    </w:p>
    <w:p w:rsidR="00A12690" w:rsidRPr="001E10D2" w:rsidRDefault="00A12690" w:rsidP="00A12690">
      <w:pPr>
        <w:pStyle w:val="Zkladntext"/>
      </w:pPr>
    </w:p>
    <w:p w:rsidR="00A12690" w:rsidRPr="001E10D2" w:rsidRDefault="00A12690" w:rsidP="00A12690">
      <w:pPr>
        <w:pStyle w:val="Zkladntext"/>
        <w:ind w:left="284"/>
      </w:pPr>
      <w:r w:rsidRPr="001E10D2">
        <w:lastRenderedPageBreak/>
        <w:t xml:space="preserve">Ročný poplatok </w:t>
      </w:r>
      <w:r w:rsidR="00650124" w:rsidRPr="001E10D2">
        <w:t xml:space="preserve">za emisie </w:t>
      </w:r>
      <w:r w:rsidRPr="001E10D2">
        <w:t xml:space="preserve">sa vypočíta ako súčet poplatkov </w:t>
      </w:r>
      <w:r w:rsidR="001F27FC" w:rsidRPr="001E10D2">
        <w:t xml:space="preserve">za emisie </w:t>
      </w:r>
      <w:r w:rsidRPr="001E10D2">
        <w:t xml:space="preserve">podľa </w:t>
      </w:r>
      <w:r w:rsidR="009E1177" w:rsidRPr="001E10D2">
        <w:t>§ 2 ods.</w:t>
      </w:r>
      <w:r w:rsidRPr="001E10D2">
        <w:t xml:space="preserve"> 1 písm. a) za predchádzajúci kalendárny rok za všetky veľké zdroje a</w:t>
      </w:r>
      <w:r w:rsidR="00A91285" w:rsidRPr="001E10D2">
        <w:t>lebo</w:t>
      </w:r>
      <w:r w:rsidRPr="001E10D2">
        <w:t xml:space="preserve"> stredné zdroje, ktoré prevádzkovateľ </w:t>
      </w:r>
      <w:r w:rsidR="00650124" w:rsidRPr="001E10D2">
        <w:t xml:space="preserve">zdroja </w:t>
      </w:r>
      <w:r w:rsidR="00857519" w:rsidRPr="001E10D2">
        <w:t xml:space="preserve">podľa § 1 písm. a) </w:t>
      </w:r>
      <w:r w:rsidRPr="001E10D2">
        <w:t>prevádzkuje v jednom okrese podľa vzorca:</w:t>
      </w:r>
      <w:r w:rsidR="00650124" w:rsidRPr="001E10D2">
        <w:t xml:space="preserve"> </w:t>
      </w:r>
    </w:p>
    <w:p w:rsidR="00A12690" w:rsidRPr="001E10D2" w:rsidRDefault="00A12690" w:rsidP="00A12690">
      <w:pPr>
        <w:pStyle w:val="Zkladntext"/>
        <w:spacing w:before="120" w:after="120"/>
        <w:ind w:left="284"/>
      </w:pPr>
    </w:p>
    <w:p w:rsidR="00A12690" w:rsidRPr="001E10D2" w:rsidRDefault="00A12690" w:rsidP="00A12690">
      <w:pPr>
        <w:ind w:left="426" w:hanging="142"/>
      </w:pPr>
      <w:r w:rsidRPr="001E10D2">
        <w:t>P</w:t>
      </w:r>
      <w:r w:rsidRPr="001E10D2">
        <w:rPr>
          <w:vertAlign w:val="subscript"/>
        </w:rPr>
        <w:t xml:space="preserve">R </w:t>
      </w:r>
      <w:r w:rsidRPr="001E10D2">
        <w:t xml:space="preserve">= </w:t>
      </w:r>
      <w:r w:rsidRPr="001E10D2">
        <w:sym w:font="Symbol" w:char="F0E5"/>
      </w:r>
      <w:r w:rsidRPr="001E10D2">
        <w:t xml:space="preserve"> P</w:t>
      </w:r>
      <w:r w:rsidRPr="001E10D2">
        <w:rPr>
          <w:vertAlign w:val="subscript"/>
        </w:rPr>
        <w:t>Z</w:t>
      </w:r>
    </w:p>
    <w:p w:rsidR="00A12690" w:rsidRPr="001E10D2" w:rsidRDefault="00A12690" w:rsidP="00A12690">
      <w:pPr>
        <w:ind w:left="426" w:hanging="142"/>
        <w:rPr>
          <w:vertAlign w:val="superscript"/>
        </w:rPr>
      </w:pPr>
      <w:r w:rsidRPr="001E10D2">
        <w:t xml:space="preserve">        </w:t>
      </w:r>
      <w:r w:rsidRPr="001E10D2">
        <w:rPr>
          <w:vertAlign w:val="superscript"/>
        </w:rPr>
        <w:t>Z</w:t>
      </w:r>
    </w:p>
    <w:p w:rsidR="00A12690" w:rsidRPr="001E10D2" w:rsidRDefault="00A12690" w:rsidP="00A12690">
      <w:pPr>
        <w:ind w:left="426" w:hanging="142"/>
      </w:pPr>
      <w:r w:rsidRPr="001E10D2">
        <w:t>P</w:t>
      </w:r>
      <w:r w:rsidRPr="001E10D2">
        <w:rPr>
          <w:vertAlign w:val="subscript"/>
        </w:rPr>
        <w:t>R</w:t>
      </w:r>
      <w:r w:rsidRPr="001E10D2">
        <w:t xml:space="preserve"> - ročný poplatok </w:t>
      </w:r>
      <w:r w:rsidR="00650124" w:rsidRPr="001E10D2">
        <w:t xml:space="preserve">za emisie </w:t>
      </w:r>
      <w:r w:rsidRPr="001E10D2">
        <w:t xml:space="preserve">prevádzkovateľa </w:t>
      </w:r>
      <w:r w:rsidR="00650124" w:rsidRPr="001E10D2">
        <w:t xml:space="preserve">zdroja podľa § 1 písm. a) </w:t>
      </w:r>
      <w:r w:rsidRPr="001E10D2">
        <w:t>za všetky ním prevádzkované veľké zdroje a</w:t>
      </w:r>
      <w:r w:rsidR="00A91285" w:rsidRPr="001E10D2">
        <w:t>lebo</w:t>
      </w:r>
      <w:r w:rsidRPr="001E10D2">
        <w:t xml:space="preserve"> stredné zdroje v jednom okrese </w:t>
      </w:r>
    </w:p>
    <w:p w:rsidR="00A12690" w:rsidRPr="001E10D2" w:rsidRDefault="00A12690" w:rsidP="00A12690">
      <w:pPr>
        <w:spacing w:after="240"/>
        <w:ind w:left="426" w:hanging="142"/>
      </w:pPr>
      <w:r w:rsidRPr="001E10D2">
        <w:t>P</w:t>
      </w:r>
      <w:r w:rsidRPr="001E10D2">
        <w:rPr>
          <w:vertAlign w:val="subscript"/>
        </w:rPr>
        <w:t xml:space="preserve">Z </w:t>
      </w:r>
      <w:r w:rsidRPr="001E10D2">
        <w:t xml:space="preserve">- poplatok </w:t>
      </w:r>
      <w:r w:rsidR="00650124" w:rsidRPr="001E10D2">
        <w:t xml:space="preserve">za emisie </w:t>
      </w:r>
      <w:r w:rsidRPr="001E10D2">
        <w:t xml:space="preserve">za zdroj (Z) </w:t>
      </w:r>
    </w:p>
    <w:p w:rsidR="00A12690" w:rsidRPr="001E10D2" w:rsidRDefault="00A12690" w:rsidP="00A12690">
      <w:pPr>
        <w:spacing w:after="120"/>
        <w:jc w:val="both"/>
      </w:pPr>
      <w:r w:rsidRPr="001E10D2">
        <w:t xml:space="preserve">Tabuľka č. 1: Základné poplatky </w:t>
      </w:r>
      <w:r w:rsidR="008F5F7A" w:rsidRPr="001E10D2">
        <w:t xml:space="preserve">za </w:t>
      </w:r>
      <w:r w:rsidR="00D87988" w:rsidRPr="001E10D2">
        <w:t>emisie</w:t>
      </w:r>
      <w:r w:rsidRPr="001E10D2">
        <w:t xml:space="preserve"> </w:t>
      </w:r>
      <w:r w:rsidR="008F5F7A" w:rsidRPr="001E10D2">
        <w:t>uvedené</w:t>
      </w:r>
      <w:r w:rsidRPr="001E10D2">
        <w:t xml:space="preserve"> v prílohe č. 1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1E10D2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C0153" w:rsidP="00B70EE6">
            <w:pPr>
              <w:pStyle w:val="Zarkazkladnhotextu3"/>
              <w:ind w:left="0" w:firstLine="0"/>
              <w:jc w:val="left"/>
              <w:rPr>
                <w:b/>
              </w:rPr>
            </w:pPr>
            <w:r w:rsidRPr="001E10D2">
              <w:rPr>
                <w:b/>
              </w:rPr>
              <w:t>Emisia</w:t>
            </w:r>
          </w:p>
        </w:tc>
        <w:tc>
          <w:tcPr>
            <w:tcW w:w="4111" w:type="dxa"/>
            <w:vAlign w:val="center"/>
          </w:tcPr>
          <w:p w:rsidR="00A12690" w:rsidRPr="001E10D2" w:rsidRDefault="00A12690" w:rsidP="00B70EE6">
            <w:pPr>
              <w:pStyle w:val="Zarkazkladnhotextu3"/>
              <w:ind w:left="0" w:firstLine="0"/>
              <w:jc w:val="center"/>
              <w:rPr>
                <w:b/>
              </w:rPr>
            </w:pPr>
            <w:r w:rsidRPr="001E10D2">
              <w:rPr>
                <w:b/>
              </w:rPr>
              <w:t>Základný poplatok [ €/ t ]</w:t>
            </w:r>
          </w:p>
        </w:tc>
      </w:tr>
      <w:tr w:rsidR="001E10D2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12690" w:rsidP="00B70EE6">
            <w:pPr>
              <w:pStyle w:val="Zarkazkladnhotextu3"/>
              <w:ind w:left="0" w:firstLine="0"/>
              <w:jc w:val="left"/>
            </w:pPr>
            <w:r w:rsidRPr="001E10D2">
              <w:t>Tuhé znečisťujúce látky</w:t>
            </w:r>
            <w:r w:rsidR="00AC0153" w:rsidRPr="001E10D2">
              <w:rPr>
                <w:vertAlign w:val="superscript"/>
              </w:rPr>
              <w:t>9</w:t>
            </w:r>
            <w:r w:rsidR="00AC0153" w:rsidRPr="001E10D2">
              <w:t>)</w:t>
            </w:r>
            <w:r w:rsidRPr="001E10D2"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2690" w:rsidRPr="001E10D2" w:rsidRDefault="00A12690" w:rsidP="00B70EE6">
            <w:pPr>
              <w:pStyle w:val="Zarkazkladnhotextu3"/>
              <w:ind w:left="0" w:firstLine="0"/>
              <w:jc w:val="center"/>
            </w:pPr>
            <w:r w:rsidRPr="001E10D2">
              <w:t>330</w:t>
            </w:r>
          </w:p>
        </w:tc>
      </w:tr>
      <w:tr w:rsidR="001E10D2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12690" w:rsidP="00B70EE6">
            <w:pPr>
              <w:tabs>
                <w:tab w:val="left" w:pos="7088"/>
              </w:tabs>
            </w:pPr>
            <w:r w:rsidRPr="001E10D2">
              <w:t>Oxidy síry vyjadrené ako oxid siričitý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</w:pPr>
            <w:r w:rsidRPr="001E10D2">
              <w:t>130</w:t>
            </w:r>
          </w:p>
        </w:tc>
      </w:tr>
      <w:tr w:rsidR="001E10D2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12690" w:rsidP="00B70EE6">
            <w:pPr>
              <w:tabs>
                <w:tab w:val="left" w:pos="7088"/>
              </w:tabs>
            </w:pPr>
            <w:r w:rsidRPr="001E10D2">
              <w:t xml:space="preserve">Oxidy dusíka vyjadrené ako oxid dusičitý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</w:pPr>
            <w:r w:rsidRPr="001E10D2">
              <w:t>100</w:t>
            </w:r>
          </w:p>
        </w:tc>
      </w:tr>
      <w:tr w:rsidR="001E10D2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12690" w:rsidP="00B70EE6">
            <w:pPr>
              <w:pStyle w:val="Zarkazkladnhotextu3"/>
              <w:ind w:left="0" w:firstLine="0"/>
              <w:jc w:val="left"/>
            </w:pPr>
            <w:r w:rsidRPr="001E10D2">
              <w:t>Oxid uhoľnatý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</w:pPr>
            <w:r w:rsidRPr="001E10D2">
              <w:t>60</w:t>
            </w:r>
          </w:p>
        </w:tc>
      </w:tr>
      <w:tr w:rsidR="001E10D2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12690" w:rsidP="00B70EE6">
            <w:pPr>
              <w:pStyle w:val="Zarkazkladnhotextu3"/>
              <w:ind w:left="0" w:firstLine="0"/>
              <w:jc w:val="left"/>
            </w:pPr>
            <w:r w:rsidRPr="001E10D2">
              <w:t>Amoniak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</w:pPr>
            <w:r w:rsidRPr="001E10D2">
              <w:t>60</w:t>
            </w:r>
          </w:p>
        </w:tc>
      </w:tr>
      <w:tr w:rsidR="00A12690" w:rsidRPr="001E10D2" w:rsidTr="00B70EE6">
        <w:trPr>
          <w:trHeight w:val="454"/>
        </w:trPr>
        <w:tc>
          <w:tcPr>
            <w:tcW w:w="5387" w:type="dxa"/>
            <w:vAlign w:val="center"/>
          </w:tcPr>
          <w:p w:rsidR="00A12690" w:rsidRPr="001E10D2" w:rsidRDefault="00A12690" w:rsidP="00B70EE6">
            <w:pPr>
              <w:pStyle w:val="Zarkazkladnhotextu3"/>
              <w:ind w:left="0" w:firstLine="0"/>
              <w:jc w:val="left"/>
              <w:rPr>
                <w:strike/>
              </w:rPr>
            </w:pPr>
            <w:r w:rsidRPr="001E10D2">
              <w:t xml:space="preserve">Celkový organický uhlík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</w:pPr>
            <w:r w:rsidRPr="001E10D2">
              <w:t>260</w:t>
            </w:r>
          </w:p>
        </w:tc>
      </w:tr>
    </w:tbl>
    <w:p w:rsidR="00A12690" w:rsidRPr="001E10D2" w:rsidRDefault="00A12690" w:rsidP="00A12690">
      <w:pPr>
        <w:pStyle w:val="Zarkazkladnhotextu3"/>
        <w:ind w:left="142" w:hanging="142"/>
        <w:rPr>
          <w:sz w:val="20"/>
        </w:rPr>
      </w:pPr>
    </w:p>
    <w:p w:rsidR="00A12690" w:rsidRPr="001E10D2" w:rsidRDefault="00A12690" w:rsidP="00A12690">
      <w:pPr>
        <w:pStyle w:val="Zarkazkladnhotextu3"/>
        <w:ind w:left="142" w:hanging="142"/>
        <w:rPr>
          <w:sz w:val="20"/>
        </w:rPr>
      </w:pPr>
    </w:p>
    <w:p w:rsidR="00A12690" w:rsidRPr="001E10D2" w:rsidRDefault="00A12690" w:rsidP="00A12690">
      <w:pPr>
        <w:spacing w:after="120"/>
        <w:ind w:left="1418" w:hanging="1418"/>
      </w:pPr>
      <w:r w:rsidRPr="001E10D2">
        <w:t>Tabuľka č. 2:  Kompenzačné koeficienty (K</w:t>
      </w:r>
      <w:r w:rsidRPr="001E10D2">
        <w:rPr>
          <w:vertAlign w:val="subscript"/>
        </w:rPr>
        <w:t>K</w:t>
      </w:r>
      <w:r w:rsidRPr="001E10D2">
        <w:t>) podľa § 2 ods. 2 písm. b)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709"/>
        <w:gridCol w:w="709"/>
        <w:gridCol w:w="708"/>
        <w:gridCol w:w="851"/>
        <w:gridCol w:w="850"/>
        <w:gridCol w:w="709"/>
        <w:gridCol w:w="709"/>
        <w:gridCol w:w="1276"/>
      </w:tblGrid>
      <w:tr w:rsidR="001E10D2" w:rsidRPr="001E10D2" w:rsidTr="00B70EE6">
        <w:tc>
          <w:tcPr>
            <w:tcW w:w="1384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left="-142"/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Rok  vypustenia emisií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2031 a ďalšie roky</w:t>
            </w:r>
          </w:p>
        </w:tc>
      </w:tr>
      <w:tr w:rsidR="001E10D2" w:rsidRPr="001E10D2" w:rsidTr="00B70EE6">
        <w:trPr>
          <w:trHeight w:val="612"/>
        </w:trPr>
        <w:tc>
          <w:tcPr>
            <w:tcW w:w="1384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2"/>
                <w:szCs w:val="22"/>
              </w:rPr>
              <w:t>K</w:t>
            </w:r>
            <w:r w:rsidRPr="001E10D2">
              <w:rPr>
                <w:sz w:val="22"/>
                <w:szCs w:val="22"/>
                <w:vertAlign w:val="subscript"/>
              </w:rPr>
              <w:t>K</w:t>
            </w:r>
          </w:p>
          <w:p w:rsidR="00A12690" w:rsidRPr="001E10D2" w:rsidRDefault="00A12690" w:rsidP="00B70EE6">
            <w:pPr>
              <w:ind w:left="-142" w:right="-108"/>
              <w:jc w:val="center"/>
              <w:rPr>
                <w:sz w:val="22"/>
                <w:szCs w:val="22"/>
                <w:vertAlign w:val="subscript"/>
              </w:rPr>
            </w:pPr>
            <w:r w:rsidRPr="001E10D2">
              <w:rPr>
                <w:sz w:val="20"/>
              </w:rPr>
              <w:t>pre TZL, SO</w:t>
            </w:r>
            <w:r w:rsidRPr="001E10D2">
              <w:rPr>
                <w:sz w:val="20"/>
                <w:vertAlign w:val="subscript"/>
              </w:rPr>
              <w:t>2</w:t>
            </w:r>
            <w:r w:rsidRPr="001E10D2">
              <w:rPr>
                <w:sz w:val="20"/>
              </w:rPr>
              <w:t>, NO</w:t>
            </w:r>
            <w:r w:rsidRPr="001E10D2">
              <w:rPr>
                <w:sz w:val="20"/>
                <w:vertAlign w:val="subscript"/>
              </w:rPr>
              <w:t>X</w:t>
            </w:r>
            <w:r w:rsidRPr="001E10D2">
              <w:rPr>
                <w:sz w:val="20"/>
              </w:rPr>
              <w:t>, CO, TOC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right="-108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0,6/0,5*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right="-108"/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left="-108" w:right="-108"/>
              <w:jc w:val="center"/>
              <w:rPr>
                <w:sz w:val="20"/>
              </w:rPr>
            </w:pPr>
            <w:r w:rsidRPr="001E10D2">
              <w:rPr>
                <w:sz w:val="20"/>
              </w:rPr>
              <w:t xml:space="preserve">2 </w:t>
            </w:r>
          </w:p>
          <w:p w:rsidR="00A12690" w:rsidRPr="001E10D2" w:rsidRDefault="00A12690" w:rsidP="00B70EE6">
            <w:pPr>
              <w:ind w:left="-108" w:right="-108"/>
              <w:jc w:val="center"/>
              <w:rPr>
                <w:sz w:val="20"/>
              </w:rPr>
            </w:pPr>
            <w:r w:rsidRPr="001E10D2">
              <w:rPr>
                <w:sz w:val="20"/>
              </w:rPr>
              <w:t>+ započítanie   miery inflácie voči roku 2030</w:t>
            </w:r>
          </w:p>
        </w:tc>
      </w:tr>
      <w:tr w:rsidR="001E10D2" w:rsidRPr="001E10D2" w:rsidTr="00B70EE6">
        <w:tc>
          <w:tcPr>
            <w:tcW w:w="1384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K</w:t>
            </w:r>
            <w:r w:rsidRPr="001E10D2">
              <w:rPr>
                <w:sz w:val="22"/>
                <w:szCs w:val="22"/>
                <w:vertAlign w:val="subscript"/>
              </w:rPr>
              <w:t>K</w:t>
            </w:r>
          </w:p>
          <w:p w:rsidR="00A12690" w:rsidRPr="001E10D2" w:rsidRDefault="00A12690" w:rsidP="00B70EE6">
            <w:pPr>
              <w:jc w:val="center"/>
              <w:rPr>
                <w:sz w:val="20"/>
                <w:vertAlign w:val="subscript"/>
              </w:rPr>
            </w:pPr>
            <w:r w:rsidRPr="001E10D2">
              <w:rPr>
                <w:sz w:val="20"/>
              </w:rPr>
              <w:t>pre NH</w:t>
            </w:r>
            <w:r w:rsidRPr="001E10D2">
              <w:rPr>
                <w:sz w:val="20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left="34" w:right="-108"/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</w:t>
            </w:r>
          </w:p>
        </w:tc>
      </w:tr>
    </w:tbl>
    <w:p w:rsidR="00A12690" w:rsidRPr="001E10D2" w:rsidRDefault="00A12690" w:rsidP="00A12690">
      <w:r w:rsidRPr="001E10D2">
        <w:rPr>
          <w:sz w:val="20"/>
        </w:rPr>
        <w:t xml:space="preserve">* Kompenzačný koeficient platný pre osobitnú poplatkovú povinnosť podľa § </w:t>
      </w:r>
      <w:r w:rsidR="006C7352" w:rsidRPr="001E10D2">
        <w:rPr>
          <w:sz w:val="20"/>
        </w:rPr>
        <w:t>9</w:t>
      </w:r>
      <w:r w:rsidRPr="001E10D2">
        <w:rPr>
          <w:sz w:val="20"/>
        </w:rPr>
        <w:t xml:space="preserve"> ods. </w:t>
      </w:r>
      <w:r w:rsidR="006C7352" w:rsidRPr="001E10D2">
        <w:rPr>
          <w:sz w:val="20"/>
        </w:rPr>
        <w:t>2</w:t>
      </w:r>
      <w:r w:rsidRPr="001E10D2">
        <w:rPr>
          <w:sz w:val="20"/>
        </w:rPr>
        <w:t>.</w:t>
      </w:r>
    </w:p>
    <w:p w:rsidR="005D4B39" w:rsidRPr="001E10D2" w:rsidRDefault="005D4B39" w:rsidP="005D4B39">
      <w:pPr>
        <w:pStyle w:val="Zkladntext"/>
        <w:spacing w:after="120"/>
        <w:rPr>
          <w:sz w:val="20"/>
        </w:rPr>
      </w:pPr>
    </w:p>
    <w:p w:rsidR="00022605" w:rsidRPr="001E10D2" w:rsidRDefault="008901D1" w:rsidP="008901D1">
      <w:pPr>
        <w:tabs>
          <w:tab w:val="left" w:pos="5622"/>
        </w:tabs>
      </w:pPr>
      <w:r w:rsidRPr="001E10D2">
        <w:tab/>
      </w:r>
    </w:p>
    <w:p w:rsidR="00022605" w:rsidRPr="001E10D2" w:rsidRDefault="00022605" w:rsidP="00C04EF9"/>
    <w:p w:rsidR="00022605" w:rsidRPr="001E10D2" w:rsidRDefault="00022605" w:rsidP="00C04EF9"/>
    <w:p w:rsidR="00022605" w:rsidRPr="001E10D2" w:rsidRDefault="00022605" w:rsidP="00C04EF9"/>
    <w:p w:rsidR="00997D2E" w:rsidRPr="001E10D2" w:rsidRDefault="005D6ECB" w:rsidP="00E04132">
      <w:pPr>
        <w:jc w:val="right"/>
        <w:rPr>
          <w:b/>
        </w:rPr>
      </w:pPr>
      <w:r w:rsidRPr="001E10D2">
        <w:br w:type="page"/>
      </w:r>
      <w:r w:rsidR="00997D2E" w:rsidRPr="001E10D2">
        <w:rPr>
          <w:b/>
        </w:rPr>
        <w:lastRenderedPageBreak/>
        <w:t xml:space="preserve">                                                                                  </w:t>
      </w:r>
      <w:r w:rsidR="00D378FB" w:rsidRPr="001E10D2">
        <w:rPr>
          <w:b/>
        </w:rPr>
        <w:t xml:space="preserve">Príloha č. </w:t>
      </w:r>
      <w:r w:rsidR="005D4B39" w:rsidRPr="001E10D2">
        <w:rPr>
          <w:b/>
        </w:rPr>
        <w:t>3</w:t>
      </w:r>
    </w:p>
    <w:p w:rsidR="00997D2E" w:rsidRPr="001E10D2" w:rsidRDefault="00997D2E" w:rsidP="00997D2E">
      <w:pPr>
        <w:jc w:val="right"/>
      </w:pPr>
      <w:r w:rsidRPr="001E10D2">
        <w:rPr>
          <w:b/>
        </w:rPr>
        <w:t xml:space="preserve">k zákonu č. </w:t>
      </w:r>
      <w:r w:rsidR="00C60BA1" w:rsidRPr="001E10D2">
        <w:rPr>
          <w:b/>
        </w:rPr>
        <w:t>.....</w:t>
      </w:r>
      <w:r w:rsidRPr="001E10D2">
        <w:rPr>
          <w:b/>
        </w:rPr>
        <w:t>/2022 Z. z.</w:t>
      </w:r>
    </w:p>
    <w:p w:rsidR="00997D2E" w:rsidRPr="001E10D2" w:rsidRDefault="00997D2E" w:rsidP="00997D2E"/>
    <w:p w:rsidR="002121F2" w:rsidRPr="001E10D2" w:rsidRDefault="002121F2" w:rsidP="00997D2E"/>
    <w:p w:rsidR="00A12690" w:rsidRPr="001E10D2" w:rsidRDefault="00A12690" w:rsidP="00997D2E"/>
    <w:p w:rsidR="00A12690" w:rsidRPr="001E10D2" w:rsidRDefault="00A12690" w:rsidP="00A12690">
      <w:pPr>
        <w:spacing w:after="240"/>
        <w:jc w:val="center"/>
        <w:rPr>
          <w:b/>
        </w:rPr>
      </w:pPr>
      <w:r w:rsidRPr="001E10D2">
        <w:rPr>
          <w:b/>
        </w:rPr>
        <w:t xml:space="preserve">MALÉ ZDROJE A VÝPOČET VÝŠKY POPLATKU </w:t>
      </w:r>
      <w:r w:rsidR="00650124" w:rsidRPr="001E10D2">
        <w:rPr>
          <w:b/>
        </w:rPr>
        <w:t>ZA EMISIE Z MALÉHO ZDROJA</w:t>
      </w:r>
    </w:p>
    <w:p w:rsidR="00A12690" w:rsidRPr="001E10D2" w:rsidRDefault="00A12690" w:rsidP="00A12690">
      <w:pPr>
        <w:spacing w:after="120"/>
        <w:rPr>
          <w:b/>
        </w:rPr>
      </w:pPr>
    </w:p>
    <w:p w:rsidR="00A12690" w:rsidRPr="001E10D2" w:rsidRDefault="00A12690" w:rsidP="00A12690">
      <w:pPr>
        <w:spacing w:after="120"/>
        <w:rPr>
          <w:b/>
        </w:rPr>
      </w:pPr>
      <w:r w:rsidRPr="001E10D2">
        <w:rPr>
          <w:b/>
        </w:rPr>
        <w:t xml:space="preserve">A.   Malé zdroje podľa § </w:t>
      </w:r>
      <w:r w:rsidR="001C4A4F" w:rsidRPr="001E10D2">
        <w:rPr>
          <w:b/>
        </w:rPr>
        <w:t>1 písm. b)</w:t>
      </w:r>
    </w:p>
    <w:p w:rsidR="00A12690" w:rsidRPr="001E10D2" w:rsidRDefault="00A12690" w:rsidP="00365A87">
      <w:pPr>
        <w:numPr>
          <w:ilvl w:val="1"/>
          <w:numId w:val="10"/>
        </w:numPr>
        <w:spacing w:after="120"/>
        <w:ind w:left="709" w:hanging="283"/>
        <w:rPr>
          <w:szCs w:val="24"/>
        </w:rPr>
      </w:pPr>
      <w:r w:rsidRPr="001E10D2">
        <w:rPr>
          <w:szCs w:val="24"/>
        </w:rPr>
        <w:t>Spaľovacie zariadenia alebo iné technologické celky spaľujúce čierne uhlie alebo koks</w:t>
      </w:r>
    </w:p>
    <w:p w:rsidR="00A12690" w:rsidRPr="001E10D2" w:rsidRDefault="00A12690" w:rsidP="00365A87">
      <w:pPr>
        <w:numPr>
          <w:ilvl w:val="1"/>
          <w:numId w:val="10"/>
        </w:numPr>
        <w:spacing w:after="120"/>
        <w:ind w:left="709" w:hanging="283"/>
        <w:rPr>
          <w:szCs w:val="24"/>
        </w:rPr>
      </w:pPr>
      <w:r w:rsidRPr="001E10D2">
        <w:rPr>
          <w:szCs w:val="24"/>
        </w:rPr>
        <w:t>Spaľovacie zariadenia alebo iné technologické celky spaľujúce hnedé uhlie</w:t>
      </w:r>
    </w:p>
    <w:p w:rsidR="00A12690" w:rsidRPr="001E10D2" w:rsidRDefault="00A12690" w:rsidP="00365A87">
      <w:pPr>
        <w:numPr>
          <w:ilvl w:val="1"/>
          <w:numId w:val="10"/>
        </w:numPr>
        <w:spacing w:after="120"/>
        <w:ind w:left="709" w:hanging="283"/>
        <w:rPr>
          <w:szCs w:val="24"/>
        </w:rPr>
      </w:pPr>
      <w:r w:rsidRPr="001E10D2">
        <w:rPr>
          <w:szCs w:val="24"/>
        </w:rPr>
        <w:t>Spaľovacie zariadenia alebo iné technologické celky spaľujúce biomasu</w:t>
      </w:r>
    </w:p>
    <w:p w:rsidR="00A12690" w:rsidRPr="001E10D2" w:rsidRDefault="00A12690" w:rsidP="00A12690">
      <w:pPr>
        <w:numPr>
          <w:ilvl w:val="1"/>
          <w:numId w:val="10"/>
        </w:numPr>
        <w:spacing w:after="120"/>
        <w:ind w:left="709" w:hanging="283"/>
        <w:jc w:val="both"/>
        <w:rPr>
          <w:szCs w:val="24"/>
        </w:rPr>
      </w:pPr>
      <w:r w:rsidRPr="001E10D2">
        <w:rPr>
          <w:szCs w:val="24"/>
        </w:rPr>
        <w:t>Nanášanie náterov na povrchy, lakovanie s projektovanou spotrebou organických rozpúšťadiel v t/rok &lt; 0,6 t/rok</w:t>
      </w:r>
    </w:p>
    <w:p w:rsidR="00A12690" w:rsidRPr="001E10D2" w:rsidRDefault="00A12690" w:rsidP="00A12690">
      <w:pPr>
        <w:numPr>
          <w:ilvl w:val="1"/>
          <w:numId w:val="10"/>
        </w:numPr>
        <w:spacing w:after="120"/>
        <w:ind w:left="709" w:hanging="283"/>
        <w:jc w:val="both"/>
        <w:rPr>
          <w:szCs w:val="24"/>
        </w:rPr>
      </w:pPr>
      <w:r w:rsidRPr="001E10D2">
        <w:rPr>
          <w:szCs w:val="24"/>
        </w:rPr>
        <w:t xml:space="preserve">Povrchová úprava vozidiel s celkovou spotrebou organického rozpúšťadla &lt; 0,5 t/rok  </w:t>
      </w:r>
    </w:p>
    <w:p w:rsidR="00A12690" w:rsidRPr="001E10D2" w:rsidRDefault="00A12690" w:rsidP="00A12690">
      <w:pPr>
        <w:spacing w:after="120"/>
        <w:ind w:left="851" w:hanging="822"/>
        <w:jc w:val="both"/>
        <w:rPr>
          <w:szCs w:val="24"/>
        </w:rPr>
      </w:pPr>
      <w:r w:rsidRPr="001E10D2">
        <w:rPr>
          <w:szCs w:val="24"/>
        </w:rPr>
        <w:t xml:space="preserve">            - autoopravárenstvo </w:t>
      </w:r>
    </w:p>
    <w:p w:rsidR="00A12690" w:rsidRPr="001E10D2" w:rsidRDefault="00A12690" w:rsidP="00A12690">
      <w:pPr>
        <w:spacing w:after="120"/>
        <w:ind w:left="709" w:hanging="283"/>
        <w:jc w:val="both"/>
      </w:pPr>
      <w:r w:rsidRPr="001E10D2">
        <w:rPr>
          <w:szCs w:val="24"/>
        </w:rPr>
        <w:t>6. Odmasťovanie a čistenie povrchov kovov, elektrosúčiastok, pla</w:t>
      </w:r>
      <w:r w:rsidR="00365A87" w:rsidRPr="001E10D2">
        <w:rPr>
          <w:szCs w:val="24"/>
        </w:rPr>
        <w:t xml:space="preserve">stov a iných materiálov vrátane </w:t>
      </w:r>
      <w:r w:rsidRPr="001E10D2">
        <w:rPr>
          <w:szCs w:val="24"/>
        </w:rPr>
        <w:t>odstraňovania starých náterov organickými rozpúšťadlami s projektovanou spotrebou</w:t>
      </w:r>
      <w:r w:rsidRPr="001E10D2">
        <w:t xml:space="preserve"> v t/rok &lt; 0,6 t/rok</w:t>
      </w:r>
    </w:p>
    <w:p w:rsidR="00A12690" w:rsidRPr="001E10D2" w:rsidRDefault="00A12690" w:rsidP="00A12690">
      <w:pPr>
        <w:ind w:left="709" w:hanging="283"/>
        <w:jc w:val="both"/>
        <w:rPr>
          <w:szCs w:val="24"/>
        </w:rPr>
      </w:pPr>
    </w:p>
    <w:p w:rsidR="00A12690" w:rsidRPr="001E10D2" w:rsidRDefault="00A12690" w:rsidP="00A12690">
      <w:pPr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1E10D2">
        <w:rPr>
          <w:b/>
        </w:rPr>
        <w:t xml:space="preserve">Oznamované údaje a základný poplatok pre výpočet poplatku </w:t>
      </w:r>
      <w:r w:rsidR="002E25F7" w:rsidRPr="001E10D2">
        <w:rPr>
          <w:b/>
        </w:rPr>
        <w:t xml:space="preserve">za emisie </w:t>
      </w:r>
      <w:r w:rsidRPr="001E10D2">
        <w:rPr>
          <w:b/>
        </w:rPr>
        <w:t>prevádzkovateľa zdroja</w:t>
      </w:r>
      <w:r w:rsidR="002E25F7" w:rsidRPr="001E10D2">
        <w:rPr>
          <w:b/>
        </w:rPr>
        <w:t xml:space="preserve"> podľa § 1 písm. b)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412"/>
        <w:gridCol w:w="2722"/>
        <w:gridCol w:w="1084"/>
        <w:gridCol w:w="1186"/>
      </w:tblGrid>
      <w:tr w:rsidR="001E10D2" w:rsidRPr="001E10D2" w:rsidTr="00B70EE6">
        <w:tc>
          <w:tcPr>
            <w:tcW w:w="567" w:type="dxa"/>
            <w:shd w:val="clear" w:color="auto" w:fill="auto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t xml:space="preserve"> 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E719AF" w:rsidP="00B70EE6">
            <w:pPr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M</w:t>
            </w:r>
            <w:r w:rsidR="00A12690" w:rsidRPr="001E10D2">
              <w:rPr>
                <w:b/>
                <w:sz w:val="22"/>
                <w:szCs w:val="22"/>
              </w:rPr>
              <w:t>alé zdroje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 xml:space="preserve">Oznamovaný údaj </w:t>
            </w:r>
          </w:p>
          <w:p w:rsidR="00A12690" w:rsidRPr="001E10D2" w:rsidRDefault="00A12690" w:rsidP="00B70EE6">
            <w:pPr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pre výpočet poplatku malého zdroja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Jednotka vzťažnej veličiny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b/>
                <w:sz w:val="22"/>
                <w:szCs w:val="22"/>
              </w:rPr>
            </w:pPr>
            <w:r w:rsidRPr="001E10D2">
              <w:rPr>
                <w:b/>
                <w:sz w:val="22"/>
                <w:szCs w:val="22"/>
              </w:rPr>
              <w:t>Základný poplatok</w:t>
            </w:r>
          </w:p>
          <w:p w:rsidR="00A12690" w:rsidRPr="001E10D2" w:rsidRDefault="00A12690" w:rsidP="00B70EE6">
            <w:pPr>
              <w:rPr>
                <w:b/>
                <w:sz w:val="22"/>
                <w:szCs w:val="22"/>
                <w:vertAlign w:val="subscript"/>
              </w:rPr>
            </w:pPr>
            <w:r w:rsidRPr="001E10D2">
              <w:rPr>
                <w:b/>
                <w:sz w:val="22"/>
                <w:szCs w:val="22"/>
              </w:rPr>
              <w:t xml:space="preserve">   Z</w:t>
            </w:r>
            <w:r w:rsidRPr="001E10D2">
              <w:rPr>
                <w:b/>
                <w:sz w:val="22"/>
                <w:szCs w:val="22"/>
                <w:vertAlign w:val="subscript"/>
              </w:rPr>
              <w:t>MZ</w:t>
            </w:r>
          </w:p>
        </w:tc>
      </w:tr>
      <w:tr w:rsidR="001E10D2" w:rsidRPr="001E10D2" w:rsidTr="00B70EE6">
        <w:tc>
          <w:tcPr>
            <w:tcW w:w="567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0"/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Spaľovacie zariadenia a iné technologické celky spaľujúce čierne uhlie alebo koks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Množstvo spáleného paliva 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t/r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10 €/t</w:t>
            </w:r>
          </w:p>
        </w:tc>
      </w:tr>
      <w:tr w:rsidR="001E10D2" w:rsidRPr="001E10D2" w:rsidTr="00B70EE6">
        <w:tc>
          <w:tcPr>
            <w:tcW w:w="567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0"/>
              </w:rPr>
              <w:t>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Spaľovacie zariadenia a iné technologické celky spaľujúce hnedé uhlie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right="-188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Množstvo spáleného </w:t>
            </w:r>
          </w:p>
          <w:p w:rsidR="00A12690" w:rsidRPr="001E10D2" w:rsidRDefault="00A12690" w:rsidP="00B70EE6">
            <w:pPr>
              <w:ind w:right="-188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paliva   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t/r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12 €/t</w:t>
            </w:r>
          </w:p>
        </w:tc>
      </w:tr>
      <w:tr w:rsidR="001E10D2" w:rsidRPr="001E10D2" w:rsidTr="00B70EE6">
        <w:tc>
          <w:tcPr>
            <w:tcW w:w="567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0"/>
              </w:rPr>
              <w:t>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Spaľovacie zariadenia a iné technologické celky spaľujúce biomasu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Množstvo spáleného paliva  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t/r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8 €/t</w:t>
            </w:r>
          </w:p>
        </w:tc>
      </w:tr>
      <w:tr w:rsidR="001E10D2" w:rsidRPr="001E10D2" w:rsidTr="00B70EE6">
        <w:tc>
          <w:tcPr>
            <w:tcW w:w="567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0"/>
              </w:rPr>
              <w:t>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Nanášanie náterov na povrchy, lakovanie s projektovanou spotrebou organických rozpúšťadiel &lt; 0,6 t/rok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Množstvo spotrebovaných organických rozpúšťadiel vrátane obsahu organických rozpúšťadiel v náterových látkach  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kg/r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0,3 €/kg</w:t>
            </w:r>
          </w:p>
        </w:tc>
      </w:tr>
      <w:tr w:rsidR="001E10D2" w:rsidRPr="001E10D2" w:rsidTr="00B70EE6">
        <w:tc>
          <w:tcPr>
            <w:tcW w:w="567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0"/>
              </w:rPr>
              <w:t>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A12690" w:rsidP="00B70EE6">
            <w:pPr>
              <w:ind w:left="29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Povrchová úprava vozidiel s celkovou spotrebou organického rozpúšťadla </w:t>
            </w:r>
          </w:p>
          <w:p w:rsidR="00A12690" w:rsidRPr="001E10D2" w:rsidRDefault="00A12690" w:rsidP="00B70EE6">
            <w:pPr>
              <w:ind w:left="29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&lt; 0,5 t/rok - autoopravárenstvo </w:t>
            </w:r>
          </w:p>
          <w:p w:rsidR="00A12690" w:rsidRPr="001E10D2" w:rsidRDefault="00A12690" w:rsidP="00B70EE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 xml:space="preserve">Množstvo spotrebovaných organických rozpúšťadiel vrátane obsahu organických rozpúšťadiel v náterových látkach  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kg/r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0,3 €/kg</w:t>
            </w:r>
          </w:p>
        </w:tc>
      </w:tr>
      <w:tr w:rsidR="00A12690" w:rsidRPr="001E10D2" w:rsidTr="00B70EE6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0"/>
              </w:rPr>
            </w:pPr>
            <w:r w:rsidRPr="001E10D2">
              <w:rPr>
                <w:sz w:val="20"/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Odmasťovanie a čistenie povrchov kovov,</w:t>
            </w:r>
            <w:r w:rsidR="00E12469" w:rsidRPr="001E10D2">
              <w:rPr>
                <w:sz w:val="22"/>
                <w:szCs w:val="22"/>
              </w:rPr>
              <w:t xml:space="preserve"> elektrosúčiastok,</w:t>
            </w:r>
            <w:r w:rsidRPr="001E10D2">
              <w:rPr>
                <w:sz w:val="22"/>
                <w:szCs w:val="22"/>
              </w:rPr>
              <w:t xml:space="preserve"> plastov a iných materiálov vrátane </w:t>
            </w:r>
            <w:r w:rsidRPr="001E10D2">
              <w:rPr>
                <w:sz w:val="22"/>
                <w:szCs w:val="22"/>
              </w:rPr>
              <w:lastRenderedPageBreak/>
              <w:t>odstraňovania starých náterov organickými rozpúšťadlami s projektovanou spotrebou &lt; 0,6 t/rok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A12690" w:rsidRPr="001E10D2" w:rsidRDefault="00A12690" w:rsidP="00B70EE6">
            <w:pPr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lastRenderedPageBreak/>
              <w:t xml:space="preserve">Množstvo spotrebovaných organických rozpúšťadiel </w:t>
            </w:r>
          </w:p>
          <w:p w:rsidR="00A12690" w:rsidRPr="001E10D2" w:rsidRDefault="00A12690" w:rsidP="00B70EE6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kg/r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12690" w:rsidRPr="001E10D2" w:rsidRDefault="00A12690" w:rsidP="00B70EE6">
            <w:pPr>
              <w:jc w:val="center"/>
              <w:rPr>
                <w:sz w:val="22"/>
                <w:szCs w:val="22"/>
              </w:rPr>
            </w:pPr>
            <w:r w:rsidRPr="001E10D2">
              <w:rPr>
                <w:sz w:val="22"/>
                <w:szCs w:val="22"/>
              </w:rPr>
              <w:t>0,3 €/kg</w:t>
            </w:r>
          </w:p>
        </w:tc>
      </w:tr>
    </w:tbl>
    <w:p w:rsidR="00A12690" w:rsidRPr="001E10D2" w:rsidRDefault="00A12690" w:rsidP="00A12690"/>
    <w:p w:rsidR="00A12690" w:rsidRPr="001E10D2" w:rsidRDefault="00A12690" w:rsidP="00A12690">
      <w:pPr>
        <w:numPr>
          <w:ilvl w:val="0"/>
          <w:numId w:val="10"/>
        </w:numPr>
        <w:spacing w:after="120"/>
        <w:ind w:left="426" w:hanging="426"/>
        <w:rPr>
          <w:b/>
        </w:rPr>
      </w:pPr>
      <w:r w:rsidRPr="001E10D2">
        <w:rPr>
          <w:b/>
        </w:rPr>
        <w:t xml:space="preserve">Výpočet poplatku </w:t>
      </w:r>
      <w:r w:rsidR="0029118E" w:rsidRPr="001E10D2">
        <w:rPr>
          <w:b/>
        </w:rPr>
        <w:t xml:space="preserve">za emisie </w:t>
      </w:r>
      <w:r w:rsidR="00AF10DE" w:rsidRPr="001E10D2">
        <w:rPr>
          <w:b/>
        </w:rPr>
        <w:t xml:space="preserve">z </w:t>
      </w:r>
      <w:r w:rsidR="0029118E" w:rsidRPr="001E10D2">
        <w:rPr>
          <w:b/>
        </w:rPr>
        <w:t>malého</w:t>
      </w:r>
      <w:r w:rsidR="00AF10DE" w:rsidRPr="001E10D2">
        <w:rPr>
          <w:b/>
        </w:rPr>
        <w:t xml:space="preserve"> zdroj</w:t>
      </w:r>
      <w:r w:rsidR="0029118E" w:rsidRPr="001E10D2">
        <w:rPr>
          <w:b/>
        </w:rPr>
        <w:t>a</w:t>
      </w:r>
      <w:r w:rsidR="00AF10DE" w:rsidRPr="001E10D2">
        <w:rPr>
          <w:b/>
        </w:rPr>
        <w:t xml:space="preserve"> </w:t>
      </w:r>
      <w:r w:rsidRPr="001E10D2">
        <w:rPr>
          <w:b/>
        </w:rPr>
        <w:t>podľa § 4 ods. 5</w:t>
      </w:r>
    </w:p>
    <w:p w:rsidR="00A12690" w:rsidRPr="001E10D2" w:rsidRDefault="00075A7B" w:rsidP="00A12690">
      <w:pPr>
        <w:ind w:left="426"/>
        <w:jc w:val="both"/>
      </w:pPr>
      <w:r w:rsidRPr="001E10D2">
        <w:t>Poplat</w:t>
      </w:r>
      <w:r w:rsidR="00AF10DE" w:rsidRPr="001E10D2">
        <w:t>o</w:t>
      </w:r>
      <w:r w:rsidRPr="001E10D2">
        <w:t>k</w:t>
      </w:r>
      <w:r w:rsidR="00A12690" w:rsidRPr="001E10D2">
        <w:t xml:space="preserve"> </w:t>
      </w:r>
      <w:r w:rsidR="0029118E" w:rsidRPr="001E10D2">
        <w:t>za emisie z</w:t>
      </w:r>
      <w:r w:rsidR="00A12690" w:rsidRPr="001E10D2">
        <w:t xml:space="preserve"> malé</w:t>
      </w:r>
      <w:r w:rsidR="0029118E" w:rsidRPr="001E10D2">
        <w:t>ho zdroja</w:t>
      </w:r>
      <w:r w:rsidR="00A12690" w:rsidRPr="001E10D2">
        <w:t xml:space="preserve"> sa vypočítajú podľa vzorca:</w:t>
      </w:r>
    </w:p>
    <w:p w:rsidR="00A12690" w:rsidRPr="001E10D2" w:rsidRDefault="00A12690" w:rsidP="00A12690">
      <w:pPr>
        <w:ind w:left="426"/>
        <w:jc w:val="both"/>
      </w:pPr>
    </w:p>
    <w:p w:rsidR="00A12690" w:rsidRPr="001E10D2" w:rsidRDefault="00A12690" w:rsidP="00A12690">
      <w:pPr>
        <w:pStyle w:val="Odsekzoznamu"/>
        <w:ind w:left="502"/>
      </w:pPr>
      <w:r w:rsidRPr="001E10D2">
        <w:t>P</w:t>
      </w:r>
      <w:r w:rsidRPr="001E10D2">
        <w:rPr>
          <w:vertAlign w:val="subscript"/>
        </w:rPr>
        <w:t>MZ</w:t>
      </w:r>
      <w:r w:rsidRPr="001E10D2">
        <w:t xml:space="preserve"> = V</w:t>
      </w:r>
      <w:r w:rsidRPr="001E10D2">
        <w:rPr>
          <w:vertAlign w:val="subscript"/>
        </w:rPr>
        <w:t xml:space="preserve">MZ </w:t>
      </w:r>
      <w:r w:rsidRPr="001E10D2">
        <w:t>. Z</w:t>
      </w:r>
      <w:r w:rsidRPr="001E10D2">
        <w:rPr>
          <w:vertAlign w:val="subscript"/>
        </w:rPr>
        <w:t>MZ</w:t>
      </w:r>
      <w:r w:rsidRPr="001E10D2">
        <w:t xml:space="preserve">  </w:t>
      </w:r>
    </w:p>
    <w:p w:rsidR="00A12690" w:rsidRPr="001E10D2" w:rsidRDefault="00A12690" w:rsidP="00A12690">
      <w:pPr>
        <w:pStyle w:val="Odsekzoznamu"/>
        <w:ind w:left="502"/>
      </w:pPr>
    </w:p>
    <w:p w:rsidR="00A12690" w:rsidRPr="001E10D2" w:rsidRDefault="00A12690" w:rsidP="0029118E">
      <w:pPr>
        <w:pStyle w:val="Odsekzoznamu"/>
        <w:ind w:left="502"/>
      </w:pPr>
      <w:r w:rsidRPr="001E10D2">
        <w:t>P</w:t>
      </w:r>
      <w:r w:rsidRPr="001E10D2">
        <w:rPr>
          <w:vertAlign w:val="subscript"/>
        </w:rPr>
        <w:t>MZ</w:t>
      </w:r>
      <w:r w:rsidRPr="001E10D2">
        <w:t xml:space="preserve"> - poplatok </w:t>
      </w:r>
      <w:r w:rsidR="0029118E" w:rsidRPr="001E10D2">
        <w:t>za emisie z malého zdroja</w:t>
      </w:r>
    </w:p>
    <w:p w:rsidR="00A12690" w:rsidRPr="001E10D2" w:rsidRDefault="00A12690" w:rsidP="00A12690">
      <w:pPr>
        <w:pStyle w:val="Odsekzoznamu"/>
        <w:ind w:left="502"/>
      </w:pPr>
      <w:r w:rsidRPr="001E10D2">
        <w:t>V</w:t>
      </w:r>
      <w:r w:rsidR="00E12469" w:rsidRPr="001E10D2">
        <w:rPr>
          <w:vertAlign w:val="subscript"/>
        </w:rPr>
        <w:t>M</w:t>
      </w:r>
      <w:r w:rsidRPr="001E10D2">
        <w:rPr>
          <w:vertAlign w:val="subscript"/>
        </w:rPr>
        <w:t>Z</w:t>
      </w:r>
      <w:r w:rsidRPr="001E10D2">
        <w:t xml:space="preserve"> - oznamovaný údaj za malý zdroj - vzťažná veličina pre výpočet poplatku</w:t>
      </w:r>
      <w:r w:rsidR="0029118E" w:rsidRPr="001E10D2">
        <w:t xml:space="preserve"> za emisie</w:t>
      </w:r>
    </w:p>
    <w:p w:rsidR="00A12690" w:rsidRPr="001E10D2" w:rsidRDefault="00A12690" w:rsidP="00A12690">
      <w:pPr>
        <w:pStyle w:val="Odsekzoznamu"/>
        <w:spacing w:after="240"/>
        <w:ind w:left="505"/>
      </w:pPr>
      <w:r w:rsidRPr="001E10D2">
        <w:t>Z</w:t>
      </w:r>
      <w:r w:rsidRPr="001E10D2">
        <w:rPr>
          <w:vertAlign w:val="subscript"/>
        </w:rPr>
        <w:t>MZ</w:t>
      </w:r>
      <w:r w:rsidRPr="001E10D2">
        <w:t xml:space="preserve"> - základný poplatok </w:t>
      </w:r>
      <w:r w:rsidR="0029118E" w:rsidRPr="001E10D2">
        <w:t xml:space="preserve">za emisie z malého zdroja  </w:t>
      </w:r>
    </w:p>
    <w:p w:rsidR="00A12690" w:rsidRPr="001E10D2" w:rsidRDefault="00A12690" w:rsidP="00A12690">
      <w:pPr>
        <w:ind w:left="426"/>
      </w:pPr>
    </w:p>
    <w:p w:rsidR="00A12690" w:rsidRPr="001E10D2" w:rsidRDefault="00A12690" w:rsidP="00A12690">
      <w:pPr>
        <w:pStyle w:val="Zkladntext"/>
        <w:numPr>
          <w:ilvl w:val="0"/>
          <w:numId w:val="10"/>
        </w:numPr>
        <w:spacing w:after="240"/>
        <w:ind w:left="425"/>
        <w:rPr>
          <w:b/>
        </w:rPr>
      </w:pPr>
      <w:r w:rsidRPr="001E10D2">
        <w:rPr>
          <w:b/>
        </w:rPr>
        <w:t>Ročný poplatok</w:t>
      </w:r>
      <w:r w:rsidR="00075A7B" w:rsidRPr="001E10D2">
        <w:rPr>
          <w:b/>
        </w:rPr>
        <w:t xml:space="preserve"> </w:t>
      </w:r>
      <w:r w:rsidR="0029118E" w:rsidRPr="001E10D2">
        <w:rPr>
          <w:b/>
        </w:rPr>
        <w:t xml:space="preserve">za emisie </w:t>
      </w:r>
      <w:r w:rsidR="00075A7B" w:rsidRPr="001E10D2">
        <w:rPr>
          <w:b/>
        </w:rPr>
        <w:t>prevádzkovateľa zdroja</w:t>
      </w:r>
      <w:r w:rsidR="0029118E" w:rsidRPr="001E10D2">
        <w:rPr>
          <w:b/>
        </w:rPr>
        <w:t xml:space="preserve"> podľa § 1 písm. b)</w:t>
      </w:r>
    </w:p>
    <w:p w:rsidR="00A12690" w:rsidRPr="001E10D2" w:rsidRDefault="00A12690" w:rsidP="00A12690">
      <w:pPr>
        <w:pStyle w:val="Zkladntext"/>
        <w:ind w:left="426"/>
      </w:pPr>
      <w:r w:rsidRPr="001E10D2">
        <w:t xml:space="preserve">Ročný poplatok </w:t>
      </w:r>
      <w:r w:rsidR="0029118E" w:rsidRPr="001E10D2">
        <w:t xml:space="preserve">za emisie </w:t>
      </w:r>
      <w:r w:rsidRPr="001E10D2">
        <w:t xml:space="preserve">sa vypočíta ako súčet poplatkov </w:t>
      </w:r>
      <w:r w:rsidR="0029118E" w:rsidRPr="001E10D2">
        <w:t xml:space="preserve">za emisie </w:t>
      </w:r>
      <w:r w:rsidRPr="001E10D2">
        <w:t xml:space="preserve">za predchádzajúci kalendárny rok za všetky malé zdroje, ktoré prevádzkovateľ </w:t>
      </w:r>
      <w:r w:rsidR="001F27FC" w:rsidRPr="001E10D2">
        <w:t xml:space="preserve">podľa § 1 písm. b) </w:t>
      </w:r>
      <w:r w:rsidRPr="001E10D2">
        <w:t>prevádzkuje v jednej obci podľa vzorca:</w:t>
      </w:r>
    </w:p>
    <w:p w:rsidR="00A12690" w:rsidRPr="001E10D2" w:rsidRDefault="00A12690" w:rsidP="00A12690">
      <w:pPr>
        <w:ind w:left="426"/>
      </w:pPr>
    </w:p>
    <w:p w:rsidR="00A12690" w:rsidRPr="001E10D2" w:rsidRDefault="00A12690" w:rsidP="00A12690">
      <w:pPr>
        <w:ind w:left="426"/>
      </w:pPr>
      <w:r w:rsidRPr="001E10D2">
        <w:t>P</w:t>
      </w:r>
      <w:r w:rsidRPr="001E10D2">
        <w:rPr>
          <w:vertAlign w:val="subscript"/>
        </w:rPr>
        <w:t xml:space="preserve">R </w:t>
      </w:r>
      <w:r w:rsidRPr="001E10D2">
        <w:t xml:space="preserve">= </w:t>
      </w:r>
      <w:r w:rsidRPr="001E10D2">
        <w:sym w:font="Symbol" w:char="F0E5"/>
      </w:r>
      <w:r w:rsidRPr="001E10D2">
        <w:t xml:space="preserve"> P</w:t>
      </w:r>
      <w:r w:rsidRPr="001E10D2">
        <w:rPr>
          <w:vertAlign w:val="subscript"/>
        </w:rPr>
        <w:t>MZ</w:t>
      </w:r>
    </w:p>
    <w:p w:rsidR="00A12690" w:rsidRPr="001E10D2" w:rsidRDefault="00A12690" w:rsidP="00A12690">
      <w:pPr>
        <w:ind w:left="426"/>
        <w:rPr>
          <w:vertAlign w:val="superscript"/>
        </w:rPr>
      </w:pPr>
      <w:r w:rsidRPr="001E10D2">
        <w:t xml:space="preserve">           </w:t>
      </w:r>
    </w:p>
    <w:p w:rsidR="00A12690" w:rsidRPr="001E10D2" w:rsidRDefault="00A12690" w:rsidP="0029118E">
      <w:pPr>
        <w:ind w:left="851" w:hanging="425"/>
      </w:pPr>
      <w:r w:rsidRPr="001E10D2">
        <w:t>P</w:t>
      </w:r>
      <w:r w:rsidRPr="001E10D2">
        <w:rPr>
          <w:vertAlign w:val="subscript"/>
        </w:rPr>
        <w:t>R</w:t>
      </w:r>
      <w:r w:rsidRPr="001E10D2">
        <w:t xml:space="preserve"> - ročný poplatok </w:t>
      </w:r>
      <w:r w:rsidR="0029118E" w:rsidRPr="001E10D2">
        <w:t>za emisie</w:t>
      </w:r>
    </w:p>
    <w:p w:rsidR="00A12690" w:rsidRPr="001E10D2" w:rsidRDefault="00A12690" w:rsidP="00A12690">
      <w:pPr>
        <w:ind w:left="426"/>
      </w:pPr>
      <w:r w:rsidRPr="001E10D2">
        <w:t>P</w:t>
      </w:r>
      <w:r w:rsidRPr="001E10D2">
        <w:rPr>
          <w:vertAlign w:val="subscript"/>
        </w:rPr>
        <w:t xml:space="preserve">MZ  </w:t>
      </w:r>
      <w:r w:rsidRPr="001E10D2">
        <w:t xml:space="preserve">- poplatok </w:t>
      </w:r>
      <w:r w:rsidR="0029118E" w:rsidRPr="001E10D2">
        <w:t>za emisie</w:t>
      </w:r>
      <w:r w:rsidR="007B46D9" w:rsidRPr="001E10D2">
        <w:t xml:space="preserve"> z</w:t>
      </w:r>
      <w:r w:rsidR="0029118E" w:rsidRPr="001E10D2">
        <w:t xml:space="preserve"> malého</w:t>
      </w:r>
      <w:r w:rsidRPr="001E10D2">
        <w:t xml:space="preserve"> zdroj</w:t>
      </w:r>
      <w:r w:rsidR="0029118E" w:rsidRPr="001E10D2">
        <w:t>a</w:t>
      </w:r>
      <w:r w:rsidRPr="001E10D2">
        <w:t xml:space="preserve"> podľa § 4 ods. 5</w:t>
      </w:r>
    </w:p>
    <w:p w:rsidR="0029118E" w:rsidRPr="001E10D2" w:rsidRDefault="0029118E" w:rsidP="00A12690">
      <w:pPr>
        <w:ind w:left="426"/>
      </w:pPr>
    </w:p>
    <w:p w:rsidR="0029118E" w:rsidRPr="001E10D2" w:rsidRDefault="0029118E" w:rsidP="00A12690">
      <w:pPr>
        <w:ind w:left="426"/>
      </w:pPr>
    </w:p>
    <w:p w:rsidR="00A12690" w:rsidRPr="001E10D2" w:rsidRDefault="00A12690" w:rsidP="00997D2E"/>
    <w:sectPr w:rsidR="00A12690" w:rsidRPr="001E10D2">
      <w:footerReference w:type="defaul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B4" w:rsidRDefault="00A96DB4">
      <w:r>
        <w:separator/>
      </w:r>
    </w:p>
  </w:endnote>
  <w:endnote w:type="continuationSeparator" w:id="0">
    <w:p w:rsidR="00A96DB4" w:rsidRDefault="00A9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charset w:val="00"/>
    <w:family w:val="roman"/>
    <w:pitch w:val="default"/>
    <w:sig w:usb0="00000000" w:usb1="00000000" w:usb2="00000000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CE" w:rsidRDefault="00A32BCE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6B06C7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B4" w:rsidRDefault="00A96DB4">
      <w:r>
        <w:separator/>
      </w:r>
    </w:p>
  </w:footnote>
  <w:footnote w:type="continuationSeparator" w:id="0">
    <w:p w:rsidR="00A96DB4" w:rsidRDefault="00A96DB4">
      <w:r>
        <w:continuationSeparator/>
      </w:r>
    </w:p>
  </w:footnote>
  <w:footnote w:id="1">
    <w:p w:rsidR="001734DB" w:rsidRPr="00A61B27" w:rsidRDefault="001734DB" w:rsidP="001734DB">
      <w:pPr>
        <w:pStyle w:val="Textpoznmkypodiarou"/>
      </w:pPr>
      <w:r>
        <w:rPr>
          <w:rStyle w:val="Odkaznapoznmkupodiarou"/>
        </w:rPr>
        <w:footnoteRef/>
      </w:r>
      <w:r>
        <w:t>) § 3 ods. 1 písm. a) zákona č. 137/2010</w:t>
      </w:r>
      <w:r w:rsidRPr="00A61B27">
        <w:t xml:space="preserve"> Z. z. o</w:t>
      </w:r>
      <w:r>
        <w:t> ovzduší v znení neskorších predpisov.</w:t>
      </w:r>
    </w:p>
    <w:p w:rsidR="001734DB" w:rsidRPr="00A61B27" w:rsidRDefault="001734DB" w:rsidP="001734DB">
      <w:pPr>
        <w:pStyle w:val="Textpoznmkypodiarou"/>
      </w:pPr>
      <w:r>
        <w:rPr>
          <w:rStyle w:val="Odkaznapoznmkupodiarou"/>
        </w:rPr>
        <w:t>2</w:t>
      </w:r>
      <w:r w:rsidRPr="00A61B27">
        <w:rPr>
          <w:vertAlign w:val="superscript"/>
        </w:rPr>
        <w:t>)</w:t>
      </w:r>
      <w:r w:rsidRPr="00A61B27">
        <w:t xml:space="preserve"> </w:t>
      </w:r>
      <w:r>
        <w:t xml:space="preserve">§ 3 ods. 2 písm. a) </w:t>
      </w:r>
      <w:r w:rsidRPr="00A61B27">
        <w:t>zákona č.</w:t>
      </w:r>
      <w:r>
        <w:t xml:space="preserve"> 137/2010 </w:t>
      </w:r>
      <w:r w:rsidRPr="00A61B27">
        <w:t>Z. z.</w:t>
      </w:r>
      <w:r>
        <w:t xml:space="preserve"> v znení neskorších predpisov.</w:t>
      </w:r>
    </w:p>
    <w:p w:rsidR="001734DB" w:rsidRPr="00A61B27" w:rsidRDefault="001734DB" w:rsidP="001734DB">
      <w:pPr>
        <w:pStyle w:val="Textpoznmkypodiarou"/>
      </w:pPr>
      <w:r>
        <w:rPr>
          <w:rStyle w:val="Odkaznapoznmkupodiarou"/>
        </w:rPr>
        <w:t>3</w:t>
      </w:r>
      <w:r w:rsidRPr="00A61B27">
        <w:rPr>
          <w:vertAlign w:val="superscript"/>
        </w:rPr>
        <w:t>)</w:t>
      </w:r>
      <w:r w:rsidRPr="00A61B27">
        <w:t xml:space="preserve"> </w:t>
      </w:r>
      <w:r>
        <w:t>§ 3 ods. 2 písm. b)</w:t>
      </w:r>
      <w:r w:rsidRPr="00A61B27">
        <w:t xml:space="preserve"> </w:t>
      </w:r>
      <w:r>
        <w:t>zákona č. 137/2010</w:t>
      </w:r>
      <w:r w:rsidRPr="00A61B27">
        <w:t xml:space="preserve"> Z. z.</w:t>
      </w:r>
      <w:r>
        <w:t xml:space="preserve"> v znení neskorších predpisov.</w:t>
      </w:r>
    </w:p>
    <w:p w:rsidR="00A61B27" w:rsidRPr="00746A25" w:rsidRDefault="001734DB" w:rsidP="001734DB">
      <w:pPr>
        <w:pStyle w:val="Textpoznmkypodiarou"/>
      </w:pPr>
      <w:r>
        <w:rPr>
          <w:rStyle w:val="Odkaznapoznmkupodiarou"/>
        </w:rPr>
        <w:t>4</w:t>
      </w:r>
      <w:r w:rsidRPr="00A61B27">
        <w:rPr>
          <w:vertAlign w:val="superscript"/>
        </w:rPr>
        <w:t>)</w:t>
      </w:r>
      <w:r w:rsidRPr="00A61B27">
        <w:t xml:space="preserve"> </w:t>
      </w:r>
      <w:r>
        <w:t xml:space="preserve">§ 3 ods. 2 písm. c) </w:t>
      </w:r>
      <w:r w:rsidRPr="00A61B27">
        <w:t xml:space="preserve"> </w:t>
      </w:r>
      <w:r>
        <w:t xml:space="preserve">zákona č. 137/2010 </w:t>
      </w:r>
      <w:r w:rsidRPr="00A61B27">
        <w:t>Z. z.</w:t>
      </w:r>
      <w:r>
        <w:t xml:space="preserve"> v znení neskorších predpisov.</w:t>
      </w:r>
    </w:p>
  </w:footnote>
  <w:footnote w:id="2">
    <w:p w:rsidR="00365F49" w:rsidRPr="001734DB" w:rsidRDefault="001734DB" w:rsidP="001734DB">
      <w:pPr>
        <w:pStyle w:val="Textpoznmkypodiarou"/>
        <w:jc w:val="both"/>
      </w:pPr>
      <w:r>
        <w:rPr>
          <w:vertAlign w:val="superscript"/>
        </w:rPr>
        <w:t>5</w:t>
      </w:r>
      <w:r>
        <w:t>)</w:t>
      </w:r>
      <w:r w:rsidRPr="001734DB">
        <w:t xml:space="preserve"> </w:t>
      </w:r>
      <w:r w:rsidRPr="00746A25">
        <w:t>§ 2 písm. e) zákona č. 414/2012 Z. z. o obchodovaní s emisný</w:t>
      </w:r>
      <w:r>
        <w:t xml:space="preserve">mi kvótami a o zmene a doplnení </w:t>
      </w:r>
      <w:r w:rsidRPr="00746A25">
        <w:t>niektorých zákonov v znení neskorších predpisov.</w:t>
      </w:r>
    </w:p>
  </w:footnote>
  <w:footnote w:id="3">
    <w:p w:rsidR="00365F49" w:rsidRPr="00746A25" w:rsidRDefault="00365F49" w:rsidP="00365F49">
      <w:pPr>
        <w:pStyle w:val="Textpoznmkypodiarou"/>
      </w:pPr>
    </w:p>
  </w:footnote>
  <w:footnote w:id="4">
    <w:p w:rsidR="00365F49" w:rsidRPr="00746A25" w:rsidRDefault="00365F49" w:rsidP="00365F49">
      <w:pPr>
        <w:pStyle w:val="Textpoznmkypodiarou"/>
      </w:pPr>
    </w:p>
  </w:footnote>
  <w:footnote w:id="5">
    <w:p w:rsidR="00462F00" w:rsidRPr="00746A25" w:rsidRDefault="00462F00" w:rsidP="00747CA3">
      <w:pPr>
        <w:pStyle w:val="Textpoznmkypodiarou"/>
        <w:jc w:val="both"/>
      </w:pPr>
    </w:p>
  </w:footnote>
  <w:footnote w:id="6">
    <w:p w:rsidR="00A32BCE" w:rsidRPr="00746A25" w:rsidRDefault="00A32BCE" w:rsidP="00747CA3">
      <w:pPr>
        <w:pStyle w:val="Textpoznmkypodiarou"/>
        <w:ind w:left="142" w:hanging="142"/>
        <w:jc w:val="both"/>
      </w:pPr>
      <w:r w:rsidRPr="00746A25">
        <w:rPr>
          <w:rStyle w:val="Odkaznapoznmkupodiarou"/>
        </w:rPr>
        <w:footnoteRef/>
      </w:r>
      <w:r w:rsidRPr="00746A25">
        <w:t>) § 22 ods. 6 zákona č. 39/2013 Z. z. o integrovanej prevencii a kontrole znečisťovania životného prostredia a</w:t>
      </w:r>
      <w:r w:rsidR="00747CA3" w:rsidRPr="00746A25">
        <w:t xml:space="preserve"> </w:t>
      </w:r>
      <w:r w:rsidRPr="00746A25">
        <w:t>o zmene a doplnení niektorých zákonov v znení neskorších predpisov.</w:t>
      </w:r>
    </w:p>
  </w:footnote>
  <w:footnote w:id="7">
    <w:p w:rsidR="00A32BCE" w:rsidRPr="00746A25" w:rsidRDefault="00A32BCE">
      <w:pPr>
        <w:pStyle w:val="Textpoznmkypodiarou"/>
        <w:rPr>
          <w:strike/>
        </w:rPr>
      </w:pPr>
      <w:r w:rsidRPr="00746A25">
        <w:rPr>
          <w:rStyle w:val="Odkaznapoznmkupodiarou"/>
        </w:rPr>
        <w:footnoteRef/>
      </w:r>
      <w:r w:rsidRPr="00746A25">
        <w:t xml:space="preserve">) </w:t>
      </w:r>
      <w:r w:rsidR="001734DB">
        <w:t xml:space="preserve">§ 15 ods. 1 písm. d) </w:t>
      </w:r>
      <w:r w:rsidR="001734DB" w:rsidRPr="00CE1C3B">
        <w:t xml:space="preserve">zákona  č. </w:t>
      </w:r>
      <w:r w:rsidR="001734DB">
        <w:t xml:space="preserve">137/2010 </w:t>
      </w:r>
      <w:r w:rsidR="001734DB" w:rsidRPr="00CE1C3B">
        <w:t>Z. z</w:t>
      </w:r>
      <w:r w:rsidR="001734DB">
        <w:t> </w:t>
      </w:r>
    </w:p>
  </w:footnote>
  <w:footnote w:id="8">
    <w:p w:rsidR="00A32BCE" w:rsidRPr="00746A25" w:rsidRDefault="00A32BCE" w:rsidP="00396069">
      <w:pPr>
        <w:pStyle w:val="Textpoznmkypodiarou"/>
        <w:ind w:left="284" w:hanging="284"/>
        <w:rPr>
          <w:strike/>
          <w:vertAlign w:val="superscript"/>
        </w:rPr>
      </w:pPr>
      <w:r w:rsidRPr="00746A25">
        <w:rPr>
          <w:vertAlign w:val="superscript"/>
        </w:rPr>
        <w:footnoteRef/>
      </w:r>
      <w:r w:rsidRPr="00746A25">
        <w:t xml:space="preserve">) </w:t>
      </w:r>
      <w:r w:rsidR="001734DB">
        <w:t xml:space="preserve">§ 15 ods. 1 písm. e) </w:t>
      </w:r>
      <w:r w:rsidR="001734DB" w:rsidRPr="00907D2C">
        <w:t xml:space="preserve"> </w:t>
      </w:r>
      <w:r w:rsidR="001734DB" w:rsidRPr="00CE1C3B">
        <w:rPr>
          <w:szCs w:val="24"/>
        </w:rPr>
        <w:t xml:space="preserve">zákona  č. </w:t>
      </w:r>
      <w:r w:rsidR="001734DB">
        <w:rPr>
          <w:szCs w:val="24"/>
        </w:rPr>
        <w:t>137/2010</w:t>
      </w:r>
      <w:r w:rsidR="001734DB" w:rsidRPr="00CE1C3B">
        <w:rPr>
          <w:szCs w:val="24"/>
        </w:rPr>
        <w:t xml:space="preserve"> Z. z.</w:t>
      </w:r>
    </w:p>
  </w:footnote>
  <w:footnote w:id="9">
    <w:p w:rsidR="00A12690" w:rsidRPr="00E12469" w:rsidRDefault="00A12690" w:rsidP="00C02166">
      <w:pPr>
        <w:pStyle w:val="Textpoznmkypodiarou"/>
        <w:jc w:val="both"/>
        <w:rPr>
          <w:vertAlign w:val="superscript"/>
        </w:rPr>
      </w:pPr>
      <w:r w:rsidRPr="00E12469">
        <w:rPr>
          <w:rStyle w:val="Odkaznapoznmkupodiarou"/>
        </w:rPr>
        <w:footnoteRef/>
      </w:r>
      <w:r w:rsidRPr="00E12469">
        <w:t>)</w:t>
      </w:r>
      <w:r w:rsidR="00C02166" w:rsidRPr="00E12469">
        <w:t xml:space="preserve"> </w:t>
      </w:r>
      <w:r w:rsidR="00B31B38">
        <w:t>§ 5 ods. 3 vyhlášky</w:t>
      </w:r>
      <w:r w:rsidR="001734DB">
        <w:t xml:space="preserve"> </w:t>
      </w:r>
      <w:r w:rsidR="001734DB" w:rsidRPr="00CE1C3B">
        <w:t xml:space="preserve">Ministerstva životného prostredia Slovenskej republiky č. </w:t>
      </w:r>
      <w:r w:rsidR="001734DB">
        <w:t>410</w:t>
      </w:r>
      <w:r w:rsidR="001734DB" w:rsidRPr="00CE1C3B">
        <w:t>/</w:t>
      </w:r>
      <w:r w:rsidR="001734DB">
        <w:t>2012 Z. z</w:t>
      </w:r>
      <w:r w:rsidR="001734DB" w:rsidRPr="00F507A8">
        <w:t>., ktorou sa vykonávajú niektoré ustanovenia zákona o ovzduší.</w:t>
      </w:r>
    </w:p>
  </w:footnote>
  <w:footnote w:id="10">
    <w:p w:rsidR="00A12690" w:rsidRPr="00746A25" w:rsidRDefault="00A12690" w:rsidP="00B31B38">
      <w:pPr>
        <w:pStyle w:val="Textpoznmkypodiarou"/>
        <w:jc w:val="both"/>
      </w:pPr>
      <w:r w:rsidRPr="00B31B38">
        <w:rPr>
          <w:vertAlign w:val="superscript"/>
        </w:rPr>
        <w:footnoteRef/>
      </w:r>
      <w:r w:rsidRPr="00B31B38">
        <w:t xml:space="preserve">) </w:t>
      </w:r>
      <w:r w:rsidR="00B31B38" w:rsidRPr="00B31B38">
        <w:t xml:space="preserve">Príloha </w:t>
      </w:r>
      <w:r w:rsidR="00B31B38">
        <w:t xml:space="preserve">č. 2 časť I. 4. skupina vyhlášky </w:t>
      </w:r>
      <w:r w:rsidR="00B31B38" w:rsidRPr="00CE1C3B">
        <w:t xml:space="preserve">č. </w:t>
      </w:r>
      <w:r w:rsidR="00B31B38">
        <w:t>410</w:t>
      </w:r>
      <w:r w:rsidR="00B31B38" w:rsidRPr="00CE1C3B">
        <w:t>/</w:t>
      </w:r>
      <w:r w:rsidR="00B31B38">
        <w:t>2012 Z. z</w:t>
      </w:r>
      <w:r w:rsidR="00B31B38" w:rsidRPr="00F507A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C2D"/>
    <w:multiLevelType w:val="hybridMultilevel"/>
    <w:tmpl w:val="C076EF50"/>
    <w:lvl w:ilvl="0" w:tplc="64906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80EA3"/>
    <w:multiLevelType w:val="hybridMultilevel"/>
    <w:tmpl w:val="6F882862"/>
    <w:lvl w:ilvl="0" w:tplc="1E28586A">
      <w:start w:val="1"/>
      <w:numFmt w:val="decimal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375EF8"/>
    <w:multiLevelType w:val="hybridMultilevel"/>
    <w:tmpl w:val="786AEC98"/>
    <w:lvl w:ilvl="0" w:tplc="9ED85E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514267"/>
    <w:multiLevelType w:val="hybridMultilevel"/>
    <w:tmpl w:val="E2B0220C"/>
    <w:lvl w:ilvl="0" w:tplc="DA964504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BF1EEB"/>
    <w:multiLevelType w:val="hybridMultilevel"/>
    <w:tmpl w:val="FCA62DE8"/>
    <w:lvl w:ilvl="0" w:tplc="65909E6C">
      <w:start w:val="1"/>
      <w:numFmt w:val="decimal"/>
      <w:lvlText w:val="(%1)"/>
      <w:lvlJc w:val="left"/>
      <w:pPr>
        <w:ind w:left="716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5313B"/>
    <w:multiLevelType w:val="hybridMultilevel"/>
    <w:tmpl w:val="AC060D5E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29239B"/>
    <w:multiLevelType w:val="hybridMultilevel"/>
    <w:tmpl w:val="4FD863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A4216"/>
    <w:multiLevelType w:val="hybridMultilevel"/>
    <w:tmpl w:val="197E3F8A"/>
    <w:lvl w:ilvl="0" w:tplc="DA964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12915"/>
    <w:multiLevelType w:val="hybridMultilevel"/>
    <w:tmpl w:val="2F4E49DC"/>
    <w:lvl w:ilvl="0" w:tplc="F68C258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40E5"/>
    <w:multiLevelType w:val="multilevel"/>
    <w:tmpl w:val="40402F20"/>
    <w:lvl w:ilvl="0">
      <w:start w:val="1"/>
      <w:numFmt w:val="decimal"/>
      <w:lvlText w:val="%1."/>
      <w:lvlJc w:val="left"/>
      <w:pPr>
        <w:ind w:left="502" w:hanging="397"/>
      </w:pPr>
      <w:rPr>
        <w:rFonts w:ascii="Bookman Old Style" w:eastAsia="Bookman Old Style" w:hAnsi="Bookman Old Style" w:cs="Bookman Old Style" w:hint="default"/>
        <w:spacing w:val="-14"/>
        <w:w w:val="97"/>
        <w:sz w:val="20"/>
        <w:szCs w:val="20"/>
        <w:lang w:val="sk" w:eastAsia="sk" w:bidi="sk"/>
      </w:rPr>
    </w:lvl>
    <w:lvl w:ilvl="1">
      <w:start w:val="1"/>
      <w:numFmt w:val="decimal"/>
      <w:lvlText w:val="%1.%2"/>
      <w:lvlJc w:val="left"/>
      <w:pPr>
        <w:ind w:left="899" w:hanging="397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1020" w:hanging="39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130" w:hanging="39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241" w:hanging="39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351" w:hanging="39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62" w:hanging="39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572" w:hanging="39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83" w:hanging="397"/>
      </w:pPr>
      <w:rPr>
        <w:rFonts w:hint="default"/>
        <w:lang w:val="sk" w:eastAsia="sk" w:bidi="sk"/>
      </w:rPr>
    </w:lvl>
  </w:abstractNum>
  <w:abstractNum w:abstractNumId="10" w15:restartNumberingAfterBreak="0">
    <w:nsid w:val="1C552A77"/>
    <w:multiLevelType w:val="hybridMultilevel"/>
    <w:tmpl w:val="7690060E"/>
    <w:lvl w:ilvl="0" w:tplc="0C1E5110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B41C03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831F0"/>
    <w:multiLevelType w:val="hybridMultilevel"/>
    <w:tmpl w:val="3B8E3566"/>
    <w:lvl w:ilvl="0" w:tplc="B41C03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2C7"/>
    <w:multiLevelType w:val="hybridMultilevel"/>
    <w:tmpl w:val="3DFAF7A4"/>
    <w:lvl w:ilvl="0" w:tplc="03D6AA24">
      <w:start w:val="1"/>
      <w:numFmt w:val="decimal"/>
      <w:lvlText w:val="(%1)"/>
      <w:lvlJc w:val="left"/>
      <w:pPr>
        <w:ind w:left="624" w:hanging="384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12946E6"/>
    <w:multiLevelType w:val="hybridMultilevel"/>
    <w:tmpl w:val="2A3A3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77C2D"/>
    <w:multiLevelType w:val="hybridMultilevel"/>
    <w:tmpl w:val="5FB893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D32CD"/>
    <w:multiLevelType w:val="hybridMultilevel"/>
    <w:tmpl w:val="E6AE4CDA"/>
    <w:lvl w:ilvl="0" w:tplc="C40C734E">
      <w:start w:val="1"/>
      <w:numFmt w:val="decimal"/>
      <w:lvlText w:val="(%1)"/>
      <w:lvlJc w:val="left"/>
      <w:pPr>
        <w:ind w:left="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7063A"/>
    <w:multiLevelType w:val="multilevel"/>
    <w:tmpl w:val="A306B866"/>
    <w:lvl w:ilvl="0">
      <w:start w:val="1"/>
      <w:numFmt w:val="upperLetter"/>
      <w:lvlText w:val="%1."/>
      <w:lvlJc w:val="left"/>
      <w:pPr>
        <w:ind w:left="502" w:hanging="397"/>
      </w:pPr>
      <w:rPr>
        <w:rFonts w:hint="default"/>
        <w:spacing w:val="-14"/>
        <w:w w:val="97"/>
        <w:sz w:val="24"/>
        <w:szCs w:val="20"/>
        <w:lang w:val="sk" w:eastAsia="sk" w:bidi="sk"/>
      </w:rPr>
    </w:lvl>
    <w:lvl w:ilvl="1">
      <w:start w:val="1"/>
      <w:numFmt w:val="decimal"/>
      <w:lvlText w:val="%2."/>
      <w:lvlJc w:val="left"/>
      <w:pPr>
        <w:ind w:left="1248" w:hanging="397"/>
      </w:pPr>
      <w:rPr>
        <w:rFonts w:ascii="Times New Roman" w:eastAsia="Times New Roman" w:hAnsi="Times New Roman" w:cs="Times New Roman"/>
        <w:w w:val="99"/>
        <w:sz w:val="24"/>
        <w:szCs w:val="20"/>
        <w:lang w:val="sk" w:eastAsia="sk" w:bidi="sk"/>
      </w:rPr>
    </w:lvl>
    <w:lvl w:ilvl="2">
      <w:numFmt w:val="bullet"/>
      <w:lvlText w:val="•"/>
      <w:lvlJc w:val="left"/>
      <w:pPr>
        <w:ind w:left="1020" w:hanging="39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130" w:hanging="39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241" w:hanging="39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351" w:hanging="39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62" w:hanging="39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572" w:hanging="39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83" w:hanging="397"/>
      </w:pPr>
      <w:rPr>
        <w:rFonts w:hint="default"/>
        <w:lang w:val="sk" w:eastAsia="sk" w:bidi="sk"/>
      </w:rPr>
    </w:lvl>
  </w:abstractNum>
  <w:abstractNum w:abstractNumId="17" w15:restartNumberingAfterBreak="0">
    <w:nsid w:val="2D2D4E49"/>
    <w:multiLevelType w:val="hybridMultilevel"/>
    <w:tmpl w:val="8BBAC9DA"/>
    <w:lvl w:ilvl="0" w:tplc="401A77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2E884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E8C"/>
    <w:multiLevelType w:val="hybridMultilevel"/>
    <w:tmpl w:val="D06C7C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551F9"/>
    <w:multiLevelType w:val="hybridMultilevel"/>
    <w:tmpl w:val="76645E6E"/>
    <w:lvl w:ilvl="0" w:tplc="49F2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76EC10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10C49"/>
    <w:multiLevelType w:val="hybridMultilevel"/>
    <w:tmpl w:val="590216D8"/>
    <w:lvl w:ilvl="0" w:tplc="C232A44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02C6C"/>
    <w:multiLevelType w:val="hybridMultilevel"/>
    <w:tmpl w:val="996A22BA"/>
    <w:lvl w:ilvl="0" w:tplc="605059F4">
      <w:start w:val="1"/>
      <w:numFmt w:val="decimal"/>
      <w:lvlText w:val="(%1)"/>
      <w:lvlJc w:val="left"/>
      <w:pPr>
        <w:ind w:left="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8691A"/>
    <w:multiLevelType w:val="hybridMultilevel"/>
    <w:tmpl w:val="197E3F8A"/>
    <w:lvl w:ilvl="0" w:tplc="DA964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869"/>
    <w:multiLevelType w:val="hybridMultilevel"/>
    <w:tmpl w:val="4612B5E8"/>
    <w:lvl w:ilvl="0" w:tplc="51B8935A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6" w:hanging="360"/>
      </w:pPr>
    </w:lvl>
    <w:lvl w:ilvl="2" w:tplc="041B001B" w:tentative="1">
      <w:start w:val="1"/>
      <w:numFmt w:val="lowerRoman"/>
      <w:lvlText w:val="%3."/>
      <w:lvlJc w:val="right"/>
      <w:pPr>
        <w:ind w:left="2516" w:hanging="180"/>
      </w:pPr>
    </w:lvl>
    <w:lvl w:ilvl="3" w:tplc="041B000F" w:tentative="1">
      <w:start w:val="1"/>
      <w:numFmt w:val="decimal"/>
      <w:lvlText w:val="%4."/>
      <w:lvlJc w:val="left"/>
      <w:pPr>
        <w:ind w:left="3236" w:hanging="360"/>
      </w:pPr>
    </w:lvl>
    <w:lvl w:ilvl="4" w:tplc="041B0019" w:tentative="1">
      <w:start w:val="1"/>
      <w:numFmt w:val="lowerLetter"/>
      <w:lvlText w:val="%5."/>
      <w:lvlJc w:val="left"/>
      <w:pPr>
        <w:ind w:left="3956" w:hanging="360"/>
      </w:pPr>
    </w:lvl>
    <w:lvl w:ilvl="5" w:tplc="041B001B" w:tentative="1">
      <w:start w:val="1"/>
      <w:numFmt w:val="lowerRoman"/>
      <w:lvlText w:val="%6."/>
      <w:lvlJc w:val="right"/>
      <w:pPr>
        <w:ind w:left="4676" w:hanging="180"/>
      </w:pPr>
    </w:lvl>
    <w:lvl w:ilvl="6" w:tplc="041B000F" w:tentative="1">
      <w:start w:val="1"/>
      <w:numFmt w:val="decimal"/>
      <w:lvlText w:val="%7."/>
      <w:lvlJc w:val="left"/>
      <w:pPr>
        <w:ind w:left="5396" w:hanging="360"/>
      </w:pPr>
    </w:lvl>
    <w:lvl w:ilvl="7" w:tplc="041B0019" w:tentative="1">
      <w:start w:val="1"/>
      <w:numFmt w:val="lowerLetter"/>
      <w:lvlText w:val="%8."/>
      <w:lvlJc w:val="left"/>
      <w:pPr>
        <w:ind w:left="6116" w:hanging="360"/>
      </w:pPr>
    </w:lvl>
    <w:lvl w:ilvl="8" w:tplc="041B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4" w15:restartNumberingAfterBreak="0">
    <w:nsid w:val="428F24C5"/>
    <w:multiLevelType w:val="hybridMultilevel"/>
    <w:tmpl w:val="905C91F2"/>
    <w:lvl w:ilvl="0" w:tplc="73F27E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2945EBF"/>
    <w:multiLevelType w:val="hybridMultilevel"/>
    <w:tmpl w:val="8C0669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1008D"/>
    <w:multiLevelType w:val="hybridMultilevel"/>
    <w:tmpl w:val="F002FE40"/>
    <w:lvl w:ilvl="0" w:tplc="0C1E511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460E3C4C"/>
    <w:multiLevelType w:val="hybridMultilevel"/>
    <w:tmpl w:val="FC027D14"/>
    <w:lvl w:ilvl="0" w:tplc="2976EC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16B75"/>
    <w:multiLevelType w:val="hybridMultilevel"/>
    <w:tmpl w:val="757EBE2E"/>
    <w:lvl w:ilvl="0" w:tplc="B41C03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4FC17412"/>
    <w:multiLevelType w:val="hybridMultilevel"/>
    <w:tmpl w:val="8C6A2544"/>
    <w:lvl w:ilvl="0" w:tplc="8B5A8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429FB"/>
    <w:multiLevelType w:val="hybridMultilevel"/>
    <w:tmpl w:val="F002FE40"/>
    <w:lvl w:ilvl="0" w:tplc="0C1E511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 w15:restartNumberingAfterBreak="0">
    <w:nsid w:val="52926FDB"/>
    <w:multiLevelType w:val="hybridMultilevel"/>
    <w:tmpl w:val="F002FE40"/>
    <w:lvl w:ilvl="0" w:tplc="0C1E511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56C21EEE"/>
    <w:multiLevelType w:val="hybridMultilevel"/>
    <w:tmpl w:val="3B904D8C"/>
    <w:lvl w:ilvl="0" w:tplc="DA96450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25123"/>
    <w:multiLevelType w:val="hybridMultilevel"/>
    <w:tmpl w:val="F6D62876"/>
    <w:lvl w:ilvl="0" w:tplc="D9AACE08">
      <w:start w:val="1"/>
      <w:numFmt w:val="decimal"/>
      <w:lvlText w:val="(%1)"/>
      <w:lvlJc w:val="left"/>
      <w:pPr>
        <w:ind w:left="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051B2"/>
    <w:multiLevelType w:val="hybridMultilevel"/>
    <w:tmpl w:val="8EE8C5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278BA"/>
    <w:multiLevelType w:val="hybridMultilevel"/>
    <w:tmpl w:val="75F22B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40C89"/>
    <w:multiLevelType w:val="hybridMultilevel"/>
    <w:tmpl w:val="08FE5D12"/>
    <w:lvl w:ilvl="0" w:tplc="DBD637D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87E3D"/>
    <w:multiLevelType w:val="hybridMultilevel"/>
    <w:tmpl w:val="0030839C"/>
    <w:lvl w:ilvl="0" w:tplc="4D6C8D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514CB6"/>
    <w:multiLevelType w:val="hybridMultilevel"/>
    <w:tmpl w:val="7690060E"/>
    <w:lvl w:ilvl="0" w:tplc="0C1E5110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B41C03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C2B11"/>
    <w:multiLevelType w:val="hybridMultilevel"/>
    <w:tmpl w:val="31EC9352"/>
    <w:lvl w:ilvl="0" w:tplc="F7168C2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9621195"/>
    <w:multiLevelType w:val="hybridMultilevel"/>
    <w:tmpl w:val="AD94A0CE"/>
    <w:lvl w:ilvl="0" w:tplc="8D1290BA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B5C0483"/>
    <w:multiLevelType w:val="hybridMultilevel"/>
    <w:tmpl w:val="6A2A4D76"/>
    <w:lvl w:ilvl="0" w:tplc="03D6AA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D419A"/>
    <w:multiLevelType w:val="hybridMultilevel"/>
    <w:tmpl w:val="C7382F90"/>
    <w:lvl w:ilvl="0" w:tplc="3852F88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773F5"/>
    <w:multiLevelType w:val="hybridMultilevel"/>
    <w:tmpl w:val="974836BE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90A80"/>
    <w:multiLevelType w:val="hybridMultilevel"/>
    <w:tmpl w:val="590216D8"/>
    <w:lvl w:ilvl="0" w:tplc="C232A44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63817"/>
    <w:multiLevelType w:val="hybridMultilevel"/>
    <w:tmpl w:val="6A2A4D76"/>
    <w:lvl w:ilvl="0" w:tplc="03D6AA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F4CAB"/>
    <w:multiLevelType w:val="hybridMultilevel"/>
    <w:tmpl w:val="75F6E720"/>
    <w:lvl w:ilvl="0" w:tplc="733053C0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 w15:restartNumberingAfterBreak="0">
    <w:nsid w:val="7B1241BC"/>
    <w:multiLevelType w:val="hybridMultilevel"/>
    <w:tmpl w:val="2F4E49DC"/>
    <w:lvl w:ilvl="0" w:tplc="F68C258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B3D32"/>
    <w:multiLevelType w:val="hybridMultilevel"/>
    <w:tmpl w:val="F1DACCC4"/>
    <w:lvl w:ilvl="0" w:tplc="9BCC5D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1"/>
  </w:num>
  <w:num w:numId="5">
    <w:abstractNumId w:val="26"/>
  </w:num>
  <w:num w:numId="6">
    <w:abstractNumId w:val="47"/>
  </w:num>
  <w:num w:numId="7">
    <w:abstractNumId w:val="0"/>
  </w:num>
  <w:num w:numId="8">
    <w:abstractNumId w:val="12"/>
  </w:num>
  <w:num w:numId="9">
    <w:abstractNumId w:val="17"/>
  </w:num>
  <w:num w:numId="10">
    <w:abstractNumId w:val="16"/>
  </w:num>
  <w:num w:numId="11">
    <w:abstractNumId w:val="11"/>
  </w:num>
  <w:num w:numId="12">
    <w:abstractNumId w:val="6"/>
  </w:num>
  <w:num w:numId="13">
    <w:abstractNumId w:val="28"/>
  </w:num>
  <w:num w:numId="14">
    <w:abstractNumId w:val="8"/>
  </w:num>
  <w:num w:numId="15">
    <w:abstractNumId w:val="33"/>
  </w:num>
  <w:num w:numId="16">
    <w:abstractNumId w:val="38"/>
  </w:num>
  <w:num w:numId="17">
    <w:abstractNumId w:val="37"/>
  </w:num>
  <w:num w:numId="18">
    <w:abstractNumId w:val="43"/>
  </w:num>
  <w:num w:numId="19">
    <w:abstractNumId w:val="46"/>
  </w:num>
  <w:num w:numId="20">
    <w:abstractNumId w:val="5"/>
  </w:num>
  <w:num w:numId="21">
    <w:abstractNumId w:val="9"/>
  </w:num>
  <w:num w:numId="22">
    <w:abstractNumId w:val="34"/>
  </w:num>
  <w:num w:numId="23">
    <w:abstractNumId w:val="41"/>
  </w:num>
  <w:num w:numId="24">
    <w:abstractNumId w:val="35"/>
  </w:num>
  <w:num w:numId="25">
    <w:abstractNumId w:val="29"/>
  </w:num>
  <w:num w:numId="26">
    <w:abstractNumId w:val="48"/>
  </w:num>
  <w:num w:numId="27">
    <w:abstractNumId w:val="27"/>
  </w:num>
  <w:num w:numId="28">
    <w:abstractNumId w:val="22"/>
  </w:num>
  <w:num w:numId="29">
    <w:abstractNumId w:val="7"/>
  </w:num>
  <w:num w:numId="30">
    <w:abstractNumId w:val="3"/>
  </w:num>
  <w:num w:numId="31">
    <w:abstractNumId w:val="32"/>
  </w:num>
  <w:num w:numId="32">
    <w:abstractNumId w:val="30"/>
  </w:num>
  <w:num w:numId="33">
    <w:abstractNumId w:val="4"/>
  </w:num>
  <w:num w:numId="34">
    <w:abstractNumId w:val="23"/>
  </w:num>
  <w:num w:numId="35">
    <w:abstractNumId w:val="2"/>
  </w:num>
  <w:num w:numId="36">
    <w:abstractNumId w:val="40"/>
  </w:num>
  <w:num w:numId="37">
    <w:abstractNumId w:val="36"/>
  </w:num>
  <w:num w:numId="38">
    <w:abstractNumId w:val="31"/>
  </w:num>
  <w:num w:numId="39">
    <w:abstractNumId w:val="24"/>
  </w:num>
  <w:num w:numId="40">
    <w:abstractNumId w:val="42"/>
  </w:num>
  <w:num w:numId="41">
    <w:abstractNumId w:val="14"/>
  </w:num>
  <w:num w:numId="42">
    <w:abstractNumId w:val="44"/>
  </w:num>
  <w:num w:numId="43">
    <w:abstractNumId w:val="18"/>
  </w:num>
  <w:num w:numId="44">
    <w:abstractNumId w:val="20"/>
  </w:num>
  <w:num w:numId="45">
    <w:abstractNumId w:val="13"/>
  </w:num>
  <w:num w:numId="46">
    <w:abstractNumId w:val="1"/>
  </w:num>
  <w:num w:numId="47">
    <w:abstractNumId w:val="39"/>
  </w:num>
  <w:num w:numId="48">
    <w:abstractNumId w:val="25"/>
  </w:num>
  <w:num w:numId="49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23"/>
    <w:rsid w:val="00002270"/>
    <w:rsid w:val="000047EA"/>
    <w:rsid w:val="00004CCF"/>
    <w:rsid w:val="0000540D"/>
    <w:rsid w:val="00006EED"/>
    <w:rsid w:val="0001204E"/>
    <w:rsid w:val="0001315F"/>
    <w:rsid w:val="00022605"/>
    <w:rsid w:val="000229C8"/>
    <w:rsid w:val="00022DBF"/>
    <w:rsid w:val="0002548C"/>
    <w:rsid w:val="000254AE"/>
    <w:rsid w:val="00032792"/>
    <w:rsid w:val="000338F5"/>
    <w:rsid w:val="00036B25"/>
    <w:rsid w:val="00040D4D"/>
    <w:rsid w:val="00041621"/>
    <w:rsid w:val="000418CD"/>
    <w:rsid w:val="00044AC2"/>
    <w:rsid w:val="0004606D"/>
    <w:rsid w:val="000475D6"/>
    <w:rsid w:val="00050382"/>
    <w:rsid w:val="00050B84"/>
    <w:rsid w:val="000517EA"/>
    <w:rsid w:val="00052195"/>
    <w:rsid w:val="000535FE"/>
    <w:rsid w:val="00055696"/>
    <w:rsid w:val="00057EF1"/>
    <w:rsid w:val="000640E2"/>
    <w:rsid w:val="0006567C"/>
    <w:rsid w:val="00067A55"/>
    <w:rsid w:val="00070A48"/>
    <w:rsid w:val="00070BED"/>
    <w:rsid w:val="00075A7B"/>
    <w:rsid w:val="00077271"/>
    <w:rsid w:val="00081B75"/>
    <w:rsid w:val="00082E2F"/>
    <w:rsid w:val="00086C0F"/>
    <w:rsid w:val="000931DE"/>
    <w:rsid w:val="000A013D"/>
    <w:rsid w:val="000A038E"/>
    <w:rsid w:val="000B17CE"/>
    <w:rsid w:val="000B33E4"/>
    <w:rsid w:val="000B725C"/>
    <w:rsid w:val="000B754E"/>
    <w:rsid w:val="000C1BBD"/>
    <w:rsid w:val="000C1FDB"/>
    <w:rsid w:val="000C39BA"/>
    <w:rsid w:val="000C5430"/>
    <w:rsid w:val="000C57B9"/>
    <w:rsid w:val="000D0037"/>
    <w:rsid w:val="000D133F"/>
    <w:rsid w:val="000D2117"/>
    <w:rsid w:val="000D2CC7"/>
    <w:rsid w:val="000D7CDF"/>
    <w:rsid w:val="000E3A37"/>
    <w:rsid w:val="000E4AAE"/>
    <w:rsid w:val="000E61C8"/>
    <w:rsid w:val="000F1201"/>
    <w:rsid w:val="000F68C6"/>
    <w:rsid w:val="000F6D2F"/>
    <w:rsid w:val="00111902"/>
    <w:rsid w:val="001121F0"/>
    <w:rsid w:val="00112251"/>
    <w:rsid w:val="00115787"/>
    <w:rsid w:val="001171CF"/>
    <w:rsid w:val="0011761F"/>
    <w:rsid w:val="00121A0C"/>
    <w:rsid w:val="00122C0D"/>
    <w:rsid w:val="00122FBA"/>
    <w:rsid w:val="00125109"/>
    <w:rsid w:val="00135CEE"/>
    <w:rsid w:val="001369E6"/>
    <w:rsid w:val="00143F92"/>
    <w:rsid w:val="00145EE8"/>
    <w:rsid w:val="00160569"/>
    <w:rsid w:val="00163B96"/>
    <w:rsid w:val="001672A0"/>
    <w:rsid w:val="001734DB"/>
    <w:rsid w:val="001745CF"/>
    <w:rsid w:val="001748BF"/>
    <w:rsid w:val="00174EAA"/>
    <w:rsid w:val="00175D1E"/>
    <w:rsid w:val="0017794E"/>
    <w:rsid w:val="00183497"/>
    <w:rsid w:val="00186AA6"/>
    <w:rsid w:val="00187792"/>
    <w:rsid w:val="00192A88"/>
    <w:rsid w:val="00195854"/>
    <w:rsid w:val="001976E0"/>
    <w:rsid w:val="00197FA5"/>
    <w:rsid w:val="001A0D0F"/>
    <w:rsid w:val="001A19A2"/>
    <w:rsid w:val="001A3FE9"/>
    <w:rsid w:val="001A4E43"/>
    <w:rsid w:val="001B6EEE"/>
    <w:rsid w:val="001C2F56"/>
    <w:rsid w:val="001C43C6"/>
    <w:rsid w:val="001C4A4F"/>
    <w:rsid w:val="001C4B89"/>
    <w:rsid w:val="001D0566"/>
    <w:rsid w:val="001D15E1"/>
    <w:rsid w:val="001D555C"/>
    <w:rsid w:val="001D65A4"/>
    <w:rsid w:val="001D72CD"/>
    <w:rsid w:val="001E0F1C"/>
    <w:rsid w:val="001E10D2"/>
    <w:rsid w:val="001E60FA"/>
    <w:rsid w:val="001F1E96"/>
    <w:rsid w:val="001F27FC"/>
    <w:rsid w:val="001F30C7"/>
    <w:rsid w:val="001F7803"/>
    <w:rsid w:val="00203565"/>
    <w:rsid w:val="002035DF"/>
    <w:rsid w:val="002066DA"/>
    <w:rsid w:val="002121F2"/>
    <w:rsid w:val="00213773"/>
    <w:rsid w:val="00213BB2"/>
    <w:rsid w:val="002157A5"/>
    <w:rsid w:val="00215DA8"/>
    <w:rsid w:val="00217F31"/>
    <w:rsid w:val="00224D2A"/>
    <w:rsid w:val="00224F01"/>
    <w:rsid w:val="0023345F"/>
    <w:rsid w:val="00237B99"/>
    <w:rsid w:val="002434AD"/>
    <w:rsid w:val="00244E58"/>
    <w:rsid w:val="00246F3E"/>
    <w:rsid w:val="00251CA5"/>
    <w:rsid w:val="00252CB3"/>
    <w:rsid w:val="00253A73"/>
    <w:rsid w:val="0025569F"/>
    <w:rsid w:val="00256968"/>
    <w:rsid w:val="00257981"/>
    <w:rsid w:val="00257E4D"/>
    <w:rsid w:val="0026034F"/>
    <w:rsid w:val="00260F7B"/>
    <w:rsid w:val="002620CC"/>
    <w:rsid w:val="00264148"/>
    <w:rsid w:val="00264699"/>
    <w:rsid w:val="002647A5"/>
    <w:rsid w:val="00265DE5"/>
    <w:rsid w:val="00266F43"/>
    <w:rsid w:val="00270375"/>
    <w:rsid w:val="002706E9"/>
    <w:rsid w:val="00270ED6"/>
    <w:rsid w:val="00271709"/>
    <w:rsid w:val="00271E82"/>
    <w:rsid w:val="00273DB0"/>
    <w:rsid w:val="00274658"/>
    <w:rsid w:val="00275409"/>
    <w:rsid w:val="00276C61"/>
    <w:rsid w:val="002772FE"/>
    <w:rsid w:val="00277941"/>
    <w:rsid w:val="002814FA"/>
    <w:rsid w:val="00281668"/>
    <w:rsid w:val="00282584"/>
    <w:rsid w:val="00282F73"/>
    <w:rsid w:val="00287351"/>
    <w:rsid w:val="0029118E"/>
    <w:rsid w:val="002939AA"/>
    <w:rsid w:val="00293D08"/>
    <w:rsid w:val="00296E96"/>
    <w:rsid w:val="002A0611"/>
    <w:rsid w:val="002A1AB4"/>
    <w:rsid w:val="002A40D6"/>
    <w:rsid w:val="002A483B"/>
    <w:rsid w:val="002A6AAB"/>
    <w:rsid w:val="002B0542"/>
    <w:rsid w:val="002B1BFC"/>
    <w:rsid w:val="002B27C5"/>
    <w:rsid w:val="002B4E0C"/>
    <w:rsid w:val="002B5F2B"/>
    <w:rsid w:val="002B72DA"/>
    <w:rsid w:val="002C2610"/>
    <w:rsid w:val="002C654E"/>
    <w:rsid w:val="002D0BF5"/>
    <w:rsid w:val="002D3F54"/>
    <w:rsid w:val="002D45A4"/>
    <w:rsid w:val="002E10FC"/>
    <w:rsid w:val="002E21AF"/>
    <w:rsid w:val="002E25F7"/>
    <w:rsid w:val="002E40F4"/>
    <w:rsid w:val="002E6E85"/>
    <w:rsid w:val="002E7346"/>
    <w:rsid w:val="002E760F"/>
    <w:rsid w:val="002E7C23"/>
    <w:rsid w:val="002F14BC"/>
    <w:rsid w:val="002F2012"/>
    <w:rsid w:val="002F3BC6"/>
    <w:rsid w:val="002F729F"/>
    <w:rsid w:val="00300F64"/>
    <w:rsid w:val="003035BC"/>
    <w:rsid w:val="003076F2"/>
    <w:rsid w:val="00311261"/>
    <w:rsid w:val="00315A57"/>
    <w:rsid w:val="00316716"/>
    <w:rsid w:val="00316B2C"/>
    <w:rsid w:val="00317561"/>
    <w:rsid w:val="00324480"/>
    <w:rsid w:val="0032617C"/>
    <w:rsid w:val="00326769"/>
    <w:rsid w:val="003269DE"/>
    <w:rsid w:val="00326B7E"/>
    <w:rsid w:val="00326F98"/>
    <w:rsid w:val="00327D7B"/>
    <w:rsid w:val="003318FA"/>
    <w:rsid w:val="0033205B"/>
    <w:rsid w:val="00332766"/>
    <w:rsid w:val="003329FC"/>
    <w:rsid w:val="00333900"/>
    <w:rsid w:val="00336270"/>
    <w:rsid w:val="003378AB"/>
    <w:rsid w:val="003412B2"/>
    <w:rsid w:val="00342268"/>
    <w:rsid w:val="0034244A"/>
    <w:rsid w:val="00343179"/>
    <w:rsid w:val="00343B70"/>
    <w:rsid w:val="003448CA"/>
    <w:rsid w:val="00344F94"/>
    <w:rsid w:val="003474E2"/>
    <w:rsid w:val="00352461"/>
    <w:rsid w:val="00352F67"/>
    <w:rsid w:val="00355220"/>
    <w:rsid w:val="00355535"/>
    <w:rsid w:val="00356EAC"/>
    <w:rsid w:val="00357004"/>
    <w:rsid w:val="003579E4"/>
    <w:rsid w:val="00357AEB"/>
    <w:rsid w:val="00360068"/>
    <w:rsid w:val="003601C9"/>
    <w:rsid w:val="00365A87"/>
    <w:rsid w:val="00365F49"/>
    <w:rsid w:val="00371BD6"/>
    <w:rsid w:val="00374046"/>
    <w:rsid w:val="00374F3D"/>
    <w:rsid w:val="0037540C"/>
    <w:rsid w:val="00375D41"/>
    <w:rsid w:val="003766B5"/>
    <w:rsid w:val="0037674E"/>
    <w:rsid w:val="003804FA"/>
    <w:rsid w:val="0038082A"/>
    <w:rsid w:val="0038630D"/>
    <w:rsid w:val="00394849"/>
    <w:rsid w:val="00395B4C"/>
    <w:rsid w:val="00396069"/>
    <w:rsid w:val="003A0717"/>
    <w:rsid w:val="003A1049"/>
    <w:rsid w:val="003A706B"/>
    <w:rsid w:val="003B0AC4"/>
    <w:rsid w:val="003B34DE"/>
    <w:rsid w:val="003B4944"/>
    <w:rsid w:val="003B5982"/>
    <w:rsid w:val="003B67BB"/>
    <w:rsid w:val="003B692C"/>
    <w:rsid w:val="003C4A20"/>
    <w:rsid w:val="003C7AA3"/>
    <w:rsid w:val="003D2053"/>
    <w:rsid w:val="003D3287"/>
    <w:rsid w:val="003D6747"/>
    <w:rsid w:val="003D755D"/>
    <w:rsid w:val="003E0928"/>
    <w:rsid w:val="003E1670"/>
    <w:rsid w:val="003E3F5C"/>
    <w:rsid w:val="003E69D2"/>
    <w:rsid w:val="003E713F"/>
    <w:rsid w:val="003F0424"/>
    <w:rsid w:val="003F2423"/>
    <w:rsid w:val="003F24D5"/>
    <w:rsid w:val="003F260B"/>
    <w:rsid w:val="003F3129"/>
    <w:rsid w:val="003F399C"/>
    <w:rsid w:val="003F4774"/>
    <w:rsid w:val="004002F4"/>
    <w:rsid w:val="004006EB"/>
    <w:rsid w:val="00401408"/>
    <w:rsid w:val="00401615"/>
    <w:rsid w:val="00404B78"/>
    <w:rsid w:val="00405451"/>
    <w:rsid w:val="0040638C"/>
    <w:rsid w:val="00410EF4"/>
    <w:rsid w:val="004110E1"/>
    <w:rsid w:val="00413DBE"/>
    <w:rsid w:val="00415620"/>
    <w:rsid w:val="00415886"/>
    <w:rsid w:val="0041652A"/>
    <w:rsid w:val="0041673B"/>
    <w:rsid w:val="00416905"/>
    <w:rsid w:val="0042050C"/>
    <w:rsid w:val="00422AF2"/>
    <w:rsid w:val="004231DD"/>
    <w:rsid w:val="0042373B"/>
    <w:rsid w:val="00423CB1"/>
    <w:rsid w:val="00427620"/>
    <w:rsid w:val="00430DCE"/>
    <w:rsid w:val="00431845"/>
    <w:rsid w:val="00436D4D"/>
    <w:rsid w:val="00441DFA"/>
    <w:rsid w:val="00442838"/>
    <w:rsid w:val="00442D52"/>
    <w:rsid w:val="004433E6"/>
    <w:rsid w:val="00444DEF"/>
    <w:rsid w:val="00445598"/>
    <w:rsid w:val="00445BFD"/>
    <w:rsid w:val="00446A00"/>
    <w:rsid w:val="00446E29"/>
    <w:rsid w:val="004473B3"/>
    <w:rsid w:val="00451337"/>
    <w:rsid w:val="00453B14"/>
    <w:rsid w:val="004609E3"/>
    <w:rsid w:val="00460A64"/>
    <w:rsid w:val="00461923"/>
    <w:rsid w:val="00462F00"/>
    <w:rsid w:val="00463FA7"/>
    <w:rsid w:val="004667DD"/>
    <w:rsid w:val="00471083"/>
    <w:rsid w:val="004712A3"/>
    <w:rsid w:val="00471653"/>
    <w:rsid w:val="00472917"/>
    <w:rsid w:val="00475D19"/>
    <w:rsid w:val="004855A9"/>
    <w:rsid w:val="0048715A"/>
    <w:rsid w:val="00493B12"/>
    <w:rsid w:val="0049528A"/>
    <w:rsid w:val="0049545D"/>
    <w:rsid w:val="00495997"/>
    <w:rsid w:val="00495D2B"/>
    <w:rsid w:val="00497592"/>
    <w:rsid w:val="004A265E"/>
    <w:rsid w:val="004A4908"/>
    <w:rsid w:val="004A5A72"/>
    <w:rsid w:val="004B77D3"/>
    <w:rsid w:val="004B7D5D"/>
    <w:rsid w:val="004C1552"/>
    <w:rsid w:val="004C74FF"/>
    <w:rsid w:val="004C76F6"/>
    <w:rsid w:val="004D1D8B"/>
    <w:rsid w:val="004D205F"/>
    <w:rsid w:val="004D336D"/>
    <w:rsid w:val="004D5AF8"/>
    <w:rsid w:val="004D6F8E"/>
    <w:rsid w:val="004D7578"/>
    <w:rsid w:val="004E3A59"/>
    <w:rsid w:val="004E3F63"/>
    <w:rsid w:val="004E54A1"/>
    <w:rsid w:val="004E5A5D"/>
    <w:rsid w:val="004E5E9D"/>
    <w:rsid w:val="004F09B3"/>
    <w:rsid w:val="004F35A9"/>
    <w:rsid w:val="004F4E18"/>
    <w:rsid w:val="004F546C"/>
    <w:rsid w:val="004F59E1"/>
    <w:rsid w:val="0050005E"/>
    <w:rsid w:val="00501C67"/>
    <w:rsid w:val="005044BC"/>
    <w:rsid w:val="005044D4"/>
    <w:rsid w:val="0050783A"/>
    <w:rsid w:val="00510F4D"/>
    <w:rsid w:val="00513916"/>
    <w:rsid w:val="005145E5"/>
    <w:rsid w:val="00514D2E"/>
    <w:rsid w:val="005153C2"/>
    <w:rsid w:val="00515612"/>
    <w:rsid w:val="0051562D"/>
    <w:rsid w:val="00521A7A"/>
    <w:rsid w:val="00523065"/>
    <w:rsid w:val="00523C1B"/>
    <w:rsid w:val="005249D3"/>
    <w:rsid w:val="00527E1E"/>
    <w:rsid w:val="005333EA"/>
    <w:rsid w:val="00533A46"/>
    <w:rsid w:val="00533E72"/>
    <w:rsid w:val="00533FD4"/>
    <w:rsid w:val="005378F9"/>
    <w:rsid w:val="005407AC"/>
    <w:rsid w:val="00544ED9"/>
    <w:rsid w:val="00545E4B"/>
    <w:rsid w:val="00545E55"/>
    <w:rsid w:val="005477BC"/>
    <w:rsid w:val="00547F8E"/>
    <w:rsid w:val="00551368"/>
    <w:rsid w:val="00551BB2"/>
    <w:rsid w:val="00551F94"/>
    <w:rsid w:val="00552CFB"/>
    <w:rsid w:val="00553115"/>
    <w:rsid w:val="00554E31"/>
    <w:rsid w:val="0055581C"/>
    <w:rsid w:val="00555E79"/>
    <w:rsid w:val="005629E7"/>
    <w:rsid w:val="00562B0A"/>
    <w:rsid w:val="00565D95"/>
    <w:rsid w:val="0056630F"/>
    <w:rsid w:val="005665F1"/>
    <w:rsid w:val="00566711"/>
    <w:rsid w:val="005671A7"/>
    <w:rsid w:val="005713CE"/>
    <w:rsid w:val="00571643"/>
    <w:rsid w:val="00571A30"/>
    <w:rsid w:val="00576935"/>
    <w:rsid w:val="005771C2"/>
    <w:rsid w:val="00582457"/>
    <w:rsid w:val="00583B90"/>
    <w:rsid w:val="00583CF7"/>
    <w:rsid w:val="00584CC9"/>
    <w:rsid w:val="005851C5"/>
    <w:rsid w:val="005873DC"/>
    <w:rsid w:val="00587AB7"/>
    <w:rsid w:val="00590326"/>
    <w:rsid w:val="0059197B"/>
    <w:rsid w:val="00591A18"/>
    <w:rsid w:val="00591B78"/>
    <w:rsid w:val="0059320B"/>
    <w:rsid w:val="00594D37"/>
    <w:rsid w:val="005A11ED"/>
    <w:rsid w:val="005A3A36"/>
    <w:rsid w:val="005A5145"/>
    <w:rsid w:val="005B01FF"/>
    <w:rsid w:val="005B1A6D"/>
    <w:rsid w:val="005B2CFD"/>
    <w:rsid w:val="005B3F6A"/>
    <w:rsid w:val="005B4C05"/>
    <w:rsid w:val="005B5B28"/>
    <w:rsid w:val="005B5FBA"/>
    <w:rsid w:val="005C37A2"/>
    <w:rsid w:val="005C54F4"/>
    <w:rsid w:val="005C59CA"/>
    <w:rsid w:val="005C69ED"/>
    <w:rsid w:val="005D1ADD"/>
    <w:rsid w:val="005D3D67"/>
    <w:rsid w:val="005D4268"/>
    <w:rsid w:val="005D4B39"/>
    <w:rsid w:val="005D5147"/>
    <w:rsid w:val="005D5EA3"/>
    <w:rsid w:val="005D6A59"/>
    <w:rsid w:val="005D6ECB"/>
    <w:rsid w:val="005E2939"/>
    <w:rsid w:val="005E296F"/>
    <w:rsid w:val="005E2BFE"/>
    <w:rsid w:val="005E6097"/>
    <w:rsid w:val="005E73EB"/>
    <w:rsid w:val="005F1A40"/>
    <w:rsid w:val="005F26DF"/>
    <w:rsid w:val="005F327D"/>
    <w:rsid w:val="005F3602"/>
    <w:rsid w:val="005F3AF1"/>
    <w:rsid w:val="005F3D4F"/>
    <w:rsid w:val="005F559F"/>
    <w:rsid w:val="005F7895"/>
    <w:rsid w:val="006008A8"/>
    <w:rsid w:val="00601CAD"/>
    <w:rsid w:val="00605311"/>
    <w:rsid w:val="00605DFB"/>
    <w:rsid w:val="0060667E"/>
    <w:rsid w:val="006077CB"/>
    <w:rsid w:val="006078B2"/>
    <w:rsid w:val="00610AA6"/>
    <w:rsid w:val="006127A0"/>
    <w:rsid w:val="00612D7F"/>
    <w:rsid w:val="00613341"/>
    <w:rsid w:val="00614672"/>
    <w:rsid w:val="006172B8"/>
    <w:rsid w:val="0062006B"/>
    <w:rsid w:val="0062093D"/>
    <w:rsid w:val="00621B80"/>
    <w:rsid w:val="00622D5C"/>
    <w:rsid w:val="006244AF"/>
    <w:rsid w:val="006309A8"/>
    <w:rsid w:val="00635650"/>
    <w:rsid w:val="0063783E"/>
    <w:rsid w:val="0063795A"/>
    <w:rsid w:val="00637B7C"/>
    <w:rsid w:val="00640186"/>
    <w:rsid w:val="006405CE"/>
    <w:rsid w:val="00650124"/>
    <w:rsid w:val="006520A1"/>
    <w:rsid w:val="00654646"/>
    <w:rsid w:val="00654A0D"/>
    <w:rsid w:val="00655817"/>
    <w:rsid w:val="00660730"/>
    <w:rsid w:val="006628B7"/>
    <w:rsid w:val="006631DC"/>
    <w:rsid w:val="00664D2C"/>
    <w:rsid w:val="006653C3"/>
    <w:rsid w:val="006702C8"/>
    <w:rsid w:val="00673026"/>
    <w:rsid w:val="006755BB"/>
    <w:rsid w:val="00675AF3"/>
    <w:rsid w:val="0067740D"/>
    <w:rsid w:val="00680677"/>
    <w:rsid w:val="00680D58"/>
    <w:rsid w:val="0068384B"/>
    <w:rsid w:val="00683B72"/>
    <w:rsid w:val="006847B5"/>
    <w:rsid w:val="00686DB3"/>
    <w:rsid w:val="00687E04"/>
    <w:rsid w:val="006922A6"/>
    <w:rsid w:val="00697016"/>
    <w:rsid w:val="00697AC8"/>
    <w:rsid w:val="006A7B29"/>
    <w:rsid w:val="006A7CE5"/>
    <w:rsid w:val="006B06C7"/>
    <w:rsid w:val="006B089A"/>
    <w:rsid w:val="006B2448"/>
    <w:rsid w:val="006B2804"/>
    <w:rsid w:val="006B4C59"/>
    <w:rsid w:val="006B63DF"/>
    <w:rsid w:val="006C1746"/>
    <w:rsid w:val="006C3CBA"/>
    <w:rsid w:val="006C4CF9"/>
    <w:rsid w:val="006C56FE"/>
    <w:rsid w:val="006C6A85"/>
    <w:rsid w:val="006C7352"/>
    <w:rsid w:val="006D1DF7"/>
    <w:rsid w:val="006D347E"/>
    <w:rsid w:val="006D4624"/>
    <w:rsid w:val="006D64E8"/>
    <w:rsid w:val="006D7D5A"/>
    <w:rsid w:val="006E0CCA"/>
    <w:rsid w:val="006E6989"/>
    <w:rsid w:val="006F04FD"/>
    <w:rsid w:val="006F13E3"/>
    <w:rsid w:val="006F2087"/>
    <w:rsid w:val="006F22D3"/>
    <w:rsid w:val="006F260E"/>
    <w:rsid w:val="006F3ABC"/>
    <w:rsid w:val="006F3E1F"/>
    <w:rsid w:val="006F4F24"/>
    <w:rsid w:val="006F66D6"/>
    <w:rsid w:val="007000DE"/>
    <w:rsid w:val="00701368"/>
    <w:rsid w:val="00702515"/>
    <w:rsid w:val="00703F23"/>
    <w:rsid w:val="0070568C"/>
    <w:rsid w:val="0071141E"/>
    <w:rsid w:val="00714DC4"/>
    <w:rsid w:val="00714E85"/>
    <w:rsid w:val="00720E83"/>
    <w:rsid w:val="00723077"/>
    <w:rsid w:val="007238A0"/>
    <w:rsid w:val="00726079"/>
    <w:rsid w:val="00726AC9"/>
    <w:rsid w:val="00732642"/>
    <w:rsid w:val="0074023C"/>
    <w:rsid w:val="00740BF8"/>
    <w:rsid w:val="0074326D"/>
    <w:rsid w:val="007444F3"/>
    <w:rsid w:val="007462B0"/>
    <w:rsid w:val="00746A25"/>
    <w:rsid w:val="00747980"/>
    <w:rsid w:val="00747CA3"/>
    <w:rsid w:val="00750C8B"/>
    <w:rsid w:val="007515E7"/>
    <w:rsid w:val="00751A98"/>
    <w:rsid w:val="0075232F"/>
    <w:rsid w:val="0075279F"/>
    <w:rsid w:val="007533FD"/>
    <w:rsid w:val="00754C0E"/>
    <w:rsid w:val="00755151"/>
    <w:rsid w:val="00755B70"/>
    <w:rsid w:val="0076373E"/>
    <w:rsid w:val="00765124"/>
    <w:rsid w:val="007658E8"/>
    <w:rsid w:val="00767112"/>
    <w:rsid w:val="007749B7"/>
    <w:rsid w:val="007750A4"/>
    <w:rsid w:val="007761E9"/>
    <w:rsid w:val="00776AC5"/>
    <w:rsid w:val="007806CE"/>
    <w:rsid w:val="007848B2"/>
    <w:rsid w:val="0078612F"/>
    <w:rsid w:val="00786727"/>
    <w:rsid w:val="00787439"/>
    <w:rsid w:val="00797500"/>
    <w:rsid w:val="007A16F8"/>
    <w:rsid w:val="007A414D"/>
    <w:rsid w:val="007A4699"/>
    <w:rsid w:val="007A5AAF"/>
    <w:rsid w:val="007A63FB"/>
    <w:rsid w:val="007A71C4"/>
    <w:rsid w:val="007A71E3"/>
    <w:rsid w:val="007B1641"/>
    <w:rsid w:val="007B325A"/>
    <w:rsid w:val="007B386F"/>
    <w:rsid w:val="007B46D9"/>
    <w:rsid w:val="007B4D2B"/>
    <w:rsid w:val="007C0262"/>
    <w:rsid w:val="007C106C"/>
    <w:rsid w:val="007C3380"/>
    <w:rsid w:val="007D0C66"/>
    <w:rsid w:val="007D0D36"/>
    <w:rsid w:val="007D0E5D"/>
    <w:rsid w:val="007D2262"/>
    <w:rsid w:val="007D7D03"/>
    <w:rsid w:val="007E517B"/>
    <w:rsid w:val="007E6221"/>
    <w:rsid w:val="007F3044"/>
    <w:rsid w:val="007F3456"/>
    <w:rsid w:val="007F3AAD"/>
    <w:rsid w:val="007F47F4"/>
    <w:rsid w:val="00801CC6"/>
    <w:rsid w:val="00803A67"/>
    <w:rsid w:val="00805984"/>
    <w:rsid w:val="00805F86"/>
    <w:rsid w:val="008063D0"/>
    <w:rsid w:val="00807579"/>
    <w:rsid w:val="00810F83"/>
    <w:rsid w:val="00811E06"/>
    <w:rsid w:val="00820E81"/>
    <w:rsid w:val="008218E7"/>
    <w:rsid w:val="00821B39"/>
    <w:rsid w:val="00822B9F"/>
    <w:rsid w:val="00827E49"/>
    <w:rsid w:val="00830728"/>
    <w:rsid w:val="008320F7"/>
    <w:rsid w:val="008330E7"/>
    <w:rsid w:val="008352B4"/>
    <w:rsid w:val="00837945"/>
    <w:rsid w:val="008410A4"/>
    <w:rsid w:val="008525AE"/>
    <w:rsid w:val="0085272C"/>
    <w:rsid w:val="00854E28"/>
    <w:rsid w:val="00857519"/>
    <w:rsid w:val="008609FC"/>
    <w:rsid w:val="0086174D"/>
    <w:rsid w:val="008621A7"/>
    <w:rsid w:val="0086304B"/>
    <w:rsid w:val="00863592"/>
    <w:rsid w:val="00863C5C"/>
    <w:rsid w:val="0086507F"/>
    <w:rsid w:val="00871790"/>
    <w:rsid w:val="008727F0"/>
    <w:rsid w:val="0087289F"/>
    <w:rsid w:val="00873463"/>
    <w:rsid w:val="00873C15"/>
    <w:rsid w:val="0087456C"/>
    <w:rsid w:val="00874C0A"/>
    <w:rsid w:val="00874DFE"/>
    <w:rsid w:val="008765E5"/>
    <w:rsid w:val="008901D1"/>
    <w:rsid w:val="00891B39"/>
    <w:rsid w:val="00892BD0"/>
    <w:rsid w:val="008932E7"/>
    <w:rsid w:val="00893D58"/>
    <w:rsid w:val="00895FAF"/>
    <w:rsid w:val="008A02F3"/>
    <w:rsid w:val="008A158F"/>
    <w:rsid w:val="008A4093"/>
    <w:rsid w:val="008A4E1F"/>
    <w:rsid w:val="008A6772"/>
    <w:rsid w:val="008B7364"/>
    <w:rsid w:val="008C0745"/>
    <w:rsid w:val="008C0A9A"/>
    <w:rsid w:val="008C1D31"/>
    <w:rsid w:val="008C1DBD"/>
    <w:rsid w:val="008C3214"/>
    <w:rsid w:val="008C3630"/>
    <w:rsid w:val="008C4504"/>
    <w:rsid w:val="008C5D05"/>
    <w:rsid w:val="008C6625"/>
    <w:rsid w:val="008D1FAF"/>
    <w:rsid w:val="008E08E6"/>
    <w:rsid w:val="008E3022"/>
    <w:rsid w:val="008E3F1D"/>
    <w:rsid w:val="008E5ADB"/>
    <w:rsid w:val="008F15F5"/>
    <w:rsid w:val="008F2179"/>
    <w:rsid w:val="008F23AC"/>
    <w:rsid w:val="008F5F7A"/>
    <w:rsid w:val="00901213"/>
    <w:rsid w:val="00902196"/>
    <w:rsid w:val="0090417F"/>
    <w:rsid w:val="00907D2C"/>
    <w:rsid w:val="0091089A"/>
    <w:rsid w:val="00911FC8"/>
    <w:rsid w:val="009122C3"/>
    <w:rsid w:val="009132E7"/>
    <w:rsid w:val="0091556B"/>
    <w:rsid w:val="0091621B"/>
    <w:rsid w:val="00916B1F"/>
    <w:rsid w:val="00916C27"/>
    <w:rsid w:val="00921192"/>
    <w:rsid w:val="0092292A"/>
    <w:rsid w:val="00923A81"/>
    <w:rsid w:val="009250DA"/>
    <w:rsid w:val="009314B2"/>
    <w:rsid w:val="00933AAF"/>
    <w:rsid w:val="009341B2"/>
    <w:rsid w:val="00934936"/>
    <w:rsid w:val="009368C2"/>
    <w:rsid w:val="0094008E"/>
    <w:rsid w:val="0094172B"/>
    <w:rsid w:val="009457F4"/>
    <w:rsid w:val="00950D2D"/>
    <w:rsid w:val="00951458"/>
    <w:rsid w:val="009541B6"/>
    <w:rsid w:val="009555C5"/>
    <w:rsid w:val="00957D18"/>
    <w:rsid w:val="00957F80"/>
    <w:rsid w:val="009615C5"/>
    <w:rsid w:val="00961F6F"/>
    <w:rsid w:val="00972196"/>
    <w:rsid w:val="009725F4"/>
    <w:rsid w:val="00974545"/>
    <w:rsid w:val="00975662"/>
    <w:rsid w:val="0097618E"/>
    <w:rsid w:val="0098145A"/>
    <w:rsid w:val="0098551C"/>
    <w:rsid w:val="00985FB0"/>
    <w:rsid w:val="00986759"/>
    <w:rsid w:val="00990ABF"/>
    <w:rsid w:val="00995314"/>
    <w:rsid w:val="00997611"/>
    <w:rsid w:val="00997D2E"/>
    <w:rsid w:val="009A0549"/>
    <w:rsid w:val="009A0ADD"/>
    <w:rsid w:val="009A37CA"/>
    <w:rsid w:val="009A40B0"/>
    <w:rsid w:val="009A4E5A"/>
    <w:rsid w:val="009A6648"/>
    <w:rsid w:val="009B0190"/>
    <w:rsid w:val="009B0298"/>
    <w:rsid w:val="009B0EAD"/>
    <w:rsid w:val="009B341E"/>
    <w:rsid w:val="009B5554"/>
    <w:rsid w:val="009B6AA4"/>
    <w:rsid w:val="009B7DCF"/>
    <w:rsid w:val="009B7FB7"/>
    <w:rsid w:val="009C00A5"/>
    <w:rsid w:val="009C0A19"/>
    <w:rsid w:val="009C56F0"/>
    <w:rsid w:val="009C594D"/>
    <w:rsid w:val="009C71AE"/>
    <w:rsid w:val="009C7CBE"/>
    <w:rsid w:val="009D0B20"/>
    <w:rsid w:val="009D1951"/>
    <w:rsid w:val="009D4A90"/>
    <w:rsid w:val="009E1177"/>
    <w:rsid w:val="009E532A"/>
    <w:rsid w:val="009F0E61"/>
    <w:rsid w:val="009F6525"/>
    <w:rsid w:val="00A00B1C"/>
    <w:rsid w:val="00A11DE5"/>
    <w:rsid w:val="00A12426"/>
    <w:rsid w:val="00A12690"/>
    <w:rsid w:val="00A1378F"/>
    <w:rsid w:val="00A162B3"/>
    <w:rsid w:val="00A166C4"/>
    <w:rsid w:val="00A214B0"/>
    <w:rsid w:val="00A226E3"/>
    <w:rsid w:val="00A2309C"/>
    <w:rsid w:val="00A31CCE"/>
    <w:rsid w:val="00A32BCE"/>
    <w:rsid w:val="00A32FC8"/>
    <w:rsid w:val="00A33123"/>
    <w:rsid w:val="00A35731"/>
    <w:rsid w:val="00A35FDE"/>
    <w:rsid w:val="00A36482"/>
    <w:rsid w:val="00A42CC2"/>
    <w:rsid w:val="00A450BA"/>
    <w:rsid w:val="00A47021"/>
    <w:rsid w:val="00A47DB1"/>
    <w:rsid w:val="00A533A6"/>
    <w:rsid w:val="00A540A2"/>
    <w:rsid w:val="00A5564A"/>
    <w:rsid w:val="00A56390"/>
    <w:rsid w:val="00A61B00"/>
    <w:rsid w:val="00A61B27"/>
    <w:rsid w:val="00A63142"/>
    <w:rsid w:val="00A63600"/>
    <w:rsid w:val="00A63E44"/>
    <w:rsid w:val="00A63F19"/>
    <w:rsid w:val="00A642A0"/>
    <w:rsid w:val="00A64465"/>
    <w:rsid w:val="00A66471"/>
    <w:rsid w:val="00A70B7E"/>
    <w:rsid w:val="00A732DA"/>
    <w:rsid w:val="00A754DF"/>
    <w:rsid w:val="00A755DD"/>
    <w:rsid w:val="00A770B1"/>
    <w:rsid w:val="00A80B98"/>
    <w:rsid w:val="00A83204"/>
    <w:rsid w:val="00A83721"/>
    <w:rsid w:val="00A86800"/>
    <w:rsid w:val="00A90883"/>
    <w:rsid w:val="00A91285"/>
    <w:rsid w:val="00A91414"/>
    <w:rsid w:val="00A9233C"/>
    <w:rsid w:val="00A93F1C"/>
    <w:rsid w:val="00A944D1"/>
    <w:rsid w:val="00A96DB4"/>
    <w:rsid w:val="00AA07DA"/>
    <w:rsid w:val="00AA4042"/>
    <w:rsid w:val="00AA4E7D"/>
    <w:rsid w:val="00AA60DD"/>
    <w:rsid w:val="00AA76BC"/>
    <w:rsid w:val="00AB0371"/>
    <w:rsid w:val="00AB36AF"/>
    <w:rsid w:val="00AB3C5C"/>
    <w:rsid w:val="00AC0153"/>
    <w:rsid w:val="00AC04B7"/>
    <w:rsid w:val="00AC0713"/>
    <w:rsid w:val="00AC1854"/>
    <w:rsid w:val="00AC3445"/>
    <w:rsid w:val="00AC3CED"/>
    <w:rsid w:val="00AC66BB"/>
    <w:rsid w:val="00AD41EA"/>
    <w:rsid w:val="00AD54CF"/>
    <w:rsid w:val="00AD7123"/>
    <w:rsid w:val="00AD7ACB"/>
    <w:rsid w:val="00AE062A"/>
    <w:rsid w:val="00AE1714"/>
    <w:rsid w:val="00AE7791"/>
    <w:rsid w:val="00AF00E7"/>
    <w:rsid w:val="00AF10DE"/>
    <w:rsid w:val="00AF1195"/>
    <w:rsid w:val="00AF1C72"/>
    <w:rsid w:val="00AF3105"/>
    <w:rsid w:val="00AF3339"/>
    <w:rsid w:val="00AF4900"/>
    <w:rsid w:val="00AF4FCA"/>
    <w:rsid w:val="00AF62B5"/>
    <w:rsid w:val="00AF70D7"/>
    <w:rsid w:val="00AF7147"/>
    <w:rsid w:val="00AF7DB0"/>
    <w:rsid w:val="00B00ECF"/>
    <w:rsid w:val="00B01CBA"/>
    <w:rsid w:val="00B04DFA"/>
    <w:rsid w:val="00B05130"/>
    <w:rsid w:val="00B05DEB"/>
    <w:rsid w:val="00B06964"/>
    <w:rsid w:val="00B0768F"/>
    <w:rsid w:val="00B10C55"/>
    <w:rsid w:val="00B1100B"/>
    <w:rsid w:val="00B11187"/>
    <w:rsid w:val="00B12323"/>
    <w:rsid w:val="00B1477D"/>
    <w:rsid w:val="00B152D9"/>
    <w:rsid w:val="00B15D63"/>
    <w:rsid w:val="00B1659E"/>
    <w:rsid w:val="00B16A51"/>
    <w:rsid w:val="00B20F96"/>
    <w:rsid w:val="00B2371C"/>
    <w:rsid w:val="00B23E0A"/>
    <w:rsid w:val="00B241C5"/>
    <w:rsid w:val="00B25539"/>
    <w:rsid w:val="00B25C2F"/>
    <w:rsid w:val="00B26041"/>
    <w:rsid w:val="00B26783"/>
    <w:rsid w:val="00B30485"/>
    <w:rsid w:val="00B31B38"/>
    <w:rsid w:val="00B33EA2"/>
    <w:rsid w:val="00B35FB8"/>
    <w:rsid w:val="00B44FFB"/>
    <w:rsid w:val="00B47221"/>
    <w:rsid w:val="00B516B4"/>
    <w:rsid w:val="00B53172"/>
    <w:rsid w:val="00B53984"/>
    <w:rsid w:val="00B54504"/>
    <w:rsid w:val="00B6301F"/>
    <w:rsid w:val="00B64AF6"/>
    <w:rsid w:val="00B64E3E"/>
    <w:rsid w:val="00B70EE6"/>
    <w:rsid w:val="00B716B8"/>
    <w:rsid w:val="00B7206A"/>
    <w:rsid w:val="00B723B5"/>
    <w:rsid w:val="00B7260B"/>
    <w:rsid w:val="00B7274E"/>
    <w:rsid w:val="00B728F7"/>
    <w:rsid w:val="00B739CA"/>
    <w:rsid w:val="00B81A19"/>
    <w:rsid w:val="00B820C6"/>
    <w:rsid w:val="00B864EC"/>
    <w:rsid w:val="00B870CA"/>
    <w:rsid w:val="00B87F1E"/>
    <w:rsid w:val="00B91BA0"/>
    <w:rsid w:val="00B96513"/>
    <w:rsid w:val="00B970A2"/>
    <w:rsid w:val="00BA248A"/>
    <w:rsid w:val="00BA3943"/>
    <w:rsid w:val="00BA4BD5"/>
    <w:rsid w:val="00BA57E4"/>
    <w:rsid w:val="00BA72A9"/>
    <w:rsid w:val="00BB0444"/>
    <w:rsid w:val="00BB46C3"/>
    <w:rsid w:val="00BC2531"/>
    <w:rsid w:val="00BC6365"/>
    <w:rsid w:val="00BD0A42"/>
    <w:rsid w:val="00BD60B9"/>
    <w:rsid w:val="00BD65FE"/>
    <w:rsid w:val="00BD7209"/>
    <w:rsid w:val="00BE44EC"/>
    <w:rsid w:val="00BE6475"/>
    <w:rsid w:val="00BF075C"/>
    <w:rsid w:val="00BF2A38"/>
    <w:rsid w:val="00BF35A2"/>
    <w:rsid w:val="00BF3830"/>
    <w:rsid w:val="00C0096F"/>
    <w:rsid w:val="00C02166"/>
    <w:rsid w:val="00C02C82"/>
    <w:rsid w:val="00C04EF9"/>
    <w:rsid w:val="00C07DA1"/>
    <w:rsid w:val="00C105C8"/>
    <w:rsid w:val="00C130E4"/>
    <w:rsid w:val="00C13167"/>
    <w:rsid w:val="00C204A7"/>
    <w:rsid w:val="00C2077E"/>
    <w:rsid w:val="00C2286F"/>
    <w:rsid w:val="00C2428A"/>
    <w:rsid w:val="00C242A9"/>
    <w:rsid w:val="00C251C3"/>
    <w:rsid w:val="00C26167"/>
    <w:rsid w:val="00C27F43"/>
    <w:rsid w:val="00C30C25"/>
    <w:rsid w:val="00C30EA3"/>
    <w:rsid w:val="00C31707"/>
    <w:rsid w:val="00C31F35"/>
    <w:rsid w:val="00C32B0A"/>
    <w:rsid w:val="00C332E5"/>
    <w:rsid w:val="00C3397F"/>
    <w:rsid w:val="00C34E6C"/>
    <w:rsid w:val="00C36290"/>
    <w:rsid w:val="00C43DBB"/>
    <w:rsid w:val="00C45DE7"/>
    <w:rsid w:val="00C46091"/>
    <w:rsid w:val="00C50F69"/>
    <w:rsid w:val="00C52694"/>
    <w:rsid w:val="00C5339F"/>
    <w:rsid w:val="00C5430B"/>
    <w:rsid w:val="00C55240"/>
    <w:rsid w:val="00C55BE8"/>
    <w:rsid w:val="00C60BA1"/>
    <w:rsid w:val="00C619AE"/>
    <w:rsid w:val="00C67278"/>
    <w:rsid w:val="00C71DD8"/>
    <w:rsid w:val="00C74CC6"/>
    <w:rsid w:val="00C7546D"/>
    <w:rsid w:val="00C8395A"/>
    <w:rsid w:val="00C85F07"/>
    <w:rsid w:val="00C87A4A"/>
    <w:rsid w:val="00C916B2"/>
    <w:rsid w:val="00C922AA"/>
    <w:rsid w:val="00C931A4"/>
    <w:rsid w:val="00C94238"/>
    <w:rsid w:val="00C94CAA"/>
    <w:rsid w:val="00C94E30"/>
    <w:rsid w:val="00C966EB"/>
    <w:rsid w:val="00CA06D0"/>
    <w:rsid w:val="00CA30DC"/>
    <w:rsid w:val="00CA3970"/>
    <w:rsid w:val="00CA4371"/>
    <w:rsid w:val="00CA4E70"/>
    <w:rsid w:val="00CB01CA"/>
    <w:rsid w:val="00CB1A16"/>
    <w:rsid w:val="00CB3280"/>
    <w:rsid w:val="00CB3EB4"/>
    <w:rsid w:val="00CB6A81"/>
    <w:rsid w:val="00CB6C38"/>
    <w:rsid w:val="00CB76F4"/>
    <w:rsid w:val="00CC3B5E"/>
    <w:rsid w:val="00CC4F3F"/>
    <w:rsid w:val="00CC6B3A"/>
    <w:rsid w:val="00CD02AD"/>
    <w:rsid w:val="00CD043D"/>
    <w:rsid w:val="00CD5C42"/>
    <w:rsid w:val="00CD7409"/>
    <w:rsid w:val="00CD7AE8"/>
    <w:rsid w:val="00CE1C3B"/>
    <w:rsid w:val="00CE6E17"/>
    <w:rsid w:val="00CF1B03"/>
    <w:rsid w:val="00CF28B3"/>
    <w:rsid w:val="00CF36F9"/>
    <w:rsid w:val="00CF3A4E"/>
    <w:rsid w:val="00CF627A"/>
    <w:rsid w:val="00D035A0"/>
    <w:rsid w:val="00D077B4"/>
    <w:rsid w:val="00D129AF"/>
    <w:rsid w:val="00D129DE"/>
    <w:rsid w:val="00D136AF"/>
    <w:rsid w:val="00D160E5"/>
    <w:rsid w:val="00D20C8A"/>
    <w:rsid w:val="00D245D3"/>
    <w:rsid w:val="00D30FD3"/>
    <w:rsid w:val="00D31D2F"/>
    <w:rsid w:val="00D34C93"/>
    <w:rsid w:val="00D378FB"/>
    <w:rsid w:val="00D4342F"/>
    <w:rsid w:val="00D44EF6"/>
    <w:rsid w:val="00D4733D"/>
    <w:rsid w:val="00D476C4"/>
    <w:rsid w:val="00D502A1"/>
    <w:rsid w:val="00D52586"/>
    <w:rsid w:val="00D55A4E"/>
    <w:rsid w:val="00D56C0C"/>
    <w:rsid w:val="00D56C37"/>
    <w:rsid w:val="00D56CCE"/>
    <w:rsid w:val="00D612B4"/>
    <w:rsid w:val="00D669EA"/>
    <w:rsid w:val="00D706E8"/>
    <w:rsid w:val="00D72DA8"/>
    <w:rsid w:val="00D73D7B"/>
    <w:rsid w:val="00D741BD"/>
    <w:rsid w:val="00D74F4F"/>
    <w:rsid w:val="00D81271"/>
    <w:rsid w:val="00D81DC9"/>
    <w:rsid w:val="00D82048"/>
    <w:rsid w:val="00D854A4"/>
    <w:rsid w:val="00D87988"/>
    <w:rsid w:val="00D94ABF"/>
    <w:rsid w:val="00DB005E"/>
    <w:rsid w:val="00DB0100"/>
    <w:rsid w:val="00DB551C"/>
    <w:rsid w:val="00DB6B2B"/>
    <w:rsid w:val="00DB79C7"/>
    <w:rsid w:val="00DC1E69"/>
    <w:rsid w:val="00DC5D81"/>
    <w:rsid w:val="00DC67FD"/>
    <w:rsid w:val="00DC77BB"/>
    <w:rsid w:val="00DD1174"/>
    <w:rsid w:val="00DD27CE"/>
    <w:rsid w:val="00DD5C34"/>
    <w:rsid w:val="00DD6176"/>
    <w:rsid w:val="00DF1C44"/>
    <w:rsid w:val="00DF3356"/>
    <w:rsid w:val="00DF3DD3"/>
    <w:rsid w:val="00E004F8"/>
    <w:rsid w:val="00E031FB"/>
    <w:rsid w:val="00E036E3"/>
    <w:rsid w:val="00E04132"/>
    <w:rsid w:val="00E06855"/>
    <w:rsid w:val="00E113CF"/>
    <w:rsid w:val="00E11662"/>
    <w:rsid w:val="00E12469"/>
    <w:rsid w:val="00E13F68"/>
    <w:rsid w:val="00E15112"/>
    <w:rsid w:val="00E15354"/>
    <w:rsid w:val="00E15F0D"/>
    <w:rsid w:val="00E17D37"/>
    <w:rsid w:val="00E21183"/>
    <w:rsid w:val="00E24BEA"/>
    <w:rsid w:val="00E24DAC"/>
    <w:rsid w:val="00E2516B"/>
    <w:rsid w:val="00E27165"/>
    <w:rsid w:val="00E276FF"/>
    <w:rsid w:val="00E277ED"/>
    <w:rsid w:val="00E355B2"/>
    <w:rsid w:val="00E37190"/>
    <w:rsid w:val="00E43513"/>
    <w:rsid w:val="00E467A0"/>
    <w:rsid w:val="00E5065C"/>
    <w:rsid w:val="00E50A2F"/>
    <w:rsid w:val="00E5456B"/>
    <w:rsid w:val="00E54FC5"/>
    <w:rsid w:val="00E57852"/>
    <w:rsid w:val="00E6020C"/>
    <w:rsid w:val="00E61EBF"/>
    <w:rsid w:val="00E63F4F"/>
    <w:rsid w:val="00E66762"/>
    <w:rsid w:val="00E719AF"/>
    <w:rsid w:val="00E74158"/>
    <w:rsid w:val="00E74D63"/>
    <w:rsid w:val="00E7791B"/>
    <w:rsid w:val="00E8010D"/>
    <w:rsid w:val="00E82CCD"/>
    <w:rsid w:val="00E834A6"/>
    <w:rsid w:val="00E83A80"/>
    <w:rsid w:val="00E87CEA"/>
    <w:rsid w:val="00E9371D"/>
    <w:rsid w:val="00E95905"/>
    <w:rsid w:val="00E959D4"/>
    <w:rsid w:val="00E96688"/>
    <w:rsid w:val="00EA087B"/>
    <w:rsid w:val="00EA4DC2"/>
    <w:rsid w:val="00EA5091"/>
    <w:rsid w:val="00EA5B99"/>
    <w:rsid w:val="00EB375E"/>
    <w:rsid w:val="00EB4E77"/>
    <w:rsid w:val="00EB6736"/>
    <w:rsid w:val="00EC381A"/>
    <w:rsid w:val="00EC3E63"/>
    <w:rsid w:val="00EC45E6"/>
    <w:rsid w:val="00EC6864"/>
    <w:rsid w:val="00ED27AC"/>
    <w:rsid w:val="00ED6ADE"/>
    <w:rsid w:val="00ED6EED"/>
    <w:rsid w:val="00ED7B8C"/>
    <w:rsid w:val="00EE426A"/>
    <w:rsid w:val="00EE4850"/>
    <w:rsid w:val="00EE79C4"/>
    <w:rsid w:val="00EE7C55"/>
    <w:rsid w:val="00EF0738"/>
    <w:rsid w:val="00EF1F37"/>
    <w:rsid w:val="00EF2021"/>
    <w:rsid w:val="00EF2C88"/>
    <w:rsid w:val="00EF5028"/>
    <w:rsid w:val="00EF7894"/>
    <w:rsid w:val="00F009AC"/>
    <w:rsid w:val="00F11B30"/>
    <w:rsid w:val="00F1632C"/>
    <w:rsid w:val="00F20CB1"/>
    <w:rsid w:val="00F24254"/>
    <w:rsid w:val="00F249CB"/>
    <w:rsid w:val="00F255E1"/>
    <w:rsid w:val="00F25D35"/>
    <w:rsid w:val="00F30AD2"/>
    <w:rsid w:val="00F30FA3"/>
    <w:rsid w:val="00F30FDE"/>
    <w:rsid w:val="00F363A0"/>
    <w:rsid w:val="00F36A5B"/>
    <w:rsid w:val="00F37DD7"/>
    <w:rsid w:val="00F403E6"/>
    <w:rsid w:val="00F43347"/>
    <w:rsid w:val="00F44EBF"/>
    <w:rsid w:val="00F45117"/>
    <w:rsid w:val="00F46C09"/>
    <w:rsid w:val="00F472DF"/>
    <w:rsid w:val="00F507A8"/>
    <w:rsid w:val="00F519B6"/>
    <w:rsid w:val="00F5376F"/>
    <w:rsid w:val="00F54957"/>
    <w:rsid w:val="00F63B43"/>
    <w:rsid w:val="00F658B3"/>
    <w:rsid w:val="00F704FD"/>
    <w:rsid w:val="00F716E9"/>
    <w:rsid w:val="00F72FA3"/>
    <w:rsid w:val="00F73D41"/>
    <w:rsid w:val="00F73E0E"/>
    <w:rsid w:val="00F748E8"/>
    <w:rsid w:val="00F85D91"/>
    <w:rsid w:val="00F9162A"/>
    <w:rsid w:val="00F940BC"/>
    <w:rsid w:val="00F96662"/>
    <w:rsid w:val="00F969AD"/>
    <w:rsid w:val="00FA0F17"/>
    <w:rsid w:val="00FA1834"/>
    <w:rsid w:val="00FA25B7"/>
    <w:rsid w:val="00FA3A14"/>
    <w:rsid w:val="00FA3E76"/>
    <w:rsid w:val="00FA4942"/>
    <w:rsid w:val="00FA5302"/>
    <w:rsid w:val="00FA69E8"/>
    <w:rsid w:val="00FB2068"/>
    <w:rsid w:val="00FB2A00"/>
    <w:rsid w:val="00FB39C7"/>
    <w:rsid w:val="00FB4670"/>
    <w:rsid w:val="00FB4BAD"/>
    <w:rsid w:val="00FB4CAA"/>
    <w:rsid w:val="00FB5B83"/>
    <w:rsid w:val="00FB7F79"/>
    <w:rsid w:val="00FC0C33"/>
    <w:rsid w:val="00FC100F"/>
    <w:rsid w:val="00FC12BC"/>
    <w:rsid w:val="00FC5DD6"/>
    <w:rsid w:val="00FD4A75"/>
    <w:rsid w:val="00FD51CC"/>
    <w:rsid w:val="00FE1E09"/>
    <w:rsid w:val="00FE28F0"/>
    <w:rsid w:val="00FE3A38"/>
    <w:rsid w:val="00FE4185"/>
    <w:rsid w:val="00FE5DB4"/>
    <w:rsid w:val="00FE6634"/>
    <w:rsid w:val="00FE786D"/>
    <w:rsid w:val="00FE78F0"/>
    <w:rsid w:val="00FF36E4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CD75"/>
  <w15:chartTrackingRefBased/>
  <w15:docId w15:val="{EF220C5C-DD6B-4599-867F-192DC28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Nzov">
    <w:name w:val="Title"/>
    <w:basedOn w:val="Normlny"/>
    <w:qFormat/>
    <w:pPr>
      <w:jc w:val="center"/>
    </w:pPr>
    <w:rPr>
      <w:b/>
    </w:rPr>
  </w:style>
  <w:style w:type="paragraph" w:styleId="Zkladntext">
    <w:name w:val="Body Text"/>
    <w:basedOn w:val="Normlny"/>
    <w:pPr>
      <w:jc w:val="both"/>
    </w:pPr>
  </w:style>
  <w:style w:type="paragraph" w:styleId="Zarkazkladnhotextu">
    <w:name w:val="Body Text Indent"/>
    <w:basedOn w:val="Normlny"/>
    <w:link w:val="ZarkazkladnhotextuChar"/>
    <w:pPr>
      <w:ind w:left="284" w:hanging="284"/>
      <w:jc w:val="both"/>
    </w:pPr>
  </w:style>
  <w:style w:type="paragraph" w:styleId="Zarkazkladnhotextu2">
    <w:name w:val="Body Text Indent 2"/>
    <w:basedOn w:val="Normlny"/>
    <w:pPr>
      <w:ind w:left="426" w:hanging="284"/>
      <w:jc w:val="both"/>
    </w:pPr>
  </w:style>
  <w:style w:type="paragraph" w:styleId="Zkladntext2">
    <w:name w:val="Body Text 2"/>
    <w:basedOn w:val="Normlny"/>
    <w:pPr>
      <w:jc w:val="center"/>
    </w:pPr>
  </w:style>
  <w:style w:type="paragraph" w:styleId="Zarkazkladnhotextu3">
    <w:name w:val="Body Text Indent 3"/>
    <w:basedOn w:val="Normlny"/>
    <w:pPr>
      <w:ind w:left="1560" w:hanging="1560"/>
      <w:jc w:val="both"/>
    </w:pPr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character" w:styleId="Odkaznapoznmkupodiarou">
    <w:name w:val="footnote reference"/>
    <w:uiPriority w:val="99"/>
    <w:qFormat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uiPriority w:val="99"/>
    <w:unhideWhenUsed/>
    <w:rsid w:val="00C43DBB"/>
    <w:rPr>
      <w:color w:val="0000FF"/>
      <w:u w:val="single"/>
    </w:rPr>
  </w:style>
  <w:style w:type="paragraph" w:styleId="Normlnywebov">
    <w:name w:val="Normal (Web)"/>
    <w:basedOn w:val="Normlny"/>
    <w:uiPriority w:val="99"/>
    <w:rsid w:val="00EF0738"/>
    <w:rPr>
      <w:szCs w:val="24"/>
    </w:rPr>
  </w:style>
  <w:style w:type="paragraph" w:styleId="Odsekzoznamu">
    <w:name w:val="List Paragraph"/>
    <w:basedOn w:val="Normlny"/>
    <w:uiPriority w:val="34"/>
    <w:qFormat/>
    <w:rsid w:val="004609E3"/>
    <w:pPr>
      <w:ind w:left="708"/>
    </w:pPr>
  </w:style>
  <w:style w:type="table" w:styleId="Mriekatabuky">
    <w:name w:val="Table Grid"/>
    <w:basedOn w:val="Normlnatabuka"/>
    <w:uiPriority w:val="39"/>
    <w:rsid w:val="0002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rkazkladnhotextuChar">
    <w:name w:val="Zarážka základného textu Char"/>
    <w:link w:val="Zarkazkladnhotextu"/>
    <w:rsid w:val="008A4093"/>
    <w:rPr>
      <w:sz w:val="24"/>
    </w:rPr>
  </w:style>
  <w:style w:type="paragraph" w:styleId="Textbubliny">
    <w:name w:val="Balloon Text"/>
    <w:basedOn w:val="Normlny"/>
    <w:link w:val="TextbublinyChar"/>
    <w:rsid w:val="008A15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158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rsid w:val="0059320B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9320B"/>
  </w:style>
  <w:style w:type="character" w:customStyle="1" w:styleId="PredmetkomentraChar">
    <w:name w:val="Predmet komentára Char"/>
    <w:link w:val="Predmetkomentra"/>
    <w:rsid w:val="0059320B"/>
    <w:rPr>
      <w:b/>
      <w:bCs/>
    </w:rPr>
  </w:style>
  <w:style w:type="character" w:customStyle="1" w:styleId="TextpoznmkypodiarouChar">
    <w:name w:val="Text poznámky pod čiarou Char"/>
    <w:link w:val="Textpoznmkypodiarou"/>
    <w:semiHidden/>
    <w:rsid w:val="001121F0"/>
  </w:style>
  <w:style w:type="character" w:customStyle="1" w:styleId="highlight">
    <w:name w:val="highlight"/>
    <w:rsid w:val="00C07DA1"/>
  </w:style>
  <w:style w:type="paragraph" w:styleId="Revzia">
    <w:name w:val="Revision"/>
    <w:hidden/>
    <w:uiPriority w:val="99"/>
    <w:semiHidden/>
    <w:rsid w:val="000640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04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03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36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469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7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71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7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6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26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08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28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28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69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1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03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95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59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28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8AF6-3862-4D46-816F-7FA4C15C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134/1992 Zb</vt:lpstr>
    </vt:vector>
  </TitlesOfParts>
  <Company>MZP</Company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134/1992 Zb</dc:title>
  <dc:subject/>
  <dc:creator>MZP</dc:creator>
  <cp:keywords/>
  <dc:description/>
  <cp:lastModifiedBy>Smažáková Janette</cp:lastModifiedBy>
  <cp:revision>4</cp:revision>
  <cp:lastPrinted>2022-05-26T13:05:00Z</cp:lastPrinted>
  <dcterms:created xsi:type="dcterms:W3CDTF">2022-05-17T14:47:00Z</dcterms:created>
  <dcterms:modified xsi:type="dcterms:W3CDTF">2022-05-26T13:05:00Z</dcterms:modified>
</cp:coreProperties>
</file>