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23ADBA91"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34B89185" w:rsidR="00054C41" w:rsidRPr="00C90365" w:rsidRDefault="00054C41" w:rsidP="00BC65C0">
      <w:pPr>
        <w:ind w:left="2124" w:hanging="2124"/>
        <w:jc w:val="both"/>
        <w:rPr>
          <w:rFonts w:ascii="Times New Roman" w:eastAsia="Calibri" w:hAnsi="Times New Roman" w:cs="Times New Roman"/>
          <w:b/>
          <w:sz w:val="24"/>
          <w:szCs w:val="24"/>
        </w:rPr>
      </w:pPr>
      <w:r w:rsidRPr="00C90365">
        <w:rPr>
          <w:rFonts w:ascii="Times New Roman" w:eastAsia="Calibri" w:hAnsi="Times New Roman" w:cs="Times New Roman"/>
          <w:b/>
          <w:sz w:val="24"/>
          <w:szCs w:val="24"/>
        </w:rPr>
        <w:t>Názov materiálu:</w:t>
      </w:r>
      <w:r w:rsidR="00BC65C0" w:rsidRPr="00C90365">
        <w:t xml:space="preserve"> </w:t>
      </w:r>
      <w:r w:rsidR="00BC65C0" w:rsidRPr="00C90365">
        <w:tab/>
      </w:r>
      <w:r w:rsidR="00481F62" w:rsidRPr="00481F62">
        <w:rPr>
          <w:rFonts w:ascii="Times New Roman" w:eastAsia="Calibri" w:hAnsi="Times New Roman" w:cs="Times New Roman"/>
          <w:sz w:val="24"/>
          <w:szCs w:val="24"/>
        </w:rPr>
        <w:t>Vládny</w:t>
      </w:r>
      <w:r w:rsidR="00481F62">
        <w:rPr>
          <w:rFonts w:ascii="Times New Roman" w:eastAsia="Calibri" w:hAnsi="Times New Roman" w:cs="Times New Roman"/>
          <w:sz w:val="24"/>
          <w:szCs w:val="24"/>
        </w:rPr>
        <w:t xml:space="preserve"> n</w:t>
      </w:r>
      <w:r w:rsidR="00BC65C0" w:rsidRPr="00C90365">
        <w:rPr>
          <w:rFonts w:ascii="Times New Roman" w:eastAsia="Calibri" w:hAnsi="Times New Roman" w:cs="Times New Roman"/>
          <w:sz w:val="24"/>
          <w:szCs w:val="24"/>
        </w:rPr>
        <w:t>ávrh zákona, ktorým sa mení a dopĺňa zákon č. 311/2001 Z. z. Zákonník práce v znení neskorších predpisov a ktorým sa menia a dopĺňajú niektoré zákony</w:t>
      </w:r>
    </w:p>
    <w:p w14:paraId="77F96BF6" w14:textId="395C06FC" w:rsidR="00054C41" w:rsidRPr="001F1B43" w:rsidRDefault="00054C41" w:rsidP="00054C41">
      <w:pPr>
        <w:jc w:val="both"/>
        <w:rPr>
          <w:rFonts w:ascii="Times New Roman" w:eastAsia="Calibri" w:hAnsi="Times New Roman" w:cs="Times New Roman"/>
          <w:b/>
          <w:sz w:val="24"/>
          <w:szCs w:val="24"/>
        </w:rPr>
      </w:pPr>
      <w:r w:rsidRPr="00C90365">
        <w:rPr>
          <w:rFonts w:ascii="Times New Roman" w:eastAsia="Calibri" w:hAnsi="Times New Roman" w:cs="Times New Roman"/>
          <w:b/>
          <w:sz w:val="24"/>
          <w:szCs w:val="24"/>
        </w:rPr>
        <w:t>Predkladateľ:</w:t>
      </w:r>
      <w:r w:rsidR="00BC65C0" w:rsidRPr="00C90365">
        <w:rPr>
          <w:rFonts w:ascii="Times New Roman" w:eastAsia="Calibri" w:hAnsi="Times New Roman" w:cs="Times New Roman"/>
          <w:b/>
          <w:sz w:val="24"/>
          <w:szCs w:val="24"/>
        </w:rPr>
        <w:t xml:space="preserve"> </w:t>
      </w:r>
      <w:r w:rsidR="00BC65C0" w:rsidRPr="00C90365">
        <w:rPr>
          <w:rFonts w:ascii="Times New Roman" w:eastAsia="Calibri" w:hAnsi="Times New Roman" w:cs="Times New Roman"/>
          <w:b/>
          <w:sz w:val="24"/>
          <w:szCs w:val="24"/>
        </w:rPr>
        <w:tab/>
      </w:r>
      <w:r w:rsidR="00BC65C0" w:rsidRPr="00C90365">
        <w:rPr>
          <w:rFonts w:ascii="Times New Roman" w:eastAsia="Calibri" w:hAnsi="Times New Roman" w:cs="Times New Roman"/>
          <w:sz w:val="24"/>
          <w:szCs w:val="24"/>
        </w:rPr>
        <w:t>Ministerstvo práce, sociálnych vecí a rodiny Slovenskej republiky</w:t>
      </w:r>
      <w:r w:rsidR="00BC65C0">
        <w:rPr>
          <w:rFonts w:ascii="Times New Roman" w:eastAsia="Calibri" w:hAnsi="Times New Roman" w:cs="Times New Roman"/>
          <w:b/>
          <w:sz w:val="24"/>
          <w:szCs w:val="24"/>
        </w:rPr>
        <w:t xml:space="preserve"> </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ktorých cieľom je znižovať negatívne externality</w:t>
            </w:r>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5890A2A1" w14:textId="77777777" w:rsidTr="00142154">
        <w:tc>
          <w:tcPr>
            <w:tcW w:w="3681" w:type="dxa"/>
          </w:tcPr>
          <w:p w14:paraId="470A575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4AB9E4F0"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1915EE9C" w14:textId="77777777" w:rsidTr="00142154">
        <w:tc>
          <w:tcPr>
            <w:tcW w:w="3681" w:type="dxa"/>
          </w:tcPr>
          <w:p w14:paraId="3FBBD35B"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0128E64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784F8A51" w14:textId="77777777" w:rsidTr="00142154">
        <w:tc>
          <w:tcPr>
            <w:tcW w:w="3681" w:type="dxa"/>
          </w:tcPr>
          <w:p w14:paraId="796F837A"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c>
          <w:tcPr>
            <w:tcW w:w="2693" w:type="dxa"/>
            <w:shd w:val="clear" w:color="auto" w:fill="92D050"/>
          </w:tcPr>
          <w:p w14:paraId="02FE7EB5"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054C41" w:rsidRPr="00895898" w14:paraId="4440B6DF" w14:textId="77777777" w:rsidTr="00142154">
        <w:tc>
          <w:tcPr>
            <w:tcW w:w="3681" w:type="dxa"/>
          </w:tcPr>
          <w:p w14:paraId="1E7A37D9" w14:textId="05E931F4"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sidR="00E030DA">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054C41" w:rsidRPr="00895898" w:rsidRDefault="00054C41" w:rsidP="00142154">
            <w:pPr>
              <w:jc w:val="center"/>
              <w:rPr>
                <w:rFonts w:ascii="Times New Roman" w:eastAsia="Calibri" w:hAnsi="Times New Roman" w:cs="Times New Roman"/>
                <w:b/>
                <w:i/>
                <w:sz w:val="20"/>
              </w:rPr>
            </w:pPr>
          </w:p>
        </w:tc>
        <w:tc>
          <w:tcPr>
            <w:tcW w:w="2693" w:type="dxa"/>
            <w:shd w:val="clear" w:color="auto" w:fill="92D050"/>
          </w:tcPr>
          <w:p w14:paraId="623271B2" w14:textId="77777777" w:rsidR="00054C41" w:rsidRPr="00895898" w:rsidRDefault="00054C41" w:rsidP="00142154">
            <w:pPr>
              <w:jc w:val="center"/>
              <w:rPr>
                <w:rFonts w:ascii="Times New Roman" w:eastAsia="Calibri" w:hAnsi="Times New Roman" w:cs="Times New Roman"/>
                <w:b/>
                <w:i/>
                <w:sz w:val="20"/>
              </w:rPr>
            </w:pPr>
          </w:p>
        </w:tc>
      </w:tr>
      <w:tr w:rsidR="00054C41" w:rsidRPr="00895898" w14:paraId="5592CF42" w14:textId="77777777" w:rsidTr="00142154">
        <w:tc>
          <w:tcPr>
            <w:tcW w:w="3681" w:type="dxa"/>
          </w:tcPr>
          <w:p w14:paraId="01B4507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E. Vplyv na mikro, malé a stredné podniky</w:t>
            </w:r>
          </w:p>
        </w:tc>
        <w:tc>
          <w:tcPr>
            <w:tcW w:w="2693" w:type="dxa"/>
            <w:shd w:val="clear" w:color="auto" w:fill="FFC000"/>
          </w:tcPr>
          <w:p w14:paraId="7D80D68C"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52B3C4D4"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5E2E036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E030DA">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14:paraId="254E8359"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footerReference w:type="default" r:id="rId10"/>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054C41" w:rsidRPr="00895898" w14:paraId="10CEFB11" w14:textId="77777777" w:rsidTr="00142154">
        <w:trPr>
          <w:trHeight w:val="1885"/>
        </w:trPr>
        <w:tc>
          <w:tcPr>
            <w:tcW w:w="501"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P.č.</w:t>
            </w:r>
          </w:p>
        </w:tc>
        <w:tc>
          <w:tcPr>
            <w:tcW w:w="3557"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SK/EÚ úplná harm./EÚ harm. s možnosťou voľby</w:t>
            </w:r>
          </w:p>
        </w:tc>
        <w:tc>
          <w:tcPr>
            <w:tcW w:w="934"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Kategória dotk.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v dotk.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MSP v dotk.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kategóriu dotk. subjektov v €</w:t>
            </w:r>
          </w:p>
        </w:tc>
        <w:tc>
          <w:tcPr>
            <w:tcW w:w="1134"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054C41" w:rsidRPr="00895898" w14:paraId="11758B9A" w14:textId="77777777" w:rsidTr="00142154">
        <w:trPr>
          <w:trHeight w:val="612"/>
        </w:trPr>
        <w:tc>
          <w:tcPr>
            <w:tcW w:w="501" w:type="dxa"/>
            <w:vAlign w:val="center"/>
          </w:tcPr>
          <w:p w14:paraId="6F8278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B4E9DA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120314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1B4826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3A0BA66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BFB7AA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299C820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436077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57C912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57D4FAC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14:paraId="20A55E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32A867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3E85FB6C" w14:textId="77777777" w:rsidTr="00142154">
        <w:trPr>
          <w:trHeight w:val="600"/>
        </w:trPr>
        <w:tc>
          <w:tcPr>
            <w:tcW w:w="501" w:type="dxa"/>
            <w:vAlign w:val="center"/>
          </w:tcPr>
          <w:p w14:paraId="65795CE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BEDDF1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F95232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772F4F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02CD1E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27D051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1387D4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F2BAC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994905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1371B6C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C7D454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CD7D152"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922CA33" w14:textId="77777777" w:rsidTr="00142154">
        <w:trPr>
          <w:trHeight w:val="600"/>
        </w:trPr>
        <w:tc>
          <w:tcPr>
            <w:tcW w:w="501" w:type="dxa"/>
            <w:vAlign w:val="center"/>
          </w:tcPr>
          <w:p w14:paraId="350B46C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CA669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71FAD5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4A93B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59119F8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4220C4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93D10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6AA08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42400C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643D8B2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280F78D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49B694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4F4C8F0" w14:textId="77777777" w:rsidTr="00142154">
        <w:trPr>
          <w:trHeight w:val="600"/>
        </w:trPr>
        <w:tc>
          <w:tcPr>
            <w:tcW w:w="501" w:type="dxa"/>
            <w:vAlign w:val="center"/>
          </w:tcPr>
          <w:p w14:paraId="16B3AE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331E3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21ACDB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0952C5F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478252F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DB51E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5860EA3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9075E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AC36E7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46718EE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D839B7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CF1026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6C58F86" w14:textId="77777777" w:rsidTr="00142154">
        <w:trPr>
          <w:trHeight w:val="600"/>
        </w:trPr>
        <w:tc>
          <w:tcPr>
            <w:tcW w:w="501" w:type="dxa"/>
            <w:vAlign w:val="center"/>
          </w:tcPr>
          <w:p w14:paraId="0DCD4B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17C9A25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2D66994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541354A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04A310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EC031B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2E412B6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52ADF1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8BE4D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27AD2C0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97F1C2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C67D7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3386FCD5" w14:textId="77777777" w:rsidTr="00142154">
        <w:trPr>
          <w:trHeight w:val="655"/>
        </w:trPr>
        <w:tc>
          <w:tcPr>
            <w:tcW w:w="501" w:type="dxa"/>
            <w:vAlign w:val="center"/>
          </w:tcPr>
          <w:p w14:paraId="341FC3D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41A9303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12AB029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8F7AE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C6AC92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7B3EA3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6C2BE11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A663AC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EE9592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90D1E5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7525B1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D7DF0A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7EB0E4DE" w14:textId="77777777" w:rsidTr="00142154">
        <w:trPr>
          <w:trHeight w:val="578"/>
        </w:trPr>
        <w:tc>
          <w:tcPr>
            <w:tcW w:w="501" w:type="dxa"/>
            <w:vAlign w:val="center"/>
          </w:tcPr>
          <w:p w14:paraId="5C9E450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ECA181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A0B3DA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C4980A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3AD9044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3285AC1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D281D8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702048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374C79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721A0B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6C3916C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52CB1E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6C32329" w14:textId="77777777" w:rsidTr="00142154">
        <w:trPr>
          <w:trHeight w:val="578"/>
        </w:trPr>
        <w:tc>
          <w:tcPr>
            <w:tcW w:w="501" w:type="dxa"/>
            <w:vAlign w:val="center"/>
          </w:tcPr>
          <w:p w14:paraId="63491A9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8D520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691454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3E1B104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F4D48A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42E8A0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159C8C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C78D70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2DE2C3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054144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49B96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FE1067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4742F14C" w14:textId="77777777" w:rsidTr="00142154">
        <w:trPr>
          <w:trHeight w:val="578"/>
        </w:trPr>
        <w:tc>
          <w:tcPr>
            <w:tcW w:w="501" w:type="dxa"/>
            <w:vAlign w:val="center"/>
          </w:tcPr>
          <w:p w14:paraId="07289A6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BB78E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0BD60F6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2E194E4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1BDC3F8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B7CDF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308B8F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5028CE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DE40B7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3098281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847218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BDDCE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13B2860B" w14:textId="77777777" w:rsidR="00054C41" w:rsidRPr="00D8247C" w:rsidRDefault="00054C41" w:rsidP="00054C41">
      <w:pPr>
        <w:rPr>
          <w:rFonts w:ascii="Times New Roman" w:eastAsia="Calibri" w:hAnsi="Times New Roman" w:cs="Times New Roman"/>
          <w:i/>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50FC6718" w14:textId="32BF1512" w:rsidR="00054C41" w:rsidRDefault="00054C41" w:rsidP="00054C41">
      <w:pPr>
        <w:spacing w:after="0"/>
        <w:jc w:val="both"/>
        <w:rPr>
          <w:rFonts w:ascii="Times New Roman" w:eastAsia="Calibri" w:hAnsi="Times New Roman" w:cs="Times New Roman"/>
          <w:i/>
          <w:sz w:val="24"/>
          <w:szCs w:val="24"/>
        </w:rPr>
      </w:pPr>
    </w:p>
    <w:p w14:paraId="6DE96EE5" w14:textId="0B51B86D"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V čase od 19.5.2021 do 18.6.2021 prebiehali konzultácie s podnikateľským prostredím. Počas predmetných konzultácií ani zo strany zástupcov podnikateľského prostredia neboli indikované možné vplyv na podnikateľské prostredie. Subjekty podnikateľského prostredia smerovali svoje podnety k obsahu transponovaných smerníc a možnému paragrafovému zneniu návrhu zákona.</w:t>
      </w:r>
    </w:p>
    <w:p w14:paraId="67982296" w14:textId="77777777" w:rsidR="00A359A9" w:rsidRPr="00D8247C" w:rsidRDefault="00A359A9" w:rsidP="00054C41">
      <w:pPr>
        <w:spacing w:after="0"/>
        <w:jc w:val="both"/>
        <w:rPr>
          <w:rFonts w:ascii="Times New Roman" w:eastAsia="Calibri" w:hAnsi="Times New Roman" w:cs="Times New Roman"/>
          <w:i/>
          <w:sz w:val="24"/>
          <w:szCs w:val="24"/>
        </w:rPr>
      </w:pP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77777777" w:rsidR="00054C41" w:rsidRPr="00D8247C" w:rsidRDefault="009B7DF6"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77777777" w:rsidR="00054C41" w:rsidRPr="00D8247C" w:rsidRDefault="009B7DF6"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D1FB6FE" w:rsidR="00FF414B" w:rsidRDefault="00FF414B" w:rsidP="00FF414B">
      <w:pPr>
        <w:spacing w:after="0"/>
        <w:jc w:val="both"/>
        <w:rPr>
          <w:rFonts w:ascii="Times New Roman" w:eastAsia="Calibri" w:hAnsi="Times New Roman" w:cs="Times New Roman"/>
          <w:i/>
          <w:color w:val="0070C0"/>
          <w:sz w:val="24"/>
          <w:szCs w:val="24"/>
        </w:rPr>
      </w:pPr>
    </w:p>
    <w:p w14:paraId="24EE46A9" w14:textId="7436D226"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Navrhované úpravy majú zabezpečiť transparentné a predvídateľné pracovné podmienky pre zamestnancov. Ide predovšetkým o presné vymedzenie okruh</w:t>
      </w:r>
      <w:r w:rsidR="003D735C">
        <w:rPr>
          <w:rFonts w:ascii="Times New Roman" w:hAnsi="Times New Roman" w:cs="Times New Roman"/>
          <w:bCs/>
          <w:iCs/>
          <w:sz w:val="24"/>
          <w:szCs w:val="24"/>
        </w:rPr>
        <w:t>ov</w:t>
      </w:r>
      <w:r w:rsidRPr="00C90365">
        <w:rPr>
          <w:rFonts w:ascii="Times New Roman" w:hAnsi="Times New Roman" w:cs="Times New Roman"/>
          <w:bCs/>
          <w:iCs/>
          <w:sz w:val="24"/>
          <w:szCs w:val="24"/>
        </w:rPr>
        <w:t xml:space="preserve"> informácií, ktoré zamestnávateľ poskytuje svojim zamestnancom, ako aj o vymedzenie časového horizontu na ich poskytnutie. Zároveň návrh ustanovuje možnosť poskytovania informácií aj v elektronickej podobe. Možno konštatovať, že väčšina informácií, ktorých poskytovanie ukladajú smernice, sa už aj v súčasnosti zamestnancom poskytuje a u viacerých zamestnávateľov sa už aj v súčasnosti využíva elektronická forma poskytovania informácií. Z daného hľadiska transpozíciou smerníc z veľkej časti iba dochádza k legislatívnej úprave súčasnej bežnej praxe u zamestnávateľov a nejde o zavádzanie nového typu povinností. Jasné vyjadrenie možnosti elektronickej komunikácie v zákone ako aj jednoznačné rozdelenie informácií na dohodnutý obsah pracovnej zmluvy (t.j. jeho náležitosti) a zvyšné informácie, ktoré sa môžu stať zmluvným obsahom pracovnej zmluvy ale aj nemusia, uľahčí fungovanie zamestnávateľov v každodennom živote, keďže väčšinu pravidiel nastavuje zamestnávateľ sám (ak u neho nepôsobia zástupcovia zamestnancov) podľa ustanovení Zákonníka </w:t>
      </w:r>
      <w:r w:rsidRPr="00C90365">
        <w:rPr>
          <w:rFonts w:ascii="Times New Roman" w:hAnsi="Times New Roman" w:cs="Times New Roman"/>
          <w:bCs/>
          <w:iCs/>
          <w:sz w:val="24"/>
          <w:szCs w:val="24"/>
        </w:rPr>
        <w:lastRenderedPageBreak/>
        <w:t>práce (napr. presná dĺžka pracovného času, pracovné dni, rozvrhy práce, rozsah dovolenky, apod.)</w:t>
      </w:r>
      <w:r w:rsidR="00FF3B86" w:rsidRPr="00C90365">
        <w:rPr>
          <w:rFonts w:ascii="Times New Roman" w:hAnsi="Times New Roman" w:cs="Times New Roman"/>
          <w:bCs/>
          <w:iCs/>
          <w:sz w:val="24"/>
          <w:szCs w:val="24"/>
        </w:rPr>
        <w:t xml:space="preserve"> </w:t>
      </w:r>
      <w:r w:rsidRPr="00C90365">
        <w:rPr>
          <w:rFonts w:ascii="Times New Roman" w:hAnsi="Times New Roman" w:cs="Times New Roman"/>
          <w:bCs/>
          <w:iCs/>
          <w:sz w:val="24"/>
          <w:szCs w:val="24"/>
        </w:rPr>
        <w:t>Na základe uvádzaného považujeme možné vplyvy predkladaného materiálu nanajvýš za marginálne, pričom marginálne vplyvy môžu u niektorých zamestnávateľov vzniknúť nielen v podobe zanedbateľného zvýšenia administratívnych nákladov</w:t>
      </w:r>
      <w:r w:rsidR="00FF3B86" w:rsidRPr="00C90365">
        <w:rPr>
          <w:rFonts w:ascii="Times New Roman" w:hAnsi="Times New Roman" w:cs="Times New Roman"/>
          <w:bCs/>
          <w:iCs/>
          <w:sz w:val="24"/>
          <w:szCs w:val="24"/>
        </w:rPr>
        <w:t xml:space="preserve"> (marginálne negatívne vplyvy)</w:t>
      </w:r>
      <w:r w:rsidRPr="00C90365">
        <w:rPr>
          <w:rFonts w:ascii="Times New Roman" w:hAnsi="Times New Roman" w:cs="Times New Roman"/>
          <w:bCs/>
          <w:iCs/>
          <w:sz w:val="24"/>
          <w:szCs w:val="24"/>
        </w:rPr>
        <w:t>, ale aj v podobe zanedbateľného zníženia administratívnych nákladov</w:t>
      </w:r>
      <w:r w:rsidR="00FF3B86" w:rsidRPr="00C90365">
        <w:rPr>
          <w:rFonts w:ascii="Times New Roman" w:hAnsi="Times New Roman" w:cs="Times New Roman"/>
          <w:bCs/>
          <w:iCs/>
          <w:sz w:val="24"/>
          <w:szCs w:val="24"/>
        </w:rPr>
        <w:t xml:space="preserve"> (marginálne pozitívne vplyvy)</w:t>
      </w:r>
      <w:r w:rsidRPr="00C90365">
        <w:rPr>
          <w:rFonts w:ascii="Times New Roman" w:hAnsi="Times New Roman" w:cs="Times New Roman"/>
          <w:bCs/>
          <w:iCs/>
          <w:sz w:val="24"/>
          <w:szCs w:val="24"/>
        </w:rPr>
        <w:t xml:space="preserve">, t. j. je predpoklad, že reálne náklady z dôvodu navrhovanej legislatívnej úpravy nevzniknú.   </w:t>
      </w:r>
    </w:p>
    <w:p w14:paraId="1327F777"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Bližšie odôvodnenie marginálnosti vplyvov na podnikateľské prostredie:</w:t>
      </w:r>
    </w:p>
    <w:p w14:paraId="7F4D5C64"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Z hľadiska dopadov na podnikateľské prostredie je problematické ich zhodnotiť z niekoľkých dôvodov:</w:t>
      </w:r>
    </w:p>
    <w:p w14:paraId="55DE6DD0"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a) ide o transpozíciu práva EÚ, ktoré však vo veľkej časti je už transponovaná v práve SR (keďže ide o smernicu z roku 1991 a smernicu z roku 2010, ktorá nahradila smernicu z roku 1996) – zmeny sú skôr v detailoch a vo vyjasnení toho, čo sa od subjektov pracovného práva očakáva,</w:t>
      </w:r>
    </w:p>
    <w:p w14:paraId="5127A1FF"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b) MPSVR SR nezbiera detailné informácie, ako zamestnávatelia v praxi formulujú obsah pracovných zmlúv (napr. či prepisujú znenia zákona do textu, odkazujú na príslušné ustanovenia zákona) a ako podrobne poskytujú informácie zamestnancom – prax je u zamestnávateľov rozdielna, mnohí majú tieto veci zautomatizované cez informačné systémy, a pod.,</w:t>
      </w:r>
    </w:p>
    <w:p w14:paraId="787EA0E1"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c) z praxe sa javí, že mnohí zamestnávatelia už postupujú spôsobom, aký sa navrhuje v novele Zákonníka práce (jedným z dôvodov novely je odstránenie vnútorných rozporov právnej úpravy medzi tým, čo má byť obsahom pracovnej zmluvy a čo nie – povinným obsahom pracovnej zmluvy sú len podstatné náležitosti, resp. tie prvky, ktoré sa už aj podľa súčasnej právnej úpravy musia uviesť v pracovnej zmluve – skúšobná doba (§ 45), určitá doba (§ 48), a pod. Zvyšok obsahu pracovného pomeru zamestnávateľ môže podľa navrhovanej novely poskytovať vo forme písomnej informácie (ktorú v prípade potreby zmení), a písomná informácia môže mať aj elektronickú formu.</w:t>
      </w:r>
    </w:p>
    <w:p w14:paraId="60E7D56B"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Obdobne už v súčasnosti platné znenie § 5 Zákonníka práce vyžaduje od vysielajúceho zamestnávateľa uzatvorenie dohody o vyslaní a poskytnutie relevantných informácií o jeho pracovných podmienkach. Navyše taká je aj nevyhnutná prax, pretože orgány iného štátu, do ktorého je zamestnanec vyslaný v rámci cezhraničného poskytovania služieb vyžadujú nahlásenie vyslania na ich územie a vykonávajú rozsiahlu kontrolu dokumentov, aby zistili, či ich pracovné právo (osobitne mzdové podmienky) boli dodržané alebo nie.</w:t>
      </w:r>
    </w:p>
    <w:p w14:paraId="69D233C2"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Dopad na podnikateľské prostredie môže mať síce miera informácií, ktoré sa zamestnancovi musia poskytnúť (viď. § 44 a čl. 4 ods. 2 smernice), na druhej strane v mnohých prípadoch zamestnávatelia tieto informácie poskytujú/sprístupňujú (v mnohých prípadoch pracovné zmluvy obsahujú na niekoľkých stranách „prepísané“ ustanove</w:t>
      </w:r>
      <w:r w:rsidRPr="00C90365">
        <w:rPr>
          <w:rFonts w:ascii="Times New Roman" w:hAnsi="Times New Roman" w:cs="Times New Roman"/>
          <w:bCs/>
          <w:iCs/>
          <w:sz w:val="24"/>
          <w:szCs w:val="24"/>
        </w:rPr>
        <w:lastRenderedPageBreak/>
        <w:t xml:space="preserve">nia zákona o pracovnom čase, dovolenke, apod.), táto informácia môže mať štandardizovanú podobu, ktorá sa dá zamestnancovi /pretože v mnohých prípadoch sú u zamestnávateľa štandardizované podmienky, ktoré platia pre všetkých alebo väčšinu zamestnancov – napr. rovnaký pracovný čas, rovnaké výplatné termíny/ môže byť poskytnutá elektronicky a aj vo forme odkazu na zákon, resp. kolektívnu zmluvu. </w:t>
      </w:r>
    </w:p>
    <w:p w14:paraId="08233889"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Novela Zákonníka práce zároveň nevyžaduje automaticky zmenu pracovných zmlúv a navrhované ustanovenie § 250q vychádza z čl. 22 smernice EÚ 2019/1152, že zmeny vo vzťahu k novým informáciám, ak ide o zamestnancov, ktorí sú už v pracovnoprávnom vzťahu sa robia len na ich žiadosť.</w:t>
      </w:r>
    </w:p>
    <w:p w14:paraId="137BEBF2"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Naopak pozitívnym dopadom je navrhované výslovné ustanovenie možnosti poskytovania informácie a reagovanie na žiadosť zamestnanca elektronickým spôsobom. Celkový efekt zmeny by teda mal byť pozitívny pre administrovanie informovania zamestnanca o pracovných podmienkach a podmienkach zamestnávania.</w:t>
      </w:r>
    </w:p>
    <w:p w14:paraId="60961243"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Dopad na podnikateľské prostredie by mohlo mať aj v zmysle čl. 12 smernice EÚ 2019/1152 ustanovené právo zamestnanca žiadať o prechod na inú formu práce (napr. z určitej doby na neurčitý čas) a mať právo na písomnú odôvodnenú odpoveď - § 49b. Na druhej strane predkladateľ využil výnimky z tohto ustanovenia – napr. obmedzenie počtu žiadostí, osobitný prístup k menším zamestnávateľom a zamestnávateľom fyzickým osobám a zároveň žiadosť aj odpoveď by mohla byť spracovaná elektronicky. Z praxe zároveň je potrebné brať do úvahy, že takáto komunikácia nevyhnutne prebieha aj dnes – zamestnanec, ktorý je zamestnaný na dobu určitú a chce u zamestnávateľa zostať, sa ho spravidla pýta, aké sú možnosti a zamestnávateľ mu odpovedá. Limitácia takejto žiadosti s právom na odpoveď na jednu za 12 mesiacov môže znamenať aj to, že v ďalších prípadoch je na zamestnávateľovi, či na žiadosť bude reagovať a v akej podobe.</w:t>
      </w:r>
    </w:p>
    <w:p w14:paraId="6ADE63E7" w14:textId="1EC0331F"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Rovnako dopad môžu mať aj ustanovenia, ktoré sa týkajú § 164 – právo žiadať o flexibilnejšie formy práce s cieľom zosúladenia rodinného a pracovného života a povinnosť zamestnávateľa reagovať (vysvetliť zamietnutie alebo posunutie žiadosti). Na druhej strane takéto procesy bežne prebiehajú a zamestnávatelia reagujú na podnety zamestnancov, ktorí potrebujú zosúladiť svoje rodičovské a opatrovateľské potreby, majú zavedený pružný pracovný čas, umožňujú neskoršie príchody do práce, prácu z domu a takéto zosúladenie sa nejaví problematické. Aj z existujúceho znenia už vyplýva možnosť žiadať o pružný pracovný čas (je to iný spôsob organizácie práce. Naopak je zjavné, že u prevádzok, kde jej povaha takéto úpravy z dôvodu toho, aký druh práce sa vykonáva, ako musí byť práca organizovaná neumožňovala (napr. priemyselná výroba – spravidla nie je možný pružný pracovný čas a práca sa vykonáva v prevádzke a teda práca z domu neprichádza do úvahy), pravdepodobne nedôjde k zásadným zmenám z tohto dôvodu. Smernica a následne Zákonník práce tu presnejšie vymedzuje práva a povinnosti zamestnávateľa a zamestnanca.</w:t>
      </w:r>
    </w:p>
    <w:p w14:paraId="7DE141E8"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lastRenderedPageBreak/>
        <w:t>V tomto ohľade sa javí, že celkovo niektoré ustanovenia možno zanedbateľne zvýšia záťaž na zamestnávateľa z hľadiska riešenia žiadosti zamestnancov a nejaví sa, že by išlo o zásadnú zmenu.</w:t>
      </w:r>
    </w:p>
    <w:p w14:paraId="34482559" w14:textId="77777777" w:rsidR="00A359A9" w:rsidRPr="00C90365" w:rsidRDefault="00A359A9" w:rsidP="00A359A9">
      <w:pPr>
        <w:jc w:val="both"/>
        <w:rPr>
          <w:rFonts w:ascii="Times New Roman" w:hAnsi="Times New Roman" w:cs="Times New Roman"/>
          <w:bCs/>
          <w:iCs/>
          <w:sz w:val="24"/>
          <w:szCs w:val="24"/>
        </w:rPr>
      </w:pPr>
      <w:r w:rsidRPr="00C90365">
        <w:rPr>
          <w:rFonts w:ascii="Times New Roman" w:hAnsi="Times New Roman" w:cs="Times New Roman"/>
          <w:bCs/>
          <w:iCs/>
          <w:sz w:val="24"/>
          <w:szCs w:val="24"/>
        </w:rPr>
        <w:t>V prípade otcovskej dovolenky, táto bude platená zo sociálneho poistenia, a teda pre zamestnávateľa nevzniknú dodatočné náklady.</w:t>
      </w:r>
    </w:p>
    <w:p w14:paraId="64BBFA53" w14:textId="3E90AA7B" w:rsidR="00A359A9" w:rsidRDefault="00A359A9" w:rsidP="00A359A9">
      <w:pPr>
        <w:spacing w:after="0"/>
        <w:jc w:val="both"/>
        <w:rPr>
          <w:rFonts w:ascii="Times New Roman" w:eastAsia="Calibri" w:hAnsi="Times New Roman" w:cs="Times New Roman"/>
          <w:i/>
          <w:color w:val="0070C0"/>
          <w:sz w:val="24"/>
          <w:szCs w:val="24"/>
        </w:rPr>
      </w:pPr>
      <w:r w:rsidRPr="00C90365">
        <w:rPr>
          <w:rFonts w:ascii="Times New Roman" w:hAnsi="Times New Roman" w:cs="Times New Roman"/>
          <w:bCs/>
          <w:iCs/>
          <w:sz w:val="24"/>
          <w:szCs w:val="24"/>
        </w:rPr>
        <w:t>Pozitívny vplyv pre prax môže mať zmena v ustanovení § 131 a možnosť zrážať na základe zákona zo mzdy nevyúčtované preddavky na zabezpečenie stravovania alebo na poskytnutie účelovo viazaného finančného príspevku na stravovanie, t.j. ak sa poskytli vo väčšom rozsahu ako mali a nedošlo k ich vráteniu.</w:t>
      </w:r>
    </w:p>
    <w:p w14:paraId="567581BF" w14:textId="61848E68" w:rsidR="00054C41" w:rsidRDefault="00054C41" w:rsidP="00054C41">
      <w:pPr>
        <w:spacing w:after="0"/>
        <w:jc w:val="both"/>
        <w:rPr>
          <w:rFonts w:ascii="Times New Roman" w:eastAsia="Calibri" w:hAnsi="Times New Roman" w:cs="Times New Roman"/>
          <w:i/>
          <w:color w:val="0070C0"/>
        </w:rPr>
      </w:pPr>
    </w:p>
    <w:p w14:paraId="355815A8" w14:textId="0F439AC3" w:rsidR="00A359A9" w:rsidRDefault="00A359A9" w:rsidP="00054C41">
      <w:pPr>
        <w:spacing w:after="0"/>
        <w:jc w:val="both"/>
        <w:rPr>
          <w:rFonts w:ascii="Times New Roman" w:eastAsia="Calibri" w:hAnsi="Times New Roman" w:cs="Times New Roman"/>
          <w:i/>
          <w:color w:val="0070C0"/>
        </w:rPr>
      </w:pPr>
    </w:p>
    <w:p w14:paraId="2F94DE51" w14:textId="7D219B18" w:rsidR="00A359A9" w:rsidRDefault="00A359A9" w:rsidP="00054C41">
      <w:pPr>
        <w:spacing w:after="0"/>
        <w:jc w:val="both"/>
        <w:rPr>
          <w:rFonts w:ascii="Times New Roman" w:eastAsia="Calibri" w:hAnsi="Times New Roman" w:cs="Times New Roman"/>
          <w:i/>
          <w:color w:val="0070C0"/>
        </w:rPr>
      </w:pPr>
    </w:p>
    <w:p w14:paraId="0D47E77A" w14:textId="1A87DB42" w:rsidR="00A359A9" w:rsidRDefault="00A359A9" w:rsidP="00054C41">
      <w:pPr>
        <w:spacing w:after="0"/>
        <w:jc w:val="both"/>
        <w:rPr>
          <w:rFonts w:ascii="Times New Roman" w:eastAsia="Calibri" w:hAnsi="Times New Roman" w:cs="Times New Roman"/>
          <w:i/>
          <w:color w:val="0070C0"/>
        </w:rPr>
      </w:pPr>
    </w:p>
    <w:p w14:paraId="68F345B2" w14:textId="57C5ABE2" w:rsidR="00A359A9" w:rsidRDefault="00A359A9" w:rsidP="00054C41">
      <w:pPr>
        <w:spacing w:after="0"/>
        <w:jc w:val="both"/>
        <w:rPr>
          <w:rFonts w:ascii="Times New Roman" w:eastAsia="Calibri" w:hAnsi="Times New Roman" w:cs="Times New Roman"/>
          <w:i/>
          <w:color w:val="0070C0"/>
        </w:rPr>
      </w:pPr>
    </w:p>
    <w:p w14:paraId="555FDE5C" w14:textId="59E2406B" w:rsidR="00A359A9" w:rsidRDefault="00A359A9" w:rsidP="00054C41">
      <w:pPr>
        <w:spacing w:after="0"/>
        <w:jc w:val="both"/>
        <w:rPr>
          <w:rFonts w:ascii="Times New Roman" w:eastAsia="Calibri" w:hAnsi="Times New Roman" w:cs="Times New Roman"/>
          <w:i/>
          <w:color w:val="0070C0"/>
        </w:rPr>
      </w:pPr>
    </w:p>
    <w:p w14:paraId="57CE3045" w14:textId="1C1EBA62" w:rsidR="00A359A9" w:rsidRDefault="00A359A9" w:rsidP="00054C41">
      <w:pPr>
        <w:spacing w:after="0"/>
        <w:jc w:val="both"/>
        <w:rPr>
          <w:rFonts w:ascii="Times New Roman" w:eastAsia="Calibri" w:hAnsi="Times New Roman" w:cs="Times New Roman"/>
          <w:i/>
          <w:color w:val="0070C0"/>
        </w:rPr>
      </w:pPr>
    </w:p>
    <w:p w14:paraId="61E109FB" w14:textId="1148CDDC" w:rsidR="00A359A9" w:rsidRDefault="00A359A9" w:rsidP="00054C41">
      <w:pPr>
        <w:spacing w:after="0"/>
        <w:jc w:val="both"/>
        <w:rPr>
          <w:rFonts w:ascii="Times New Roman" w:eastAsia="Calibri" w:hAnsi="Times New Roman" w:cs="Times New Roman"/>
          <w:i/>
          <w:color w:val="0070C0"/>
        </w:rPr>
      </w:pPr>
    </w:p>
    <w:p w14:paraId="310E2513" w14:textId="06B10D91" w:rsidR="00A359A9" w:rsidRDefault="00A359A9" w:rsidP="00054C41">
      <w:pPr>
        <w:spacing w:after="0"/>
        <w:jc w:val="both"/>
        <w:rPr>
          <w:rFonts w:ascii="Times New Roman" w:eastAsia="Calibri" w:hAnsi="Times New Roman" w:cs="Times New Roman"/>
          <w:i/>
          <w:color w:val="0070C0"/>
        </w:rPr>
      </w:pPr>
    </w:p>
    <w:p w14:paraId="516227FA" w14:textId="3DA4736B" w:rsidR="00A359A9" w:rsidRDefault="00A359A9" w:rsidP="00054C41">
      <w:pPr>
        <w:spacing w:after="0"/>
        <w:jc w:val="both"/>
        <w:rPr>
          <w:rFonts w:ascii="Times New Roman" w:eastAsia="Calibri" w:hAnsi="Times New Roman" w:cs="Times New Roman"/>
          <w:i/>
          <w:color w:val="0070C0"/>
        </w:rPr>
      </w:pPr>
    </w:p>
    <w:p w14:paraId="68ECA24A" w14:textId="591AE997" w:rsidR="00A359A9" w:rsidRDefault="00A359A9" w:rsidP="00054C41">
      <w:pPr>
        <w:spacing w:after="0"/>
        <w:jc w:val="both"/>
        <w:rPr>
          <w:rFonts w:ascii="Times New Roman" w:eastAsia="Calibri" w:hAnsi="Times New Roman" w:cs="Times New Roman"/>
          <w:i/>
          <w:color w:val="0070C0"/>
        </w:rPr>
      </w:pPr>
    </w:p>
    <w:p w14:paraId="78803798" w14:textId="69E1B814" w:rsidR="00A359A9" w:rsidRDefault="00A359A9" w:rsidP="00054C41">
      <w:pPr>
        <w:spacing w:after="0"/>
        <w:jc w:val="both"/>
        <w:rPr>
          <w:rFonts w:ascii="Times New Roman" w:eastAsia="Calibri" w:hAnsi="Times New Roman" w:cs="Times New Roman"/>
          <w:i/>
          <w:color w:val="0070C0"/>
        </w:rPr>
      </w:pPr>
    </w:p>
    <w:sectPr w:rsidR="00A359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7FDDF" w14:textId="77777777" w:rsidR="009B7DF6" w:rsidRDefault="009B7DF6" w:rsidP="00054C41">
      <w:pPr>
        <w:spacing w:after="0" w:line="240" w:lineRule="auto"/>
      </w:pPr>
      <w:r>
        <w:separator/>
      </w:r>
    </w:p>
  </w:endnote>
  <w:endnote w:type="continuationSeparator" w:id="0">
    <w:p w14:paraId="620745D4" w14:textId="77777777" w:rsidR="009B7DF6" w:rsidRDefault="009B7DF6"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9006"/>
      <w:docPartObj>
        <w:docPartGallery w:val="Page Numbers (Bottom of Page)"/>
        <w:docPartUnique/>
      </w:docPartObj>
    </w:sdtPr>
    <w:sdtEndPr>
      <w:rPr>
        <w:rFonts w:ascii="Times New Roman" w:hAnsi="Times New Roman" w:cs="Times New Roman"/>
        <w:sz w:val="20"/>
        <w:szCs w:val="20"/>
      </w:rPr>
    </w:sdtEndPr>
    <w:sdtContent>
      <w:p w14:paraId="157E1BCD" w14:textId="5EF4625C" w:rsidR="00C90365" w:rsidRPr="003D735C" w:rsidRDefault="00C90365">
        <w:pPr>
          <w:pStyle w:val="Pta"/>
          <w:jc w:val="center"/>
          <w:rPr>
            <w:rFonts w:ascii="Times New Roman" w:hAnsi="Times New Roman" w:cs="Times New Roman"/>
            <w:sz w:val="20"/>
            <w:szCs w:val="20"/>
          </w:rPr>
        </w:pPr>
        <w:r w:rsidRPr="003D735C">
          <w:rPr>
            <w:rFonts w:ascii="Times New Roman" w:hAnsi="Times New Roman" w:cs="Times New Roman"/>
            <w:sz w:val="20"/>
            <w:szCs w:val="20"/>
          </w:rPr>
          <w:fldChar w:fldCharType="begin"/>
        </w:r>
        <w:r w:rsidRPr="003D735C">
          <w:rPr>
            <w:rFonts w:ascii="Times New Roman" w:hAnsi="Times New Roman" w:cs="Times New Roman"/>
            <w:sz w:val="20"/>
            <w:szCs w:val="20"/>
          </w:rPr>
          <w:instrText>PAGE   \* MERGEFORMAT</w:instrText>
        </w:r>
        <w:r w:rsidRPr="003D735C">
          <w:rPr>
            <w:rFonts w:ascii="Times New Roman" w:hAnsi="Times New Roman" w:cs="Times New Roman"/>
            <w:sz w:val="20"/>
            <w:szCs w:val="20"/>
          </w:rPr>
          <w:fldChar w:fldCharType="separate"/>
        </w:r>
        <w:r w:rsidR="00B529FF">
          <w:rPr>
            <w:rFonts w:ascii="Times New Roman" w:hAnsi="Times New Roman" w:cs="Times New Roman"/>
            <w:noProof/>
            <w:sz w:val="20"/>
            <w:szCs w:val="20"/>
          </w:rPr>
          <w:t>1</w:t>
        </w:r>
        <w:r w:rsidRPr="003D735C">
          <w:rPr>
            <w:rFonts w:ascii="Times New Roman" w:hAnsi="Times New Roman" w:cs="Times New Roman"/>
            <w:sz w:val="20"/>
            <w:szCs w:val="20"/>
          </w:rPr>
          <w:fldChar w:fldCharType="end"/>
        </w:r>
      </w:p>
    </w:sdtContent>
  </w:sdt>
  <w:p w14:paraId="68AC3825" w14:textId="77777777" w:rsidR="00142154" w:rsidRDefault="001421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1F3ED" w14:textId="77777777" w:rsidR="009B7DF6" w:rsidRDefault="009B7DF6" w:rsidP="00054C41">
      <w:pPr>
        <w:spacing w:after="0" w:line="240" w:lineRule="auto"/>
      </w:pPr>
      <w:r>
        <w:separator/>
      </w:r>
    </w:p>
  </w:footnote>
  <w:footnote w:type="continuationSeparator" w:id="0">
    <w:p w14:paraId="1660A863" w14:textId="77777777" w:rsidR="009B7DF6" w:rsidRDefault="009B7DF6" w:rsidP="00054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54C41"/>
    <w:rsid w:val="00060DA1"/>
    <w:rsid w:val="000B29E3"/>
    <w:rsid w:val="000C5E9A"/>
    <w:rsid w:val="00142154"/>
    <w:rsid w:val="001B4C03"/>
    <w:rsid w:val="001D1083"/>
    <w:rsid w:val="001D3FA0"/>
    <w:rsid w:val="001E53CB"/>
    <w:rsid w:val="00225A83"/>
    <w:rsid w:val="00270EA5"/>
    <w:rsid w:val="00340CFD"/>
    <w:rsid w:val="0038255E"/>
    <w:rsid w:val="00391648"/>
    <w:rsid w:val="0039304E"/>
    <w:rsid w:val="003D735C"/>
    <w:rsid w:val="003E58B8"/>
    <w:rsid w:val="003F06D7"/>
    <w:rsid w:val="00445638"/>
    <w:rsid w:val="00446432"/>
    <w:rsid w:val="00481F62"/>
    <w:rsid w:val="004D20CB"/>
    <w:rsid w:val="00713FCE"/>
    <w:rsid w:val="007259CB"/>
    <w:rsid w:val="00743EF3"/>
    <w:rsid w:val="0077106D"/>
    <w:rsid w:val="007B40FB"/>
    <w:rsid w:val="007E1290"/>
    <w:rsid w:val="007E24B2"/>
    <w:rsid w:val="008634E9"/>
    <w:rsid w:val="008801B5"/>
    <w:rsid w:val="008B4AA1"/>
    <w:rsid w:val="008C1C71"/>
    <w:rsid w:val="00923C0C"/>
    <w:rsid w:val="009A4D56"/>
    <w:rsid w:val="009B7DF6"/>
    <w:rsid w:val="009E09F7"/>
    <w:rsid w:val="00A000DA"/>
    <w:rsid w:val="00A1736E"/>
    <w:rsid w:val="00A359A9"/>
    <w:rsid w:val="00B426AE"/>
    <w:rsid w:val="00B529FF"/>
    <w:rsid w:val="00B66E33"/>
    <w:rsid w:val="00BC65C0"/>
    <w:rsid w:val="00BD0EF7"/>
    <w:rsid w:val="00C21399"/>
    <w:rsid w:val="00C560C4"/>
    <w:rsid w:val="00C6748F"/>
    <w:rsid w:val="00C90365"/>
    <w:rsid w:val="00D005F2"/>
    <w:rsid w:val="00D631FA"/>
    <w:rsid w:val="00D82356"/>
    <w:rsid w:val="00D84EEE"/>
    <w:rsid w:val="00D90A61"/>
    <w:rsid w:val="00DD087F"/>
    <w:rsid w:val="00DF02CE"/>
    <w:rsid w:val="00E030DA"/>
    <w:rsid w:val="00EB2BEC"/>
    <w:rsid w:val="00EC0704"/>
    <w:rsid w:val="00ED6B5D"/>
    <w:rsid w:val="00EE4C99"/>
    <w:rsid w:val="00F74FC9"/>
    <w:rsid w:val="00FB6983"/>
    <w:rsid w:val="00FF3B86"/>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DCF725-9315-430C-BA87-C88E7CFD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11343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2</cp:revision>
  <dcterms:created xsi:type="dcterms:W3CDTF">2022-05-26T08:13:00Z</dcterms:created>
  <dcterms:modified xsi:type="dcterms:W3CDTF">2022-05-26T08:13:00Z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