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C063F" w:rsidP="00D473A1">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C063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Bez vplyvu. </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18"/>
                <w:szCs w:val="20"/>
                <w:lang w:eastAsia="sk-SK"/>
              </w:rPr>
            </w:pP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C063F" w:rsidP="00D473A1">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Bez vplyvu. </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C063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Bez vplyvu. </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18"/>
                <w:szCs w:val="20"/>
                <w:lang w:eastAsia="sk-SK"/>
              </w:rPr>
            </w:pP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Default="00CE4369" w:rsidP="00377D8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Vládny n</w:t>
            </w:r>
            <w:r w:rsidR="002C063F">
              <w:rPr>
                <w:rFonts w:ascii="Times New Roman" w:eastAsia="Calibri" w:hAnsi="Times New Roman" w:cs="Times New Roman"/>
                <w:sz w:val="20"/>
                <w:szCs w:val="20"/>
                <w:lang w:eastAsia="sk-SK"/>
              </w:rPr>
              <w:t xml:space="preserve">ávrh zákona má priamo pozitívny vplyv na osoby so zdravotným postihnutím pri poskytovaní </w:t>
            </w:r>
            <w:r w:rsidR="00377D82">
              <w:rPr>
                <w:rFonts w:ascii="Times New Roman" w:eastAsia="Calibri" w:hAnsi="Times New Roman" w:cs="Times New Roman"/>
                <w:sz w:val="20"/>
                <w:szCs w:val="20"/>
                <w:lang w:eastAsia="sk-SK"/>
              </w:rPr>
              <w:t xml:space="preserve">výrobkov a </w:t>
            </w:r>
            <w:r w:rsidR="002C063F">
              <w:rPr>
                <w:rFonts w:ascii="Times New Roman" w:eastAsia="Calibri" w:hAnsi="Times New Roman" w:cs="Times New Roman"/>
                <w:sz w:val="20"/>
                <w:szCs w:val="20"/>
                <w:lang w:eastAsia="sk-SK"/>
              </w:rPr>
              <w:t>služieb</w:t>
            </w:r>
            <w:r w:rsidR="00D473A1">
              <w:rPr>
                <w:rFonts w:ascii="Times New Roman" w:eastAsia="Calibri" w:hAnsi="Times New Roman" w:cs="Times New Roman"/>
                <w:sz w:val="20"/>
                <w:szCs w:val="20"/>
                <w:lang w:eastAsia="sk-SK"/>
              </w:rPr>
              <w:t>.</w:t>
            </w:r>
            <w:r w:rsidR="002C063F">
              <w:rPr>
                <w:rFonts w:ascii="Times New Roman" w:eastAsia="Calibri" w:hAnsi="Times New Roman" w:cs="Times New Roman"/>
                <w:sz w:val="20"/>
                <w:szCs w:val="20"/>
                <w:lang w:eastAsia="sk-SK"/>
              </w:rPr>
              <w:t xml:space="preserve"> </w:t>
            </w:r>
          </w:p>
          <w:p w:rsidR="00377D82" w:rsidRPr="00377D82" w:rsidRDefault="00D473A1" w:rsidP="00377D82">
            <w:pPr>
              <w:spacing w:after="0" w:line="240" w:lineRule="auto"/>
              <w:jc w:val="both"/>
              <w:rPr>
                <w:rFonts w:ascii="Times New Roman" w:eastAsia="Calibri" w:hAnsi="Times New Roman" w:cs="Times New Roman"/>
                <w:sz w:val="20"/>
                <w:szCs w:val="20"/>
                <w:lang w:eastAsia="sk-SK"/>
              </w:rPr>
            </w:pPr>
            <w:r w:rsidRPr="00D473A1">
              <w:rPr>
                <w:rFonts w:ascii="Times New Roman" w:eastAsia="Calibri" w:hAnsi="Times New Roman" w:cs="Times New Roman"/>
                <w:sz w:val="20"/>
                <w:szCs w:val="20"/>
                <w:lang w:eastAsia="sk-SK"/>
              </w:rPr>
              <w:t xml:space="preserve">Predmetom </w:t>
            </w:r>
            <w:r w:rsidR="00CE4369">
              <w:rPr>
                <w:rFonts w:ascii="Times New Roman" w:eastAsia="Calibri" w:hAnsi="Times New Roman" w:cs="Times New Roman"/>
                <w:sz w:val="20"/>
                <w:szCs w:val="20"/>
                <w:lang w:eastAsia="sk-SK"/>
              </w:rPr>
              <w:t xml:space="preserve">vládneho </w:t>
            </w:r>
            <w:r w:rsidRPr="00D473A1">
              <w:rPr>
                <w:rFonts w:ascii="Times New Roman" w:eastAsia="Calibri" w:hAnsi="Times New Roman" w:cs="Times New Roman"/>
                <w:sz w:val="20"/>
                <w:szCs w:val="20"/>
                <w:lang w:eastAsia="sk-SK"/>
              </w:rPr>
              <w:t>návrhu zákona je definovať požiadavky na prístupnosť určitých</w:t>
            </w:r>
            <w:r w:rsidR="00377D82">
              <w:rPr>
                <w:rFonts w:ascii="Times New Roman" w:eastAsia="Calibri" w:hAnsi="Times New Roman" w:cs="Times New Roman"/>
                <w:sz w:val="20"/>
                <w:szCs w:val="20"/>
                <w:lang w:eastAsia="sk-SK"/>
              </w:rPr>
              <w:t xml:space="preserve"> výrobkov a</w:t>
            </w:r>
            <w:r w:rsidRPr="00D473A1">
              <w:rPr>
                <w:rFonts w:ascii="Times New Roman" w:eastAsia="Calibri" w:hAnsi="Times New Roman" w:cs="Times New Roman"/>
                <w:sz w:val="20"/>
                <w:szCs w:val="20"/>
                <w:lang w:eastAsia="sk-SK"/>
              </w:rPr>
              <w:t xml:space="preserve"> služieb. Službami v rámci smernice sú najmä elektronické komunikačné služby, služby poskytujúce prístup k mediálnym službám, služby v oblasti dopravy, bankové vybrané finančné služby, služby elektronického obchodu a iné.</w:t>
            </w:r>
            <w:r>
              <w:rPr>
                <w:rFonts w:ascii="Times New Roman" w:eastAsia="Calibri" w:hAnsi="Times New Roman" w:cs="Times New Roman"/>
                <w:sz w:val="20"/>
                <w:szCs w:val="20"/>
                <w:lang w:eastAsia="sk-SK"/>
              </w:rPr>
              <w:t xml:space="preserve"> </w:t>
            </w:r>
            <w:r w:rsidR="00377D82" w:rsidRPr="00377D82">
              <w:rPr>
                <w:rFonts w:ascii="Times New Roman" w:eastAsia="Calibri" w:hAnsi="Times New Roman" w:cs="Times New Roman"/>
                <w:sz w:val="20"/>
                <w:szCs w:val="20"/>
                <w:lang w:eastAsia="sk-SK"/>
              </w:rPr>
              <w:t>Technické požiadavky na prístupnosť výrobkov pre osoby so zdravotným postihnutím sa navrhuje upraviť aproximačným nariadením vlády Slovenskej republiky.</w:t>
            </w:r>
          </w:p>
          <w:p w:rsidR="002644DE" w:rsidRPr="002644DE" w:rsidRDefault="008C4FF6" w:rsidP="00377D8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Cieľom </w:t>
            </w:r>
            <w:r w:rsidR="00CE4369">
              <w:rPr>
                <w:rFonts w:ascii="Times New Roman" w:eastAsia="Calibri" w:hAnsi="Times New Roman" w:cs="Times New Roman"/>
                <w:sz w:val="20"/>
                <w:szCs w:val="20"/>
                <w:lang w:eastAsia="sk-SK"/>
              </w:rPr>
              <w:t xml:space="preserve">vládneho </w:t>
            </w:r>
            <w:r>
              <w:rPr>
                <w:rFonts w:ascii="Times New Roman" w:eastAsia="Calibri" w:hAnsi="Times New Roman" w:cs="Times New Roman"/>
                <w:sz w:val="20"/>
                <w:szCs w:val="20"/>
                <w:lang w:eastAsia="sk-SK"/>
              </w:rPr>
              <w:t>návrhu zákona je z</w:t>
            </w:r>
            <w:r w:rsidRPr="008C4FF6">
              <w:rPr>
                <w:rFonts w:ascii="Times New Roman" w:eastAsia="Calibri" w:hAnsi="Times New Roman" w:cs="Times New Roman"/>
                <w:sz w:val="20"/>
                <w:szCs w:val="20"/>
                <w:lang w:eastAsia="sk-SK"/>
              </w:rPr>
              <w:t xml:space="preserve">výšenie dostupnosti </w:t>
            </w:r>
            <w:r w:rsidR="00377D82">
              <w:rPr>
                <w:rFonts w:ascii="Times New Roman" w:eastAsia="Calibri" w:hAnsi="Times New Roman" w:cs="Times New Roman"/>
                <w:sz w:val="20"/>
                <w:szCs w:val="20"/>
                <w:lang w:eastAsia="sk-SK"/>
              </w:rPr>
              <w:t xml:space="preserve">výrobkov a </w:t>
            </w:r>
            <w:r>
              <w:rPr>
                <w:rFonts w:ascii="Times New Roman" w:eastAsia="Calibri" w:hAnsi="Times New Roman" w:cs="Times New Roman"/>
                <w:sz w:val="20"/>
                <w:szCs w:val="20"/>
                <w:lang w:eastAsia="sk-SK"/>
              </w:rPr>
              <w:t xml:space="preserve">služieb </w:t>
            </w:r>
            <w:r w:rsidRPr="008C4FF6">
              <w:rPr>
                <w:rFonts w:ascii="Times New Roman" w:eastAsia="Calibri" w:hAnsi="Times New Roman" w:cs="Times New Roman"/>
                <w:sz w:val="20"/>
                <w:szCs w:val="20"/>
                <w:lang w:eastAsia="sk-SK"/>
              </w:rPr>
              <w:t>na vnútornom trhu a zlepšenie prístupnosti informácií</w:t>
            </w:r>
            <w:r w:rsidR="00D473A1">
              <w:rPr>
                <w:rFonts w:ascii="Times New Roman" w:eastAsia="Calibri" w:hAnsi="Times New Roman" w:cs="Times New Roman"/>
                <w:sz w:val="20"/>
                <w:szCs w:val="20"/>
                <w:lang w:eastAsia="sk-SK"/>
              </w:rPr>
              <w:t xml:space="preserve"> pre osoby so zdravotným postihnutím a prostredníctvom tejto úpravy</w:t>
            </w:r>
            <w:r w:rsidRPr="008C4FF6">
              <w:rPr>
                <w:rFonts w:ascii="Times New Roman" w:eastAsia="Calibri" w:hAnsi="Times New Roman" w:cs="Times New Roman"/>
                <w:sz w:val="20"/>
                <w:szCs w:val="20"/>
                <w:lang w:eastAsia="sk-SK"/>
              </w:rPr>
              <w:t xml:space="preserve"> vytvoriť </w:t>
            </w:r>
            <w:proofErr w:type="spellStart"/>
            <w:r w:rsidRPr="008C4FF6">
              <w:rPr>
                <w:rFonts w:ascii="Times New Roman" w:eastAsia="Calibri" w:hAnsi="Times New Roman" w:cs="Times New Roman"/>
                <w:sz w:val="20"/>
                <w:szCs w:val="20"/>
                <w:lang w:eastAsia="sk-SK"/>
              </w:rPr>
              <w:t>inkluzívne</w:t>
            </w:r>
            <w:r w:rsidR="00D473A1">
              <w:rPr>
                <w:rFonts w:ascii="Times New Roman" w:eastAsia="Calibri" w:hAnsi="Times New Roman" w:cs="Times New Roman"/>
                <w:sz w:val="20"/>
                <w:szCs w:val="20"/>
                <w:lang w:eastAsia="sk-SK"/>
              </w:rPr>
              <w:t>jšiu</w:t>
            </w:r>
            <w:proofErr w:type="spellEnd"/>
            <w:r w:rsidR="00D473A1">
              <w:rPr>
                <w:rFonts w:ascii="Times New Roman" w:eastAsia="Calibri" w:hAnsi="Times New Roman" w:cs="Times New Roman"/>
                <w:sz w:val="20"/>
                <w:szCs w:val="20"/>
                <w:lang w:eastAsia="sk-SK"/>
              </w:rPr>
              <w:t xml:space="preserve"> spoločnosť a súčasne uľahčiť</w:t>
            </w:r>
            <w:r w:rsidRPr="008C4FF6">
              <w:rPr>
                <w:rFonts w:ascii="Times New Roman" w:eastAsia="Calibri" w:hAnsi="Times New Roman" w:cs="Times New Roman"/>
                <w:sz w:val="20"/>
                <w:szCs w:val="20"/>
                <w:lang w:eastAsia="sk-SK"/>
              </w:rPr>
              <w:t xml:space="preserve"> nezávislý život osobám so zdravotným postihnutím</w:t>
            </w:r>
            <w:r w:rsidR="00D473A1">
              <w:rPr>
                <w:rFonts w:ascii="Times New Roman" w:eastAsia="Calibri" w:hAnsi="Times New Roman" w:cs="Times New Roman"/>
                <w:sz w:val="20"/>
                <w:szCs w:val="20"/>
                <w:lang w:eastAsia="sk-SK"/>
              </w:rPr>
              <w:t>.</w:t>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D473A1"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Osoby so zdravotným postihnutím</w:t>
            </w:r>
            <w:r w:rsidR="00453797">
              <w:rPr>
                <w:rFonts w:ascii="Times New Roman" w:eastAsia="Calibri" w:hAnsi="Times New Roman" w:cs="Times New Roman"/>
                <w:sz w:val="20"/>
                <w:lang w:eastAsia="sk-SK"/>
              </w:rPr>
              <w:t xml:space="preserve"> </w:t>
            </w: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CE4369" w:rsidP="002644DE">
            <w:pPr>
              <w:rPr>
                <w:rFonts w:ascii="Times New Roman" w:eastAsia="Calibri" w:hAnsi="Times New Roman" w:cs="Times New Roman"/>
                <w:i/>
                <w:sz w:val="20"/>
              </w:rPr>
            </w:pPr>
            <w:r>
              <w:rPr>
                <w:rFonts w:ascii="Times New Roman" w:eastAsia="Calibri" w:hAnsi="Times New Roman" w:cs="Times New Roman"/>
                <w:i/>
                <w:sz w:val="20"/>
              </w:rPr>
              <w:t>Vládny n</w:t>
            </w:r>
            <w:r w:rsidR="005B156C">
              <w:rPr>
                <w:rFonts w:ascii="Times New Roman" w:eastAsia="Calibri" w:hAnsi="Times New Roman" w:cs="Times New Roman"/>
                <w:i/>
                <w:sz w:val="20"/>
              </w:rPr>
              <w:t xml:space="preserve">ávrh zákona zlepšuje poskytovanie služieb pre osoby so zdravotným postihnutím. Tým sa dodržiava a zlepšuje povinnosť rovnakého zaobchádzania tejto skupiny obyvateľov pri službách vo viacerých oblastiach podľa § 2 ods. 1 </w:t>
            </w:r>
            <w:r>
              <w:rPr>
                <w:rFonts w:ascii="Times New Roman" w:eastAsia="Calibri" w:hAnsi="Times New Roman" w:cs="Times New Roman"/>
                <w:i/>
                <w:sz w:val="20"/>
              </w:rPr>
              <w:t xml:space="preserve">vládneho </w:t>
            </w:r>
            <w:r w:rsidR="005B156C">
              <w:rPr>
                <w:rFonts w:ascii="Times New Roman" w:eastAsia="Calibri" w:hAnsi="Times New Roman" w:cs="Times New Roman"/>
                <w:i/>
                <w:sz w:val="20"/>
              </w:rPr>
              <w:t xml:space="preserve">návrhu zákona. </w:t>
            </w: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5B156C"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5B156C"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5B156C"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5B156C"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5B1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5B1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5B1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5B156C" w:rsidRPr="005B156C" w:rsidRDefault="005B156C" w:rsidP="002644DE">
            <w:pPr>
              <w:spacing w:after="0" w:line="240" w:lineRule="auto"/>
              <w:rPr>
                <w:rFonts w:ascii="Times New Roman" w:eastAsia="Calibri" w:hAnsi="Times New Roman" w:cs="Times New Roman"/>
                <w:sz w:val="20"/>
              </w:rPr>
            </w:pP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5571CA"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5571CA"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bl>
    <w:p w:rsidR="00274130" w:rsidRDefault="00B43E24" w:rsidP="00377D82">
      <w:pPr>
        <w:spacing w:after="0" w:line="240" w:lineRule="auto"/>
        <w:outlineLvl w:val="0"/>
      </w:pPr>
      <w:bookmarkStart w:id="0" w:name="_GoBack"/>
      <w:bookmarkEnd w:id="0"/>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24" w:rsidRDefault="00B43E24" w:rsidP="002644DE">
      <w:pPr>
        <w:spacing w:after="0" w:line="240" w:lineRule="auto"/>
      </w:pPr>
      <w:r>
        <w:separator/>
      </w:r>
    </w:p>
  </w:endnote>
  <w:endnote w:type="continuationSeparator" w:id="0">
    <w:p w:rsidR="00B43E24" w:rsidRDefault="00B43E24"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819127"/>
      <w:docPartObj>
        <w:docPartGallery w:val="Page Numbers (Bottom of Page)"/>
        <w:docPartUnique/>
      </w:docPartObj>
    </w:sdtPr>
    <w:sdtContent>
      <w:p w:rsidR="00DF30B1" w:rsidRDefault="00DF30B1">
        <w:pPr>
          <w:pStyle w:val="Pta"/>
          <w:jc w:val="center"/>
        </w:pPr>
        <w:r>
          <w:fldChar w:fldCharType="begin"/>
        </w:r>
        <w:r>
          <w:instrText>PAGE   \* MERGEFORMAT</w:instrText>
        </w:r>
        <w:r>
          <w:fldChar w:fldCharType="separate"/>
        </w:r>
        <w:r>
          <w:rPr>
            <w:noProof/>
          </w:rPr>
          <w:t>2</w:t>
        </w:r>
        <w:r>
          <w:fldChar w:fldCharType="end"/>
        </w:r>
      </w:p>
    </w:sdtContent>
  </w:sdt>
  <w:p w:rsidR="002644DE" w:rsidRPr="001D6749" w:rsidRDefault="002644DE">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464419"/>
      <w:docPartObj>
        <w:docPartGallery w:val="Page Numbers (Bottom of Page)"/>
        <w:docPartUnique/>
      </w:docPartObj>
    </w:sdtPr>
    <w:sdtContent>
      <w:p w:rsidR="00DF30B1" w:rsidRDefault="00DF30B1">
        <w:pPr>
          <w:pStyle w:val="Pta"/>
          <w:jc w:val="center"/>
        </w:pPr>
        <w:r>
          <w:fldChar w:fldCharType="begin"/>
        </w:r>
        <w:r>
          <w:instrText>PAGE   \* MERGEFORMAT</w:instrText>
        </w:r>
        <w:r>
          <w:fldChar w:fldCharType="separate"/>
        </w:r>
        <w:r>
          <w:rPr>
            <w:noProof/>
          </w:rPr>
          <w:t>5</w:t>
        </w:r>
        <w:r>
          <w:fldChar w:fldCharType="end"/>
        </w:r>
      </w:p>
    </w:sdtContent>
  </w:sdt>
  <w:p w:rsidR="002644DE" w:rsidRPr="001D6749" w:rsidRDefault="002644DE">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24" w:rsidRDefault="00B43E24" w:rsidP="002644DE">
      <w:pPr>
        <w:spacing w:after="0" w:line="240" w:lineRule="auto"/>
      </w:pPr>
      <w:r>
        <w:separator/>
      </w:r>
    </w:p>
  </w:footnote>
  <w:footnote w:type="continuationSeparator" w:id="0">
    <w:p w:rsidR="00B43E24" w:rsidRDefault="00B43E24"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A7DE9"/>
    <w:rsid w:val="002644DE"/>
    <w:rsid w:val="002C063F"/>
    <w:rsid w:val="00377D82"/>
    <w:rsid w:val="00382021"/>
    <w:rsid w:val="0040256B"/>
    <w:rsid w:val="00431408"/>
    <w:rsid w:val="00433C47"/>
    <w:rsid w:val="00437EFB"/>
    <w:rsid w:val="00453797"/>
    <w:rsid w:val="004F2137"/>
    <w:rsid w:val="00540C7F"/>
    <w:rsid w:val="005571CA"/>
    <w:rsid w:val="005B156C"/>
    <w:rsid w:val="00636449"/>
    <w:rsid w:val="006D67E9"/>
    <w:rsid w:val="00733744"/>
    <w:rsid w:val="007616A3"/>
    <w:rsid w:val="007724E5"/>
    <w:rsid w:val="007E57E7"/>
    <w:rsid w:val="007F58AE"/>
    <w:rsid w:val="007F6319"/>
    <w:rsid w:val="00833085"/>
    <w:rsid w:val="008801B5"/>
    <w:rsid w:val="008C4FF6"/>
    <w:rsid w:val="0095188C"/>
    <w:rsid w:val="009E09F7"/>
    <w:rsid w:val="00B02A83"/>
    <w:rsid w:val="00B43E24"/>
    <w:rsid w:val="00B90526"/>
    <w:rsid w:val="00BD141A"/>
    <w:rsid w:val="00CD1029"/>
    <w:rsid w:val="00CE1D10"/>
    <w:rsid w:val="00CE4369"/>
    <w:rsid w:val="00D473A1"/>
    <w:rsid w:val="00D60AB9"/>
    <w:rsid w:val="00DD3CE8"/>
    <w:rsid w:val="00DF30B1"/>
    <w:rsid w:val="00EF30E5"/>
    <w:rsid w:val="00EF51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2C063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06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1783</Words>
  <Characters>10168</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4</cp:revision>
  <dcterms:created xsi:type="dcterms:W3CDTF">2022-05-26T08:58:00Z</dcterms:created>
  <dcterms:modified xsi:type="dcterms:W3CDTF">2022-05-26T09:04:00Z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