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156AD" w14:textId="77777777" w:rsidR="003A743C" w:rsidRDefault="003A743C" w:rsidP="003A743C">
      <w:pPr>
        <w:jc w:val="center"/>
        <w:rPr>
          <w:b/>
          <w:caps/>
          <w:spacing w:val="30"/>
          <w:sz w:val="25"/>
          <w:szCs w:val="25"/>
        </w:rPr>
      </w:pPr>
      <w:bookmarkStart w:id="0" w:name="_GoBack"/>
      <w:bookmarkEnd w:id="0"/>
      <w:r>
        <w:rPr>
          <w:b/>
          <w:caps/>
          <w:spacing w:val="30"/>
          <w:sz w:val="25"/>
          <w:szCs w:val="25"/>
        </w:rPr>
        <w:t>Doložka zlučiteľnosti</w:t>
      </w:r>
    </w:p>
    <w:p w14:paraId="2EB7091C" w14:textId="77777777" w:rsidR="003A743C" w:rsidRDefault="003A743C" w:rsidP="003A743C">
      <w:pPr>
        <w:jc w:val="center"/>
        <w:rPr>
          <w:b/>
          <w:sz w:val="25"/>
          <w:szCs w:val="25"/>
        </w:rPr>
      </w:pPr>
      <w:r>
        <w:rPr>
          <w:b/>
          <w:sz w:val="25"/>
          <w:szCs w:val="25"/>
        </w:rPr>
        <w:t xml:space="preserve">návrhu </w:t>
      </w:r>
      <w:r w:rsidR="00342F84">
        <w:rPr>
          <w:b/>
          <w:szCs w:val="22"/>
        </w:rPr>
        <w:t>zákona</w:t>
      </w:r>
      <w:r>
        <w:rPr>
          <w:b/>
          <w:sz w:val="25"/>
          <w:szCs w:val="25"/>
        </w:rPr>
        <w:t xml:space="preserve"> s právom Európskej únie</w:t>
      </w:r>
    </w:p>
    <w:p w14:paraId="3EE53DFB" w14:textId="77777777" w:rsidR="003A743C" w:rsidRDefault="003A743C" w:rsidP="003A743C">
      <w:pPr>
        <w:jc w:val="center"/>
        <w:rPr>
          <w:b/>
          <w:sz w:val="25"/>
          <w:szCs w:val="25"/>
        </w:rPr>
      </w:pPr>
    </w:p>
    <w:p w14:paraId="7B87929B" w14:textId="77777777" w:rsidR="003A743C" w:rsidRDefault="003A743C" w:rsidP="003A743C">
      <w:pPr>
        <w:jc w:val="center"/>
        <w:rPr>
          <w:b/>
          <w:sz w:val="25"/>
          <w:szCs w:val="25"/>
        </w:rPr>
      </w:pPr>
    </w:p>
    <w:tbl>
      <w:tblPr>
        <w:tblStyle w:val="Mriekatabuky"/>
        <w:tblW w:w="10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3A743C" w:rsidRPr="00D960AA" w14:paraId="1370D74C" w14:textId="77777777" w:rsidTr="003A743C">
        <w:tc>
          <w:tcPr>
            <w:tcW w:w="404" w:type="dxa"/>
            <w:hideMark/>
          </w:tcPr>
          <w:p w14:paraId="1B104F01" w14:textId="77777777" w:rsidR="003A743C" w:rsidRPr="00D960AA" w:rsidRDefault="003A743C">
            <w:pPr>
              <w:tabs>
                <w:tab w:val="left" w:pos="360"/>
              </w:tabs>
              <w:rPr>
                <w:b/>
              </w:rPr>
            </w:pPr>
            <w:r w:rsidRPr="00D960AA">
              <w:rPr>
                <w:b/>
              </w:rPr>
              <w:t>1.</w:t>
            </w:r>
          </w:p>
        </w:tc>
        <w:tc>
          <w:tcPr>
            <w:tcW w:w="9627" w:type="dxa"/>
            <w:hideMark/>
          </w:tcPr>
          <w:p w14:paraId="5BB3953B" w14:textId="09DA6055" w:rsidR="003A743C" w:rsidRPr="00D960AA" w:rsidRDefault="00342F84">
            <w:pPr>
              <w:tabs>
                <w:tab w:val="left" w:pos="360"/>
              </w:tabs>
            </w:pPr>
            <w:r w:rsidRPr="00D960AA">
              <w:rPr>
                <w:b/>
                <w:bCs/>
              </w:rPr>
              <w:t>Navrhovateľ zákona</w:t>
            </w:r>
            <w:r w:rsidR="003A743C" w:rsidRPr="00D960AA">
              <w:rPr>
                <w:b/>
              </w:rPr>
              <w:t>:</w:t>
            </w:r>
            <w:r w:rsidR="003A743C" w:rsidRPr="00D960AA">
              <w:t xml:space="preserve"> </w:t>
            </w:r>
            <w:r w:rsidR="000A6FAB">
              <w:t>vláda</w:t>
            </w:r>
            <w:r w:rsidR="000A6FAB" w:rsidRPr="00266669">
              <w:t xml:space="preserve"> Slovenskej republiky</w:t>
            </w:r>
          </w:p>
        </w:tc>
      </w:tr>
      <w:tr w:rsidR="003A743C" w:rsidRPr="00D960AA" w14:paraId="5053048D" w14:textId="77777777" w:rsidTr="003A743C">
        <w:tc>
          <w:tcPr>
            <w:tcW w:w="404" w:type="dxa"/>
          </w:tcPr>
          <w:p w14:paraId="6B00306F" w14:textId="77777777" w:rsidR="003A743C" w:rsidRPr="00D960AA" w:rsidRDefault="003A743C">
            <w:pPr>
              <w:tabs>
                <w:tab w:val="left" w:pos="360"/>
              </w:tabs>
            </w:pPr>
          </w:p>
        </w:tc>
        <w:tc>
          <w:tcPr>
            <w:tcW w:w="9627" w:type="dxa"/>
          </w:tcPr>
          <w:p w14:paraId="014F0A83" w14:textId="77777777" w:rsidR="003A743C" w:rsidRPr="00D960AA" w:rsidRDefault="003A743C">
            <w:pPr>
              <w:tabs>
                <w:tab w:val="left" w:pos="360"/>
              </w:tabs>
            </w:pPr>
          </w:p>
        </w:tc>
      </w:tr>
      <w:tr w:rsidR="003A743C" w:rsidRPr="00D960AA" w14:paraId="7B3487A4" w14:textId="77777777" w:rsidTr="00125F71">
        <w:trPr>
          <w:trHeight w:val="60"/>
        </w:trPr>
        <w:tc>
          <w:tcPr>
            <w:tcW w:w="404" w:type="dxa"/>
            <w:hideMark/>
          </w:tcPr>
          <w:p w14:paraId="1BE28193" w14:textId="77777777" w:rsidR="003A743C" w:rsidRPr="00D960AA" w:rsidRDefault="003A743C">
            <w:pPr>
              <w:tabs>
                <w:tab w:val="left" w:pos="360"/>
              </w:tabs>
              <w:rPr>
                <w:b/>
              </w:rPr>
            </w:pPr>
            <w:r w:rsidRPr="00D960AA">
              <w:rPr>
                <w:b/>
              </w:rPr>
              <w:t>2.</w:t>
            </w:r>
          </w:p>
        </w:tc>
        <w:tc>
          <w:tcPr>
            <w:tcW w:w="9627" w:type="dxa"/>
            <w:hideMark/>
          </w:tcPr>
          <w:p w14:paraId="5B919601" w14:textId="1AD9DB9E" w:rsidR="003A743C" w:rsidRPr="00D960AA" w:rsidRDefault="003A743C" w:rsidP="00457324">
            <w:pPr>
              <w:tabs>
                <w:tab w:val="left" w:pos="360"/>
              </w:tabs>
            </w:pPr>
            <w:r w:rsidRPr="00D960AA">
              <w:rPr>
                <w:b/>
              </w:rPr>
              <w:t xml:space="preserve">Názov návrhu </w:t>
            </w:r>
            <w:r w:rsidR="00342F84" w:rsidRPr="00D960AA">
              <w:rPr>
                <w:b/>
              </w:rPr>
              <w:t>zákona</w:t>
            </w:r>
            <w:r w:rsidRPr="00D960AA">
              <w:rPr>
                <w:b/>
              </w:rPr>
              <w:t>:</w:t>
            </w:r>
            <w:r w:rsidRPr="00D960AA">
              <w:t xml:space="preserve"> </w:t>
            </w:r>
            <w:r w:rsidR="000A6FAB">
              <w:t xml:space="preserve">vládny </w:t>
            </w:r>
            <w:r w:rsidR="008A01AF" w:rsidRPr="00D960AA">
              <w:t>n</w:t>
            </w:r>
            <w:r w:rsidR="0013060F" w:rsidRPr="00D960AA">
              <w:t>ávrh zákona o  prístupnos</w:t>
            </w:r>
            <w:r w:rsidR="00457324">
              <w:t>ti</w:t>
            </w:r>
            <w:r w:rsidR="0013060F" w:rsidRPr="00D960AA">
              <w:t> služieb pre osoby so zdravotným postihnutím</w:t>
            </w:r>
            <w:r w:rsidR="0013060F" w:rsidRPr="00D960AA" w:rsidDel="0013060F">
              <w:t xml:space="preserve"> </w:t>
            </w:r>
            <w:r w:rsidR="00537F97" w:rsidRPr="00D960AA">
              <w:t>a</w:t>
            </w:r>
            <w:r w:rsidR="00034709">
              <w:t> </w:t>
            </w:r>
            <w:r w:rsidR="00537F97" w:rsidRPr="00D960AA">
              <w:t>o</w:t>
            </w:r>
            <w:r w:rsidR="00034709">
              <w:t> zmene a</w:t>
            </w:r>
            <w:r w:rsidR="00537F97" w:rsidRPr="00D960AA">
              <w:t xml:space="preserve"> doplnení niektorých zákonov</w:t>
            </w:r>
            <w:r w:rsidRPr="00D960AA">
              <w:fldChar w:fldCharType="begin"/>
            </w:r>
            <w:r w:rsidRPr="00D960AA">
              <w:instrText xml:space="preserve"> DOCPROPERTY  FSC#SKEDITIONSLOVLEX@103.510:plnynazovpredpis2  \* MERGEFORMAT </w:instrText>
            </w:r>
            <w:r w:rsidRPr="00D960AA">
              <w:fldChar w:fldCharType="end"/>
            </w:r>
            <w:r w:rsidRPr="00D960AA">
              <w:fldChar w:fldCharType="begin"/>
            </w:r>
            <w:r w:rsidRPr="00D960AA">
              <w:instrText xml:space="preserve"> DOCPROPERTY  FSC#SKEDITIONSLOVLEX@103.510:plnynazovpredpis3  \* MERGEFORMAT </w:instrText>
            </w:r>
            <w:r w:rsidRPr="00D960AA">
              <w:fldChar w:fldCharType="end"/>
            </w:r>
          </w:p>
        </w:tc>
      </w:tr>
      <w:tr w:rsidR="003A743C" w:rsidRPr="00D960AA" w14:paraId="5537CC2A" w14:textId="77777777" w:rsidTr="003A743C">
        <w:tc>
          <w:tcPr>
            <w:tcW w:w="404" w:type="dxa"/>
          </w:tcPr>
          <w:p w14:paraId="29449245" w14:textId="77777777" w:rsidR="003A743C" w:rsidRPr="00D960AA" w:rsidRDefault="003A743C">
            <w:pPr>
              <w:tabs>
                <w:tab w:val="left" w:pos="360"/>
              </w:tabs>
            </w:pPr>
          </w:p>
        </w:tc>
        <w:tc>
          <w:tcPr>
            <w:tcW w:w="9627" w:type="dxa"/>
          </w:tcPr>
          <w:p w14:paraId="46AC25ED" w14:textId="77777777" w:rsidR="003A743C" w:rsidRPr="00D960AA" w:rsidRDefault="003A743C">
            <w:pPr>
              <w:tabs>
                <w:tab w:val="left" w:pos="360"/>
              </w:tabs>
            </w:pPr>
          </w:p>
        </w:tc>
      </w:tr>
      <w:tr w:rsidR="00342F84" w:rsidRPr="00D960AA" w14:paraId="47D733FA" w14:textId="77777777" w:rsidTr="003A743C">
        <w:tc>
          <w:tcPr>
            <w:tcW w:w="404" w:type="dxa"/>
            <w:hideMark/>
          </w:tcPr>
          <w:p w14:paraId="58A043A5" w14:textId="77777777" w:rsidR="00342F84" w:rsidRPr="00D960AA" w:rsidRDefault="00342F84">
            <w:pPr>
              <w:tabs>
                <w:tab w:val="left" w:pos="360"/>
              </w:tabs>
              <w:rPr>
                <w:b/>
              </w:rPr>
            </w:pPr>
            <w:r w:rsidRPr="00D960AA">
              <w:rPr>
                <w:b/>
              </w:rPr>
              <w:t>3.</w:t>
            </w:r>
          </w:p>
        </w:tc>
        <w:tc>
          <w:tcPr>
            <w:tcW w:w="9627" w:type="dxa"/>
          </w:tcPr>
          <w:p w14:paraId="174FE95C" w14:textId="77777777" w:rsidR="00342F84" w:rsidRPr="00D960AA" w:rsidRDefault="00342F84">
            <w:pPr>
              <w:tabs>
                <w:tab w:val="left" w:pos="360"/>
              </w:tabs>
              <w:rPr>
                <w:b/>
                <w:bCs/>
              </w:rPr>
            </w:pPr>
            <w:r w:rsidRPr="00D960AA">
              <w:rPr>
                <w:b/>
                <w:bCs/>
              </w:rPr>
              <w:t>Predmet návrhu zákona je upravený v práve Európskej únie:</w:t>
            </w:r>
          </w:p>
          <w:p w14:paraId="6FB82EC8" w14:textId="77777777" w:rsidR="00342F84" w:rsidRPr="00D960AA" w:rsidRDefault="00342F84">
            <w:pPr>
              <w:tabs>
                <w:tab w:val="left" w:pos="360"/>
              </w:tabs>
              <w:rPr>
                <w:b/>
                <w:bCs/>
              </w:rPr>
            </w:pPr>
          </w:p>
          <w:p w14:paraId="07E7AFFC" w14:textId="77777777" w:rsidR="00342F84" w:rsidRPr="00D960AA" w:rsidRDefault="00125F71" w:rsidP="00342F84">
            <w:pPr>
              <w:pStyle w:val="Zkladntext"/>
              <w:numPr>
                <w:ilvl w:val="1"/>
                <w:numId w:val="2"/>
              </w:numPr>
              <w:spacing w:after="0"/>
            </w:pPr>
            <w:r w:rsidRPr="00D960AA">
              <w:t>v primárnom práve</w:t>
            </w:r>
          </w:p>
          <w:p w14:paraId="5E571DCD" w14:textId="77777777" w:rsidR="00125F71" w:rsidRPr="00D960AA" w:rsidRDefault="00125F71" w:rsidP="00125F71">
            <w:pPr>
              <w:pStyle w:val="Zkladntext"/>
              <w:spacing w:after="0"/>
              <w:ind w:left="850"/>
            </w:pPr>
          </w:p>
          <w:p w14:paraId="4F1F37B5" w14:textId="77777777" w:rsidR="0013060F" w:rsidRPr="00D960AA" w:rsidRDefault="0013060F" w:rsidP="00125F71">
            <w:pPr>
              <w:pStyle w:val="Zkladntext"/>
              <w:spacing w:after="0"/>
              <w:ind w:left="850"/>
              <w:rPr>
                <w:i/>
              </w:rPr>
            </w:pPr>
            <w:r w:rsidRPr="00D960AA">
              <w:rPr>
                <w:i/>
              </w:rPr>
              <w:t xml:space="preserve">Zmluva o fungovaní </w:t>
            </w:r>
            <w:r w:rsidR="00125F71" w:rsidRPr="00D960AA">
              <w:rPr>
                <w:i/>
              </w:rPr>
              <w:t xml:space="preserve">Európskej únie - </w:t>
            </w:r>
            <w:r w:rsidRPr="00D960AA">
              <w:rPr>
                <w:i/>
              </w:rPr>
              <w:t>Hlava II Voľný pohyb tovaru, čl. 28 – 37</w:t>
            </w:r>
          </w:p>
          <w:p w14:paraId="7BA90CB7" w14:textId="77777777" w:rsidR="00125F71" w:rsidRPr="00D960AA" w:rsidRDefault="00125F71" w:rsidP="00125F71">
            <w:pPr>
              <w:pStyle w:val="Zkladntext"/>
              <w:spacing w:after="0"/>
              <w:ind w:left="850"/>
              <w:rPr>
                <w:i/>
              </w:rPr>
            </w:pPr>
          </w:p>
          <w:p w14:paraId="1F59D340" w14:textId="77777777" w:rsidR="00342F84" w:rsidRPr="00D960AA" w:rsidRDefault="00125F71" w:rsidP="00342F84">
            <w:pPr>
              <w:pStyle w:val="Zkladntext"/>
              <w:numPr>
                <w:ilvl w:val="1"/>
                <w:numId w:val="2"/>
              </w:numPr>
              <w:spacing w:after="0"/>
            </w:pPr>
            <w:r w:rsidRPr="00D960AA">
              <w:t>v sekundárnom práve</w:t>
            </w:r>
          </w:p>
          <w:p w14:paraId="540A0103" w14:textId="77777777" w:rsidR="00125F71" w:rsidRPr="00D960AA" w:rsidRDefault="00125F71" w:rsidP="00125F71">
            <w:pPr>
              <w:pStyle w:val="Zkladntext"/>
              <w:spacing w:after="0"/>
              <w:ind w:left="850"/>
            </w:pPr>
          </w:p>
          <w:p w14:paraId="0730FBF9" w14:textId="77777777" w:rsidR="00852718" w:rsidRDefault="0013060F" w:rsidP="00125F71">
            <w:pPr>
              <w:pStyle w:val="Zkladntext"/>
              <w:spacing w:after="0"/>
              <w:ind w:left="876" w:hanging="851"/>
              <w:jc w:val="both"/>
              <w:rPr>
                <w:i/>
              </w:rPr>
            </w:pPr>
            <w:r w:rsidRPr="00D960AA">
              <w:t xml:space="preserve">              </w:t>
            </w:r>
            <w:r w:rsidRPr="00D960AA">
              <w:rPr>
                <w:i/>
              </w:rPr>
              <w:t xml:space="preserve">Smernica Európskeho parlamentu a Rady (EÚ) 2019/882 zo 17. apríla 2019 o požiadavkách na prístupnosť výrobkov a služieb </w:t>
            </w:r>
            <w:r w:rsidR="002F1434" w:rsidRPr="002F1434">
              <w:rPr>
                <w:i/>
              </w:rPr>
              <w:t>(Ú. v. EÚ L 151, 7.6.2019)</w:t>
            </w:r>
            <w:r w:rsidR="002F1434">
              <w:rPr>
                <w:i/>
              </w:rPr>
              <w:t xml:space="preserve">, </w:t>
            </w:r>
          </w:p>
          <w:p w14:paraId="1ED5A3DD" w14:textId="1F7D0444" w:rsidR="00342F84" w:rsidRDefault="00852718" w:rsidP="00125F71">
            <w:pPr>
              <w:pStyle w:val="Zkladntext"/>
              <w:spacing w:after="0"/>
              <w:ind w:left="876" w:hanging="851"/>
              <w:jc w:val="both"/>
              <w:rPr>
                <w:i/>
              </w:rPr>
            </w:pPr>
            <w:r>
              <w:rPr>
                <w:i/>
              </w:rPr>
              <w:t xml:space="preserve">             </w:t>
            </w:r>
            <w:r w:rsidR="002F1434">
              <w:rPr>
                <w:i/>
              </w:rPr>
              <w:t>Gestor: M</w:t>
            </w:r>
            <w:r>
              <w:rPr>
                <w:i/>
              </w:rPr>
              <w:t>inisterstvo práce, sociálnych vecí a rodiny</w:t>
            </w:r>
            <w:r w:rsidR="002F1434">
              <w:rPr>
                <w:i/>
              </w:rPr>
              <w:t xml:space="preserve"> SR, M</w:t>
            </w:r>
            <w:r>
              <w:rPr>
                <w:i/>
              </w:rPr>
              <w:t>inisterstvo kultúry</w:t>
            </w:r>
            <w:r w:rsidR="002F1434">
              <w:rPr>
                <w:i/>
              </w:rPr>
              <w:t xml:space="preserve"> SR, M</w:t>
            </w:r>
            <w:r>
              <w:rPr>
                <w:i/>
              </w:rPr>
              <w:t>inisterstvo dopravy a výstavby</w:t>
            </w:r>
            <w:r w:rsidR="002F1434">
              <w:rPr>
                <w:i/>
              </w:rPr>
              <w:t xml:space="preserve"> SR, M</w:t>
            </w:r>
            <w:r>
              <w:rPr>
                <w:i/>
              </w:rPr>
              <w:t>inisterstvo školstva, vedy, výskumu a športu</w:t>
            </w:r>
            <w:r w:rsidR="002F1434">
              <w:rPr>
                <w:i/>
              </w:rPr>
              <w:t xml:space="preserve"> SR.</w:t>
            </w:r>
          </w:p>
          <w:p w14:paraId="19DFC86D" w14:textId="77777777" w:rsidR="00ED2A26" w:rsidRDefault="00ED2A26" w:rsidP="00125F71">
            <w:pPr>
              <w:pStyle w:val="Zkladntext"/>
              <w:spacing w:after="0"/>
              <w:ind w:left="876" w:hanging="851"/>
              <w:jc w:val="both"/>
              <w:rPr>
                <w:i/>
              </w:rPr>
            </w:pPr>
            <w:r>
              <w:rPr>
                <w:i/>
              </w:rPr>
              <w:t xml:space="preserve">             </w:t>
            </w:r>
          </w:p>
          <w:p w14:paraId="2391A0AA" w14:textId="3FA1902E" w:rsidR="00ED2A26" w:rsidRDefault="00ED2A26" w:rsidP="00125F71">
            <w:pPr>
              <w:pStyle w:val="Zkladntext"/>
              <w:spacing w:after="0"/>
              <w:ind w:left="876" w:hanging="851"/>
              <w:jc w:val="both"/>
              <w:rPr>
                <w:i/>
              </w:rPr>
            </w:pPr>
            <w:r>
              <w:rPr>
                <w:i/>
              </w:rPr>
              <w:t xml:space="preserve">              </w:t>
            </w:r>
            <w:r w:rsidRPr="00ED2A26">
              <w:rPr>
                <w:i/>
              </w:rPr>
              <w:t>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w:t>
            </w:r>
            <w:r w:rsidRPr="00A93927">
              <w:rPr>
                <w:i/>
              </w:rPr>
              <w:t>91</w:t>
            </w:r>
            <w:r w:rsidR="001061CE" w:rsidRPr="00A93927">
              <w:rPr>
                <w:i/>
              </w:rPr>
              <w:t xml:space="preserve"> </w:t>
            </w:r>
            <w:r w:rsidR="001061CE" w:rsidRPr="002E65F4">
              <w:rPr>
                <w:i/>
              </w:rPr>
              <w:t>(Ú. v. EÚ L 46, 17.2.2004)</w:t>
            </w:r>
            <w:r w:rsidR="00852718">
              <w:rPr>
                <w:i/>
              </w:rPr>
              <w:t>,</w:t>
            </w:r>
          </w:p>
          <w:p w14:paraId="0816A692" w14:textId="34251B5D" w:rsidR="00ED2A26" w:rsidRDefault="00ED2A26" w:rsidP="002E65F4">
            <w:pPr>
              <w:pStyle w:val="Zkladntext"/>
              <w:spacing w:after="0"/>
              <w:ind w:left="876" w:hanging="110"/>
              <w:jc w:val="both"/>
              <w:rPr>
                <w:i/>
              </w:rPr>
            </w:pPr>
            <w:r>
              <w:rPr>
                <w:i/>
              </w:rPr>
              <w:t xml:space="preserve"> </w:t>
            </w:r>
            <w:r w:rsidRPr="00ED2A26">
              <w:rPr>
                <w:i/>
              </w:rPr>
              <w:t xml:space="preserve">Gestor: irelevantné, z dôvodu, že sa </w:t>
            </w:r>
            <w:proofErr w:type="spellStart"/>
            <w:r w:rsidRPr="00ED2A26">
              <w:rPr>
                <w:i/>
              </w:rPr>
              <w:t>gestorstvo</w:t>
            </w:r>
            <w:proofErr w:type="spellEnd"/>
            <w:r w:rsidRPr="00ED2A26">
              <w:rPr>
                <w:i/>
              </w:rPr>
              <w:t xml:space="preserve"> k nariadeniam EÚ pred vstupom SR do EÚ neurčovalo</w:t>
            </w:r>
            <w:r w:rsidR="00852718">
              <w:rPr>
                <w:i/>
              </w:rPr>
              <w:t>.</w:t>
            </w:r>
          </w:p>
          <w:p w14:paraId="0AB6D84A" w14:textId="24A46F0B" w:rsidR="00ED2A26" w:rsidRDefault="00ED2A26" w:rsidP="002E65F4">
            <w:pPr>
              <w:pStyle w:val="Zkladntext"/>
              <w:spacing w:after="0"/>
              <w:ind w:left="876" w:hanging="110"/>
              <w:jc w:val="both"/>
              <w:rPr>
                <w:i/>
              </w:rPr>
            </w:pPr>
          </w:p>
          <w:p w14:paraId="5344B649" w14:textId="0E9792C8" w:rsidR="001061CE" w:rsidRDefault="001061CE" w:rsidP="002E65F4">
            <w:pPr>
              <w:pStyle w:val="Zkladntext"/>
              <w:spacing w:after="0"/>
              <w:ind w:left="876" w:hanging="110"/>
              <w:jc w:val="both"/>
              <w:rPr>
                <w:i/>
              </w:rPr>
            </w:pPr>
            <w:r>
              <w:rPr>
                <w:i/>
              </w:rPr>
              <w:t xml:space="preserve">  </w:t>
            </w:r>
            <w:r w:rsidRPr="001061CE">
              <w:rPr>
                <w:i/>
              </w:rPr>
              <w:t>Nariadenie Európskeho parlamentu a Rady (ES) č. 1107/2006 z 5. júla 2006 o právach zdravotne postihnutých osôb a osôb so zníženou pohyblivosťou v leteckej doprave (Ú. v. EÚ L 204, 26.7.20</w:t>
            </w:r>
            <w:r>
              <w:rPr>
                <w:i/>
              </w:rPr>
              <w:t>06)</w:t>
            </w:r>
            <w:r w:rsidR="00852718">
              <w:rPr>
                <w:i/>
              </w:rPr>
              <w:t>,</w:t>
            </w:r>
          </w:p>
          <w:p w14:paraId="342086CB" w14:textId="67E6CDE2" w:rsidR="001061CE" w:rsidRDefault="001061CE" w:rsidP="002E65F4">
            <w:pPr>
              <w:pStyle w:val="Zkladntext"/>
              <w:spacing w:after="0"/>
              <w:ind w:left="876" w:hanging="110"/>
              <w:jc w:val="both"/>
              <w:rPr>
                <w:i/>
              </w:rPr>
            </w:pPr>
            <w:r>
              <w:rPr>
                <w:i/>
              </w:rPr>
              <w:t xml:space="preserve"> </w:t>
            </w:r>
            <w:r w:rsidRPr="001061CE">
              <w:rPr>
                <w:i/>
              </w:rPr>
              <w:t>Gestor: Ministerstvo dopravy a výstavby SR</w:t>
            </w:r>
            <w:r w:rsidR="00852718">
              <w:rPr>
                <w:i/>
              </w:rPr>
              <w:t>.</w:t>
            </w:r>
          </w:p>
          <w:p w14:paraId="6CF74C88" w14:textId="3171C1CC" w:rsidR="001061CE" w:rsidRDefault="001061CE" w:rsidP="002E65F4">
            <w:pPr>
              <w:pStyle w:val="Zkladntext"/>
              <w:spacing w:after="0"/>
              <w:ind w:left="876" w:hanging="110"/>
              <w:jc w:val="both"/>
              <w:rPr>
                <w:i/>
              </w:rPr>
            </w:pPr>
          </w:p>
          <w:p w14:paraId="74246E1F" w14:textId="1C753F08" w:rsidR="001061CE" w:rsidRDefault="00355977" w:rsidP="002E65F4">
            <w:pPr>
              <w:pStyle w:val="Zkladntext"/>
              <w:spacing w:after="0"/>
              <w:ind w:left="876" w:hanging="110"/>
              <w:jc w:val="both"/>
              <w:rPr>
                <w:i/>
              </w:rPr>
            </w:pPr>
            <w:r>
              <w:rPr>
                <w:i/>
              </w:rPr>
              <w:t xml:space="preserve">  </w:t>
            </w:r>
            <w:r w:rsidRPr="00355977">
              <w:rPr>
                <w:i/>
              </w:rPr>
              <w:t>Nariadenie Európskeho parlamentu a Rady (ES) č. 1371/2007 z 23. októbra 2007 o právach a povinnostiach cestujúcich v železničnej preprave (Ú. v. EÚ L 315, 3.12.2007)</w:t>
            </w:r>
            <w:r w:rsidR="00852718">
              <w:rPr>
                <w:i/>
              </w:rPr>
              <w:t>,</w:t>
            </w:r>
          </w:p>
          <w:p w14:paraId="75CDCED1" w14:textId="58FFC6E8" w:rsidR="00355977" w:rsidRDefault="00355977" w:rsidP="002E65F4">
            <w:pPr>
              <w:pStyle w:val="Zkladntext"/>
              <w:spacing w:after="0"/>
              <w:ind w:left="876" w:hanging="110"/>
              <w:jc w:val="both"/>
              <w:rPr>
                <w:i/>
              </w:rPr>
            </w:pPr>
            <w:r>
              <w:rPr>
                <w:i/>
              </w:rPr>
              <w:t xml:space="preserve"> </w:t>
            </w:r>
            <w:r w:rsidRPr="00355977">
              <w:rPr>
                <w:i/>
              </w:rPr>
              <w:t>Gestor: Ministerstvo dopravy a výstavby SR</w:t>
            </w:r>
            <w:r w:rsidR="00852718">
              <w:rPr>
                <w:i/>
              </w:rPr>
              <w:t>.</w:t>
            </w:r>
          </w:p>
          <w:p w14:paraId="5195E58F" w14:textId="7E948719" w:rsidR="00355977" w:rsidRDefault="00355977" w:rsidP="002E65F4">
            <w:pPr>
              <w:pStyle w:val="Zkladntext"/>
              <w:spacing w:after="0"/>
              <w:ind w:left="876" w:hanging="110"/>
              <w:jc w:val="both"/>
              <w:rPr>
                <w:i/>
              </w:rPr>
            </w:pPr>
          </w:p>
          <w:p w14:paraId="230FB65B" w14:textId="677EAA8A" w:rsidR="00355977" w:rsidRDefault="00355977" w:rsidP="002E65F4">
            <w:pPr>
              <w:pStyle w:val="Zkladntext"/>
              <w:spacing w:after="0"/>
              <w:ind w:left="876" w:hanging="110"/>
              <w:jc w:val="both"/>
              <w:rPr>
                <w:i/>
              </w:rPr>
            </w:pPr>
            <w:r>
              <w:rPr>
                <w:i/>
              </w:rPr>
              <w:t xml:space="preserve">  </w:t>
            </w:r>
            <w:r w:rsidRPr="00355977">
              <w:rPr>
                <w:i/>
              </w:rPr>
              <w:t>Nariadenie Európskeho parlamentu a Rady (EÚ) č. 1177/2010 z 24. novembra 2010 o právach cestujúcich v námornej a vnútrozemskej vodnej doprave, ktorým sa mení a dopĺňa nariadenie (ES) č. 2006/2004 (Ú. v. EÚ L 334, 17.12.2010)</w:t>
            </w:r>
            <w:r w:rsidR="00852718">
              <w:rPr>
                <w:i/>
              </w:rPr>
              <w:t>,</w:t>
            </w:r>
          </w:p>
          <w:p w14:paraId="08AF9522" w14:textId="01615E6E" w:rsidR="00355977" w:rsidRDefault="00355977" w:rsidP="002E65F4">
            <w:pPr>
              <w:pStyle w:val="Zkladntext"/>
              <w:spacing w:after="0"/>
              <w:ind w:left="876" w:hanging="110"/>
              <w:jc w:val="both"/>
              <w:rPr>
                <w:i/>
              </w:rPr>
            </w:pPr>
            <w:r>
              <w:rPr>
                <w:i/>
              </w:rPr>
              <w:t xml:space="preserve"> </w:t>
            </w:r>
            <w:r w:rsidRPr="00355977">
              <w:rPr>
                <w:i/>
              </w:rPr>
              <w:t>Gestor: Ministerstvo dopravy a výstavby SR</w:t>
            </w:r>
            <w:r w:rsidR="00852718">
              <w:rPr>
                <w:i/>
              </w:rPr>
              <w:t>.</w:t>
            </w:r>
          </w:p>
          <w:p w14:paraId="345A762E" w14:textId="34997E7A" w:rsidR="00355977" w:rsidRDefault="00355977" w:rsidP="002E65F4">
            <w:pPr>
              <w:pStyle w:val="Zkladntext"/>
              <w:spacing w:after="0"/>
              <w:ind w:left="876" w:hanging="110"/>
              <w:jc w:val="both"/>
              <w:rPr>
                <w:i/>
              </w:rPr>
            </w:pPr>
          </w:p>
          <w:p w14:paraId="7F95D13A" w14:textId="0F7063D4" w:rsidR="00355977" w:rsidRDefault="00792B3D" w:rsidP="002E65F4">
            <w:pPr>
              <w:pStyle w:val="Zkladntext"/>
              <w:spacing w:after="0"/>
              <w:ind w:left="876" w:hanging="110"/>
              <w:jc w:val="both"/>
              <w:rPr>
                <w:i/>
              </w:rPr>
            </w:pPr>
            <w:r>
              <w:rPr>
                <w:i/>
              </w:rPr>
              <w:t xml:space="preserve">  </w:t>
            </w:r>
            <w:r w:rsidRPr="00792B3D">
              <w:rPr>
                <w:i/>
              </w:rPr>
              <w:t>Nariadenie Európskeho parlamentu a Rady (EÚ) č. 181/2011 zo 16. februára 2011 o právach cestujúcich v autobusovej a autokarovej doprave a o zmene a doplnení nariadenia (ES) č. 2006/2004 (Ú. v. EÚ L 55, 28.2.2011)</w:t>
            </w:r>
            <w:r w:rsidR="00852718">
              <w:rPr>
                <w:i/>
              </w:rPr>
              <w:t>,</w:t>
            </w:r>
          </w:p>
          <w:p w14:paraId="2051DC36" w14:textId="65B26287" w:rsidR="00792B3D" w:rsidRDefault="00792B3D" w:rsidP="002E65F4">
            <w:pPr>
              <w:pStyle w:val="Zkladntext"/>
              <w:spacing w:after="0"/>
              <w:ind w:left="876" w:hanging="110"/>
              <w:jc w:val="both"/>
              <w:rPr>
                <w:i/>
              </w:rPr>
            </w:pPr>
            <w:r>
              <w:rPr>
                <w:i/>
              </w:rPr>
              <w:t xml:space="preserve"> </w:t>
            </w:r>
            <w:r w:rsidRPr="00355977">
              <w:rPr>
                <w:i/>
              </w:rPr>
              <w:t>Gestor: Ministerstvo dopravy a výstavby SR</w:t>
            </w:r>
            <w:r w:rsidR="00852718">
              <w:rPr>
                <w:i/>
              </w:rPr>
              <w:t>.</w:t>
            </w:r>
          </w:p>
          <w:p w14:paraId="5F96ADED" w14:textId="6C76C290" w:rsidR="00792B3D" w:rsidRDefault="00792B3D" w:rsidP="002E65F4">
            <w:pPr>
              <w:pStyle w:val="Zkladntext"/>
              <w:spacing w:after="0"/>
              <w:ind w:left="876" w:hanging="110"/>
              <w:jc w:val="both"/>
              <w:rPr>
                <w:i/>
              </w:rPr>
            </w:pPr>
          </w:p>
          <w:p w14:paraId="38174284" w14:textId="077AC853" w:rsidR="00A93927" w:rsidRDefault="00A93927" w:rsidP="002E65F4">
            <w:pPr>
              <w:pStyle w:val="Zkladntext"/>
              <w:spacing w:after="0"/>
              <w:ind w:left="876" w:hanging="110"/>
              <w:jc w:val="both"/>
            </w:pPr>
            <w:r>
              <w:rPr>
                <w:i/>
              </w:rPr>
              <w:t xml:space="preserve">  </w:t>
            </w:r>
            <w:r w:rsidRPr="00A93927">
              <w:rPr>
                <w:i/>
              </w:rPr>
              <w:t xml:space="preserve">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w:t>
            </w:r>
            <w:r w:rsidRPr="00A93927">
              <w:rPr>
                <w:i/>
              </w:rPr>
              <w:lastRenderedPageBreak/>
              <w:t>zrušuje rozhodnutie Rady 87/95/EHS a rozhodnutie Európskeho parlamentu a Rady č. 1673/2006/ES (Ú. v. EÚ L 316, 14.11.2012)</w:t>
            </w:r>
            <w:r>
              <w:t xml:space="preserve"> </w:t>
            </w:r>
            <w:r w:rsidR="00852718">
              <w:t>,</w:t>
            </w:r>
          </w:p>
          <w:p w14:paraId="79B080E1" w14:textId="0C63C9E9" w:rsidR="00792B3D" w:rsidRDefault="00A93927" w:rsidP="002E65F4">
            <w:pPr>
              <w:pStyle w:val="Zkladntext"/>
              <w:spacing w:after="0"/>
              <w:ind w:left="876" w:hanging="110"/>
              <w:jc w:val="both"/>
              <w:rPr>
                <w:i/>
              </w:rPr>
            </w:pPr>
            <w:r>
              <w:t xml:space="preserve"> </w:t>
            </w:r>
            <w:r w:rsidRPr="002E65F4">
              <w:rPr>
                <w:i/>
              </w:rPr>
              <w:t>Gestor:</w:t>
            </w:r>
            <w:r>
              <w:t xml:space="preserve"> </w:t>
            </w:r>
            <w:r w:rsidRPr="00A93927">
              <w:rPr>
                <w:i/>
              </w:rPr>
              <w:t>Úrad pre normalizáciu, metrológiu a skúšobníctvo Slovenskej republiky</w:t>
            </w:r>
            <w:r w:rsidR="00852718">
              <w:rPr>
                <w:i/>
              </w:rPr>
              <w:t>.</w:t>
            </w:r>
          </w:p>
          <w:p w14:paraId="08CE5715" w14:textId="77777777" w:rsidR="00ED2A26" w:rsidRDefault="00ED2A26" w:rsidP="002E65F4">
            <w:pPr>
              <w:pStyle w:val="Zkladntext"/>
              <w:spacing w:after="0"/>
              <w:ind w:left="876" w:hanging="110"/>
              <w:jc w:val="both"/>
              <w:rPr>
                <w:i/>
              </w:rPr>
            </w:pPr>
          </w:p>
          <w:p w14:paraId="3DAEA049" w14:textId="77777777" w:rsidR="00ED2A26" w:rsidRPr="00D960AA" w:rsidRDefault="00ED2A26" w:rsidP="002E65F4">
            <w:pPr>
              <w:pStyle w:val="Zkladntext"/>
              <w:spacing w:after="0"/>
              <w:ind w:left="876" w:firstLine="32"/>
              <w:jc w:val="both"/>
              <w:rPr>
                <w:i/>
              </w:rPr>
            </w:pPr>
          </w:p>
          <w:p w14:paraId="04FC0B9D" w14:textId="77777777" w:rsidR="00125F71" w:rsidRPr="00D960AA" w:rsidRDefault="00125F71" w:rsidP="0013060F">
            <w:pPr>
              <w:pStyle w:val="Zkladntext"/>
              <w:spacing w:after="0"/>
              <w:jc w:val="both"/>
              <w:rPr>
                <w:i/>
              </w:rPr>
            </w:pPr>
          </w:p>
          <w:p w14:paraId="54562D99" w14:textId="77777777" w:rsidR="00342F84" w:rsidRPr="00D960AA" w:rsidRDefault="00342F84" w:rsidP="00342F84">
            <w:pPr>
              <w:pStyle w:val="Zkladntext"/>
              <w:numPr>
                <w:ilvl w:val="1"/>
                <w:numId w:val="2"/>
              </w:numPr>
              <w:spacing w:after="0"/>
              <w:ind w:left="896"/>
              <w:jc w:val="both"/>
            </w:pPr>
            <w:r w:rsidRPr="00D960AA">
              <w:t xml:space="preserve">judikatúre Súdneho dvora Európskej únie </w:t>
            </w:r>
          </w:p>
          <w:p w14:paraId="09201CD4" w14:textId="77777777" w:rsidR="00125F71" w:rsidRPr="00D960AA" w:rsidRDefault="00125F71" w:rsidP="00125F71">
            <w:pPr>
              <w:pStyle w:val="Zkladntext"/>
              <w:spacing w:after="0"/>
              <w:ind w:left="896"/>
              <w:jc w:val="both"/>
            </w:pPr>
          </w:p>
          <w:p w14:paraId="2FFEA71D" w14:textId="77777777" w:rsidR="00342F84" w:rsidRPr="00D960AA" w:rsidRDefault="00342F84" w:rsidP="00342F84">
            <w:pPr>
              <w:ind w:left="896"/>
              <w:jc w:val="both"/>
              <w:rPr>
                <w:i/>
              </w:rPr>
            </w:pPr>
            <w:r w:rsidRPr="00D960AA">
              <w:rPr>
                <w:i/>
              </w:rPr>
              <w:t>nie je upravený.</w:t>
            </w:r>
          </w:p>
          <w:p w14:paraId="575DE2EB" w14:textId="77777777" w:rsidR="00342F84" w:rsidRPr="00D960AA" w:rsidRDefault="00342F84">
            <w:pPr>
              <w:tabs>
                <w:tab w:val="left" w:pos="360"/>
              </w:tabs>
            </w:pPr>
          </w:p>
        </w:tc>
      </w:tr>
      <w:tr w:rsidR="00342F84" w:rsidRPr="00D960AA" w14:paraId="7E85EB60" w14:textId="77777777" w:rsidTr="003A743C">
        <w:tc>
          <w:tcPr>
            <w:tcW w:w="404" w:type="dxa"/>
          </w:tcPr>
          <w:p w14:paraId="25F1D929" w14:textId="77777777" w:rsidR="00342F84" w:rsidRPr="00D960AA" w:rsidRDefault="00342F84">
            <w:pPr>
              <w:tabs>
                <w:tab w:val="left" w:pos="360"/>
              </w:tabs>
            </w:pPr>
          </w:p>
        </w:tc>
        <w:tc>
          <w:tcPr>
            <w:tcW w:w="9627" w:type="dxa"/>
          </w:tcPr>
          <w:p w14:paraId="4A24BD7B" w14:textId="77777777" w:rsidR="00342F84" w:rsidRPr="00D960AA" w:rsidRDefault="00342F84">
            <w:pPr>
              <w:pStyle w:val="Odsekzoznamu"/>
              <w:tabs>
                <w:tab w:val="left" w:pos="360"/>
              </w:tabs>
              <w:ind w:left="360"/>
            </w:pPr>
          </w:p>
        </w:tc>
      </w:tr>
    </w:tbl>
    <w:p w14:paraId="72A3BDF4" w14:textId="77777777" w:rsidR="0013060F" w:rsidRPr="00D960AA" w:rsidRDefault="0013060F" w:rsidP="0013060F">
      <w:pPr>
        <w:numPr>
          <w:ilvl w:val="0"/>
          <w:numId w:val="3"/>
        </w:numPr>
        <w:tabs>
          <w:tab w:val="clear" w:pos="360"/>
        </w:tabs>
        <w:spacing w:after="100" w:afterAutospacing="1"/>
        <w:jc w:val="both"/>
        <w:rPr>
          <w:b/>
          <w:color w:val="000000"/>
        </w:rPr>
      </w:pPr>
      <w:r w:rsidRPr="00D960AA">
        <w:rPr>
          <w:b/>
          <w:color w:val="000000"/>
        </w:rPr>
        <w:t>Záväzky Slovenskej republiky vo vzťahu k Európskej únii:</w:t>
      </w:r>
    </w:p>
    <w:p w14:paraId="0EBB320E" w14:textId="77777777" w:rsidR="00B10E8B" w:rsidRPr="00D960AA" w:rsidRDefault="00B10E8B" w:rsidP="00B10E8B">
      <w:pPr>
        <w:pStyle w:val="Zkladntext"/>
        <w:numPr>
          <w:ilvl w:val="1"/>
          <w:numId w:val="3"/>
        </w:numPr>
        <w:jc w:val="both"/>
        <w:rPr>
          <w:bCs/>
          <w:color w:val="000000"/>
        </w:rPr>
      </w:pPr>
      <w:r w:rsidRPr="00D960AA">
        <w:rPr>
          <w:bCs/>
        </w:rPr>
        <w:t>lehota na prebranie príslušného právneho aktu Európskej únie, príp. aj osobitná lehota účinnosti jeho ustanovení</w:t>
      </w:r>
      <w:r w:rsidR="0013060F" w:rsidRPr="00D960AA">
        <w:rPr>
          <w:bCs/>
          <w:color w:val="000000"/>
        </w:rPr>
        <w:t xml:space="preserve"> </w:t>
      </w:r>
    </w:p>
    <w:p w14:paraId="3E7BF2AA" w14:textId="329011E2" w:rsidR="0013060F" w:rsidRPr="00D960AA" w:rsidRDefault="00B10E8B" w:rsidP="00B10E8B">
      <w:pPr>
        <w:pStyle w:val="Zkladntext"/>
        <w:ind w:left="680"/>
        <w:jc w:val="both"/>
        <w:rPr>
          <w:i/>
          <w:color w:val="000000"/>
        </w:rPr>
      </w:pPr>
      <w:r w:rsidRPr="00D960AA">
        <w:rPr>
          <w:i/>
          <w:color w:val="000000"/>
        </w:rPr>
        <w:t xml:space="preserve">Lehota na prebranie Smernice Európskeho parlamentu a Rady (EÚ) 2019/882 zo 17. apríla 2019 o požiadavkách na prístupnosť výrobkov a služieb je určená </w:t>
      </w:r>
      <w:r w:rsidR="0013060F" w:rsidRPr="00D960AA">
        <w:rPr>
          <w:i/>
          <w:color w:val="000000"/>
        </w:rPr>
        <w:t>do 28. júna 2022</w:t>
      </w:r>
      <w:r w:rsidR="002F1434">
        <w:rPr>
          <w:i/>
          <w:color w:val="000000"/>
        </w:rPr>
        <w:t xml:space="preserve">, pričom </w:t>
      </w:r>
      <w:r w:rsidR="002F1434" w:rsidRPr="002F1434">
        <w:rPr>
          <w:i/>
          <w:color w:val="000000"/>
        </w:rPr>
        <w:t>opatrenia potrebné na dosiahnutie súladu s touto smernicou sa budú uplatňovať od 28. júna 2025.</w:t>
      </w:r>
      <w:r w:rsidRPr="00D960AA">
        <w:rPr>
          <w:i/>
          <w:color w:val="000000"/>
        </w:rPr>
        <w:t xml:space="preserve"> Podľa článku 32 tejto smernice sa ustanoví prechodné obdobie, ktoré sa skončí 28. júna 2030, počas ktorého môžu poskytovatelia služieb naďalej poskytovať svoje služby pomocou výrobkov, ktoré pred týmto dátumom zákonne používali na poskytovanie podobných služieb.</w:t>
      </w:r>
    </w:p>
    <w:p w14:paraId="34194AB6" w14:textId="77777777" w:rsidR="009E33CA" w:rsidRPr="00D960AA" w:rsidRDefault="009E33CA" w:rsidP="00B10E8B">
      <w:pPr>
        <w:pStyle w:val="Zkladntext"/>
        <w:ind w:left="680"/>
        <w:jc w:val="both"/>
        <w:rPr>
          <w:i/>
          <w:color w:val="000000"/>
        </w:rPr>
      </w:pPr>
    </w:p>
    <w:p w14:paraId="4953F19F" w14:textId="77777777" w:rsidR="00B10E8B" w:rsidRPr="00D960AA" w:rsidRDefault="00B10E8B" w:rsidP="00B10E8B">
      <w:pPr>
        <w:pStyle w:val="Zkladntext"/>
        <w:numPr>
          <w:ilvl w:val="1"/>
          <w:numId w:val="3"/>
        </w:numPr>
        <w:tabs>
          <w:tab w:val="left" w:pos="360"/>
        </w:tabs>
        <w:spacing w:after="0"/>
        <w:jc w:val="both"/>
      </w:pPr>
      <w:r w:rsidRPr="00D960AA">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346941DF" w14:textId="77777777" w:rsidR="00B10E8B" w:rsidRPr="00D960AA" w:rsidRDefault="00B10E8B" w:rsidP="00B10E8B">
      <w:pPr>
        <w:pStyle w:val="Zkladntext"/>
        <w:spacing w:after="0"/>
        <w:ind w:left="680"/>
        <w:jc w:val="both"/>
      </w:pPr>
    </w:p>
    <w:p w14:paraId="4510CB13" w14:textId="77777777" w:rsidR="00B10E8B" w:rsidRPr="00D960AA" w:rsidRDefault="00B10E8B" w:rsidP="00B10E8B">
      <w:pPr>
        <w:pStyle w:val="Zkladntext"/>
        <w:spacing w:after="0"/>
        <w:ind w:left="680"/>
        <w:jc w:val="both"/>
      </w:pPr>
      <w:r w:rsidRPr="00D960AA">
        <w:rPr>
          <w:i/>
        </w:rPr>
        <w:t>bezpredmetné,</w:t>
      </w:r>
    </w:p>
    <w:p w14:paraId="304B612F" w14:textId="77777777" w:rsidR="00B10E8B" w:rsidRPr="00D960AA" w:rsidRDefault="00B10E8B" w:rsidP="00B10E8B">
      <w:pPr>
        <w:pStyle w:val="Odsekzoznamu"/>
        <w:ind w:left="851" w:hanging="425"/>
      </w:pPr>
    </w:p>
    <w:p w14:paraId="56DC1446" w14:textId="77777777" w:rsidR="00B10E8B" w:rsidRPr="00D960AA" w:rsidRDefault="00B10E8B" w:rsidP="00B10E8B">
      <w:pPr>
        <w:pStyle w:val="Zkladntext"/>
        <w:numPr>
          <w:ilvl w:val="1"/>
          <w:numId w:val="3"/>
        </w:numPr>
        <w:tabs>
          <w:tab w:val="left" w:pos="360"/>
        </w:tabs>
        <w:spacing w:after="0"/>
        <w:jc w:val="both"/>
      </w:pPr>
      <w:r w:rsidRPr="00D960AA">
        <w:rPr>
          <w:i/>
        </w:rPr>
        <w:tab/>
        <w:t>bezpredmetné,</w:t>
      </w:r>
      <w:r w:rsidR="00034709">
        <w:rPr>
          <w:i/>
        </w:rPr>
        <w:t xml:space="preserve"> </w:t>
      </w:r>
      <w:r w:rsidRPr="00D960AA">
        <w:rPr>
          <w:bCs/>
        </w:rPr>
        <w:t xml:space="preserve">informácia o právnych predpisoch, v ktorých sú uvádzané právne akty Európskej únie už prebrané, spolu s uvedením rozsahu ich prebrania, príp. potreby prijatia ďalších úprav  </w:t>
      </w:r>
    </w:p>
    <w:p w14:paraId="5402B737" w14:textId="77777777" w:rsidR="00B10E8B" w:rsidRPr="00D960AA" w:rsidRDefault="00B10E8B" w:rsidP="00B10E8B">
      <w:pPr>
        <w:pStyle w:val="Zkladntext"/>
        <w:tabs>
          <w:tab w:val="left" w:pos="360"/>
        </w:tabs>
        <w:spacing w:after="0"/>
        <w:ind w:left="851"/>
        <w:jc w:val="both"/>
        <w:rPr>
          <w:i/>
        </w:rPr>
      </w:pPr>
    </w:p>
    <w:p w14:paraId="073BA781" w14:textId="77777777" w:rsidR="00B10E8B" w:rsidRPr="00D960AA" w:rsidRDefault="00B10E8B" w:rsidP="00B10E8B">
      <w:pPr>
        <w:pStyle w:val="Zkladntext"/>
        <w:tabs>
          <w:tab w:val="left" w:pos="360"/>
        </w:tabs>
        <w:spacing w:after="0"/>
        <w:ind w:left="851" w:hanging="425"/>
        <w:jc w:val="both"/>
      </w:pPr>
      <w:r w:rsidRPr="00D960AA">
        <w:rPr>
          <w:i/>
        </w:rPr>
        <w:t xml:space="preserve">    bezpredmetné.</w:t>
      </w:r>
    </w:p>
    <w:p w14:paraId="1695B045" w14:textId="77777777" w:rsidR="0013060F" w:rsidRPr="00D960AA" w:rsidRDefault="0013060F" w:rsidP="0013060F">
      <w:pPr>
        <w:pStyle w:val="Zkladntext"/>
        <w:ind w:left="850"/>
        <w:jc w:val="both"/>
        <w:rPr>
          <w:color w:val="000000"/>
        </w:rPr>
      </w:pPr>
    </w:p>
    <w:p w14:paraId="07980795" w14:textId="77777777" w:rsidR="009E33CA" w:rsidRPr="00D960AA" w:rsidRDefault="009E33CA" w:rsidP="009E33CA">
      <w:pPr>
        <w:jc w:val="both"/>
        <w:rPr>
          <w:bCs/>
        </w:rPr>
      </w:pPr>
      <w:r w:rsidRPr="00D960AA">
        <w:rPr>
          <w:b/>
          <w:bCs/>
        </w:rPr>
        <w:t xml:space="preserve">5.   Návrh zákona je zlučiteľný s právom Európskej únie: </w:t>
      </w:r>
    </w:p>
    <w:p w14:paraId="6E67A1AA" w14:textId="77777777" w:rsidR="009E33CA" w:rsidRPr="00D960AA" w:rsidRDefault="009E33CA" w:rsidP="009E33CA">
      <w:pPr>
        <w:ind w:left="425"/>
        <w:jc w:val="both"/>
        <w:rPr>
          <w:b/>
          <w:bCs/>
        </w:rPr>
      </w:pPr>
    </w:p>
    <w:p w14:paraId="7A513BAB" w14:textId="5B47FFCF" w:rsidR="007A4FDE" w:rsidRPr="003A743C" w:rsidRDefault="009E33CA" w:rsidP="00B456B1">
      <w:pPr>
        <w:ind w:left="851"/>
        <w:jc w:val="both"/>
      </w:pPr>
      <w:r w:rsidRPr="00D960AA">
        <w:rPr>
          <w:bCs/>
          <w:i/>
        </w:rPr>
        <w:t>úplne.</w:t>
      </w:r>
    </w:p>
    <w:sectPr w:rsidR="007A4FDE" w:rsidRPr="003A743C" w:rsidSect="00903DB7">
      <w:footerReference w:type="default" r:id="rId8"/>
      <w:footerReference w:type="first" r:id="rId9"/>
      <w:pgSz w:w="11907" w:h="16840" w:code="9"/>
      <w:pgMar w:top="709" w:right="850" w:bottom="56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8C9F0" w14:textId="77777777" w:rsidR="00140939" w:rsidRDefault="00140939">
      <w:r>
        <w:separator/>
      </w:r>
    </w:p>
  </w:endnote>
  <w:endnote w:type="continuationSeparator" w:id="0">
    <w:p w14:paraId="11E769BB" w14:textId="77777777" w:rsidR="00140939" w:rsidRDefault="0014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67A8" w14:textId="0B58D6EE" w:rsidR="00AF46AF" w:rsidRDefault="009C5D1B" w:rsidP="005755BC">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17070">
      <w:rPr>
        <w:rStyle w:val="slostrany"/>
        <w:noProof/>
      </w:rPr>
      <w:t>2</w:t>
    </w:r>
    <w:r>
      <w:rPr>
        <w:rStyle w:val="slostrany"/>
      </w:rPr>
      <w:fldChar w:fldCharType="end"/>
    </w:r>
  </w:p>
  <w:p w14:paraId="751C8679" w14:textId="77777777" w:rsidR="00AF46AF" w:rsidRDefault="00140939" w:rsidP="005755B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97674"/>
      <w:docPartObj>
        <w:docPartGallery w:val="Page Numbers (Bottom of Page)"/>
        <w:docPartUnique/>
      </w:docPartObj>
    </w:sdtPr>
    <w:sdtContent>
      <w:p w14:paraId="5B131F34" w14:textId="4E62CE84" w:rsidR="00B17070" w:rsidRDefault="00B17070">
        <w:pPr>
          <w:pStyle w:val="Pta"/>
          <w:jc w:val="center"/>
        </w:pPr>
        <w:r>
          <w:fldChar w:fldCharType="begin"/>
        </w:r>
        <w:r>
          <w:instrText>PAGE   \* MERGEFORMAT</w:instrText>
        </w:r>
        <w:r>
          <w:fldChar w:fldCharType="separate"/>
        </w:r>
        <w:r>
          <w:rPr>
            <w:noProof/>
          </w:rPr>
          <w:t>1</w:t>
        </w:r>
        <w:r>
          <w:fldChar w:fldCharType="end"/>
        </w:r>
      </w:p>
    </w:sdtContent>
  </w:sdt>
  <w:p w14:paraId="17A61F80" w14:textId="77777777" w:rsidR="00B17070" w:rsidRDefault="00B170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23A58" w14:textId="77777777" w:rsidR="00140939" w:rsidRDefault="00140939">
      <w:r>
        <w:separator/>
      </w:r>
    </w:p>
  </w:footnote>
  <w:footnote w:type="continuationSeparator" w:id="0">
    <w:p w14:paraId="67005D47" w14:textId="77777777" w:rsidR="00140939" w:rsidRDefault="0014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84C23"/>
    <w:multiLevelType w:val="hybridMultilevel"/>
    <w:tmpl w:val="3C5E2C8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 w15:restartNumberingAfterBreak="0">
    <w:nsid w:val="6FE20419"/>
    <w:multiLevelType w:val="hybridMultilevel"/>
    <w:tmpl w:val="DB9EDAA8"/>
    <w:lvl w:ilvl="0" w:tplc="22E88762">
      <w:start w:val="4"/>
      <w:numFmt w:val="decimal"/>
      <w:lvlText w:val="%1."/>
      <w:lvlJc w:val="left"/>
      <w:pPr>
        <w:tabs>
          <w:tab w:val="num" w:pos="360"/>
        </w:tabs>
        <w:ind w:left="340" w:hanging="340"/>
      </w:pPr>
      <w:rPr>
        <w:rFonts w:cs="Times New Roman" w:hint="default"/>
        <w:b/>
        <w:i w:val="0"/>
        <w:sz w:val="24"/>
        <w:rtl w:val="0"/>
        <w:cs w:val="0"/>
      </w:rPr>
    </w:lvl>
    <w:lvl w:ilvl="1" w:tplc="4606CF04">
      <w:start w:val="1"/>
      <w:numFmt w:val="lowerLetter"/>
      <w:lvlText w:val="%2)"/>
      <w:lvlJc w:val="left"/>
      <w:pPr>
        <w:tabs>
          <w:tab w:val="num" w:pos="700"/>
        </w:tabs>
        <w:ind w:left="680" w:hanging="340"/>
      </w:pPr>
      <w:rPr>
        <w:rFonts w:cs="Times New Roman" w:hint="default"/>
        <w:rtl w:val="0"/>
        <w:cs w:val="0"/>
      </w:rPr>
    </w:lvl>
    <w:lvl w:ilvl="2" w:tplc="7D0CA8DE">
      <w:start w:val="4"/>
      <w:numFmt w:val="bullet"/>
      <w:lvlText w:val="-"/>
      <w:lvlJc w:val="left"/>
      <w:pPr>
        <w:tabs>
          <w:tab w:val="num" w:pos="1040"/>
        </w:tabs>
        <w:ind w:left="907" w:hanging="227"/>
      </w:pPr>
      <w:rPr>
        <w:rFonts w:ascii="Times New Roman" w:eastAsia="Times New Roman" w:hAnsi="Times New Roman" w:hint="default"/>
      </w:rPr>
    </w:lvl>
    <w:lvl w:ilvl="3" w:tplc="E0CA3590">
      <w:start w:val="2"/>
      <w:numFmt w:val="lowerLetter"/>
      <w:lvlText w:val="%4)"/>
      <w:lvlJc w:val="left"/>
      <w:pPr>
        <w:tabs>
          <w:tab w:val="num" w:pos="700"/>
        </w:tabs>
        <w:ind w:left="680" w:hanging="340"/>
      </w:pPr>
      <w:rPr>
        <w:rFonts w:cs="Times New Roman" w:hint="default"/>
        <w:rtl w:val="0"/>
        <w:cs w:val="0"/>
      </w:rPr>
    </w:lvl>
    <w:lvl w:ilvl="4" w:tplc="2A8CBAD2">
      <w:start w:val="4"/>
      <w:numFmt w:val="bullet"/>
      <w:lvlText w:val="-"/>
      <w:lvlJc w:val="left"/>
      <w:pPr>
        <w:tabs>
          <w:tab w:val="num" w:pos="1040"/>
        </w:tabs>
        <w:ind w:left="907" w:hanging="227"/>
      </w:pPr>
      <w:rPr>
        <w:rFonts w:ascii="Times New Roman" w:eastAsia="Times New Roman" w:hAnsi="Times New Roman" w:hint="default"/>
      </w:rPr>
    </w:lvl>
    <w:lvl w:ilvl="5" w:tplc="98FEBAF6">
      <w:start w:val="5"/>
      <w:numFmt w:val="decimal"/>
      <w:lvlText w:val="%6."/>
      <w:lvlJc w:val="left"/>
      <w:pPr>
        <w:tabs>
          <w:tab w:val="num" w:pos="360"/>
        </w:tabs>
        <w:ind w:left="340" w:hanging="340"/>
      </w:pPr>
      <w:rPr>
        <w:rFonts w:cs="Times New Roman" w:hint="default"/>
        <w:b/>
        <w:i w:val="0"/>
        <w:sz w:val="24"/>
        <w:rtl w:val="0"/>
        <w:cs w:val="0"/>
      </w:rPr>
    </w:lvl>
    <w:lvl w:ilvl="6" w:tplc="DE026BBE">
      <w:start w:val="1"/>
      <w:numFmt w:val="decimal"/>
      <w:lvlText w:val="%7."/>
      <w:lvlJc w:val="left"/>
      <w:pPr>
        <w:tabs>
          <w:tab w:val="num" w:pos="5040"/>
        </w:tabs>
        <w:ind w:left="5040" w:hanging="360"/>
      </w:pPr>
      <w:rPr>
        <w:rFonts w:cs="Times New Roman"/>
        <w:rtl w:val="0"/>
        <w:cs w:val="0"/>
      </w:rPr>
    </w:lvl>
    <w:lvl w:ilvl="7" w:tplc="CDC0E0C2">
      <w:start w:val="1"/>
      <w:numFmt w:val="lowerLetter"/>
      <w:lvlText w:val="%8."/>
      <w:lvlJc w:val="left"/>
      <w:pPr>
        <w:tabs>
          <w:tab w:val="num" w:pos="5760"/>
        </w:tabs>
        <w:ind w:left="5760" w:hanging="360"/>
      </w:pPr>
      <w:rPr>
        <w:rFonts w:cs="Times New Roman"/>
        <w:rtl w:val="0"/>
        <w:cs w:val="0"/>
      </w:rPr>
    </w:lvl>
    <w:lvl w:ilvl="8" w:tplc="03121332">
      <w:start w:val="1"/>
      <w:numFmt w:val="lowerRoman"/>
      <w:lvlText w:val="%9."/>
      <w:lvlJc w:val="right"/>
      <w:pPr>
        <w:tabs>
          <w:tab w:val="num" w:pos="6480"/>
        </w:tabs>
        <w:ind w:left="6480" w:hanging="180"/>
      </w:pPr>
      <w:rPr>
        <w:rFonts w:cs="Times New Roman"/>
        <w:rtl w:val="0"/>
        <w:cs w:val="0"/>
      </w:rPr>
    </w:lvl>
  </w:abstractNum>
  <w:abstractNum w:abstractNumId="3" w15:restartNumberingAfterBreak="0">
    <w:nsid w:val="7E6A6D74"/>
    <w:multiLevelType w:val="hybridMultilevel"/>
    <w:tmpl w:val="EB42C24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15"/>
    <w:rsid w:val="0003438C"/>
    <w:rsid w:val="00034709"/>
    <w:rsid w:val="000A6FAB"/>
    <w:rsid w:val="000D51A0"/>
    <w:rsid w:val="000E0C4F"/>
    <w:rsid w:val="001061CE"/>
    <w:rsid w:val="00125F71"/>
    <w:rsid w:val="0013060F"/>
    <w:rsid w:val="00140939"/>
    <w:rsid w:val="00195B7F"/>
    <w:rsid w:val="0022033A"/>
    <w:rsid w:val="002D29FA"/>
    <w:rsid w:val="002E2B48"/>
    <w:rsid w:val="002E65F4"/>
    <w:rsid w:val="002E70F2"/>
    <w:rsid w:val="002F010C"/>
    <w:rsid w:val="002F1434"/>
    <w:rsid w:val="00342F84"/>
    <w:rsid w:val="00355977"/>
    <w:rsid w:val="003A743C"/>
    <w:rsid w:val="00457324"/>
    <w:rsid w:val="004731C4"/>
    <w:rsid w:val="00485E01"/>
    <w:rsid w:val="004D61C7"/>
    <w:rsid w:val="004E0989"/>
    <w:rsid w:val="00504C4C"/>
    <w:rsid w:val="005227A4"/>
    <w:rsid w:val="00537F97"/>
    <w:rsid w:val="0054746B"/>
    <w:rsid w:val="00593F65"/>
    <w:rsid w:val="00626FC4"/>
    <w:rsid w:val="00634895"/>
    <w:rsid w:val="0066413E"/>
    <w:rsid w:val="00707B13"/>
    <w:rsid w:val="00717F44"/>
    <w:rsid w:val="00724FF0"/>
    <w:rsid w:val="00792B3D"/>
    <w:rsid w:val="007A4FDE"/>
    <w:rsid w:val="007F17C5"/>
    <w:rsid w:val="008136C2"/>
    <w:rsid w:val="00826382"/>
    <w:rsid w:val="008469CC"/>
    <w:rsid w:val="00852718"/>
    <w:rsid w:val="00872592"/>
    <w:rsid w:val="00893D44"/>
    <w:rsid w:val="008A01AF"/>
    <w:rsid w:val="008B42B3"/>
    <w:rsid w:val="008F1A3D"/>
    <w:rsid w:val="0093587A"/>
    <w:rsid w:val="00937A8F"/>
    <w:rsid w:val="009A6942"/>
    <w:rsid w:val="009C5D1B"/>
    <w:rsid w:val="009D642D"/>
    <w:rsid w:val="009E33CA"/>
    <w:rsid w:val="00A172D9"/>
    <w:rsid w:val="00A93927"/>
    <w:rsid w:val="00A95A87"/>
    <w:rsid w:val="00AA67A0"/>
    <w:rsid w:val="00AC4429"/>
    <w:rsid w:val="00AD5A8E"/>
    <w:rsid w:val="00AF0CB7"/>
    <w:rsid w:val="00B10E8B"/>
    <w:rsid w:val="00B10E91"/>
    <w:rsid w:val="00B132E7"/>
    <w:rsid w:val="00B14CD5"/>
    <w:rsid w:val="00B17070"/>
    <w:rsid w:val="00B452EA"/>
    <w:rsid w:val="00B456B1"/>
    <w:rsid w:val="00C0134E"/>
    <w:rsid w:val="00C26AC0"/>
    <w:rsid w:val="00C46D8E"/>
    <w:rsid w:val="00C927B2"/>
    <w:rsid w:val="00D13894"/>
    <w:rsid w:val="00D74B1A"/>
    <w:rsid w:val="00D854D8"/>
    <w:rsid w:val="00D906EA"/>
    <w:rsid w:val="00D960AA"/>
    <w:rsid w:val="00E5229E"/>
    <w:rsid w:val="00E64401"/>
    <w:rsid w:val="00E7414F"/>
    <w:rsid w:val="00ED2A26"/>
    <w:rsid w:val="00F01B95"/>
    <w:rsid w:val="00F20B93"/>
    <w:rsid w:val="00F247C6"/>
    <w:rsid w:val="00F41315"/>
    <w:rsid w:val="00F5297A"/>
    <w:rsid w:val="00F840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C31F"/>
  <w15:docId w15:val="{20530227-AB76-440C-9995-68096C37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131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41315"/>
    <w:pPr>
      <w:tabs>
        <w:tab w:val="center" w:pos="4536"/>
        <w:tab w:val="right" w:pos="9072"/>
      </w:tabs>
    </w:pPr>
  </w:style>
  <w:style w:type="character" w:customStyle="1" w:styleId="PtaChar">
    <w:name w:val="Päta Char"/>
    <w:basedOn w:val="Predvolenpsmoodseku"/>
    <w:link w:val="Pta"/>
    <w:uiPriority w:val="99"/>
    <w:rsid w:val="00F41315"/>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F41315"/>
    <w:rPr>
      <w:rFonts w:cs="Times New Roman"/>
    </w:rPr>
  </w:style>
  <w:style w:type="paragraph" w:customStyle="1" w:styleId="CharChar1">
    <w:name w:val="Char Char1"/>
    <w:basedOn w:val="Normlny"/>
    <w:uiPriority w:val="99"/>
    <w:rsid w:val="00F41315"/>
    <w:pPr>
      <w:spacing w:after="160" w:line="240" w:lineRule="exact"/>
    </w:pPr>
    <w:rPr>
      <w:rFonts w:ascii="Tahoma" w:hAnsi="Tahoma" w:cs="Tahoma"/>
      <w:sz w:val="20"/>
      <w:szCs w:val="20"/>
      <w:lang w:eastAsia="en-US"/>
    </w:rPr>
  </w:style>
  <w:style w:type="character" w:styleId="Hypertextovprepojenie">
    <w:name w:val="Hyperlink"/>
    <w:basedOn w:val="Predvolenpsmoodseku"/>
    <w:uiPriority w:val="99"/>
    <w:rsid w:val="00F41315"/>
    <w:rPr>
      <w:rFonts w:cs="Times New Roman"/>
      <w:color w:val="0000FF" w:themeColor="hyperlink"/>
      <w:u w:val="single"/>
    </w:rPr>
  </w:style>
  <w:style w:type="paragraph" w:styleId="Textbubliny">
    <w:name w:val="Balloon Text"/>
    <w:basedOn w:val="Normlny"/>
    <w:link w:val="TextbublinyChar"/>
    <w:uiPriority w:val="99"/>
    <w:semiHidden/>
    <w:unhideWhenUsed/>
    <w:rsid w:val="0066413E"/>
    <w:rPr>
      <w:rFonts w:ascii="Tahoma" w:hAnsi="Tahoma" w:cs="Tahoma"/>
      <w:sz w:val="16"/>
      <w:szCs w:val="16"/>
    </w:rPr>
  </w:style>
  <w:style w:type="character" w:customStyle="1" w:styleId="TextbublinyChar">
    <w:name w:val="Text bubliny Char"/>
    <w:basedOn w:val="Predvolenpsmoodseku"/>
    <w:link w:val="Textbubliny"/>
    <w:uiPriority w:val="99"/>
    <w:semiHidden/>
    <w:rsid w:val="0066413E"/>
    <w:rPr>
      <w:rFonts w:ascii="Tahoma" w:eastAsia="Times New Roman" w:hAnsi="Tahoma" w:cs="Tahoma"/>
      <w:sz w:val="16"/>
      <w:szCs w:val="16"/>
      <w:lang w:eastAsia="sk-SK"/>
    </w:rPr>
  </w:style>
  <w:style w:type="paragraph" w:styleId="Odsekzoznamu">
    <w:name w:val="List Paragraph"/>
    <w:basedOn w:val="Normlny"/>
    <w:uiPriority w:val="34"/>
    <w:qFormat/>
    <w:rsid w:val="003A743C"/>
    <w:pPr>
      <w:widowControl w:val="0"/>
      <w:autoSpaceDE w:val="0"/>
      <w:autoSpaceDN w:val="0"/>
      <w:adjustRightInd w:val="0"/>
      <w:ind w:left="720"/>
      <w:contextualSpacing/>
    </w:pPr>
  </w:style>
  <w:style w:type="table" w:styleId="Mriekatabuky">
    <w:name w:val="Table Grid"/>
    <w:basedOn w:val="Normlnatabuka"/>
    <w:uiPriority w:val="99"/>
    <w:rsid w:val="003A743C"/>
    <w:pPr>
      <w:spacing w:after="0" w:line="240" w:lineRule="auto"/>
    </w:pPr>
    <w:rPr>
      <w:rFonts w:ascii="Times New Roman" w:eastAsia="Times New Roman" w:hAnsi="Times New Roman"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342F84"/>
    <w:pPr>
      <w:spacing w:after="120"/>
    </w:pPr>
    <w:rPr>
      <w:lang w:eastAsia="cs-CZ"/>
    </w:rPr>
  </w:style>
  <w:style w:type="character" w:customStyle="1" w:styleId="ZkladntextChar">
    <w:name w:val="Základný text Char"/>
    <w:basedOn w:val="Predvolenpsmoodseku"/>
    <w:link w:val="Zkladntext"/>
    <w:uiPriority w:val="99"/>
    <w:rsid w:val="00342F84"/>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2F1434"/>
    <w:rPr>
      <w:sz w:val="16"/>
      <w:szCs w:val="16"/>
    </w:rPr>
  </w:style>
  <w:style w:type="paragraph" w:styleId="Textkomentra">
    <w:name w:val="annotation text"/>
    <w:basedOn w:val="Normlny"/>
    <w:link w:val="TextkomentraChar"/>
    <w:uiPriority w:val="99"/>
    <w:semiHidden/>
    <w:unhideWhenUsed/>
    <w:rsid w:val="002F1434"/>
    <w:rPr>
      <w:sz w:val="20"/>
      <w:szCs w:val="20"/>
    </w:rPr>
  </w:style>
  <w:style w:type="character" w:customStyle="1" w:styleId="TextkomentraChar">
    <w:name w:val="Text komentára Char"/>
    <w:basedOn w:val="Predvolenpsmoodseku"/>
    <w:link w:val="Textkomentra"/>
    <w:uiPriority w:val="99"/>
    <w:semiHidden/>
    <w:rsid w:val="002F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1434"/>
    <w:rPr>
      <w:b/>
      <w:bCs/>
    </w:rPr>
  </w:style>
  <w:style w:type="character" w:customStyle="1" w:styleId="PredmetkomentraChar">
    <w:name w:val="Predmet komentára Char"/>
    <w:basedOn w:val="TextkomentraChar"/>
    <w:link w:val="Predmetkomentra"/>
    <w:uiPriority w:val="99"/>
    <w:semiHidden/>
    <w:rsid w:val="002F1434"/>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B17070"/>
    <w:pPr>
      <w:tabs>
        <w:tab w:val="center" w:pos="4536"/>
        <w:tab w:val="right" w:pos="9072"/>
      </w:tabs>
    </w:pPr>
  </w:style>
  <w:style w:type="character" w:customStyle="1" w:styleId="HlavikaChar">
    <w:name w:val="Hlavička Char"/>
    <w:basedOn w:val="Predvolenpsmoodseku"/>
    <w:link w:val="Hlavika"/>
    <w:uiPriority w:val="99"/>
    <w:rsid w:val="00B1707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Predbežná-informácia"/>
    <f:field ref="objsubject" par="" edit="true" text=""/>
    <f:field ref="objcreatedby" par="" text="Minarovýchová, Viera, PhDr."/>
    <f:field ref="objcreatedat" par="" text="19.11.2020 9:49:47"/>
    <f:field ref="objchangedby" par="" text="Administrator, System"/>
    <f:field ref="objmodifiedat" par="" text="19.11.2020 9:49: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Minarovychova Viera</dc:creator>
  <cp:lastModifiedBy>Cebulakova Monika</cp:lastModifiedBy>
  <cp:revision>4</cp:revision>
  <cp:lastPrinted>2022-05-25T09:47:00Z</cp:lastPrinted>
  <dcterms:created xsi:type="dcterms:W3CDTF">2022-05-26T08:59:00Z</dcterms:created>
  <dcterms:modified xsi:type="dcterms:W3CDTF">2022-05-26T09:05:00Z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Predbežná informácia</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Predprípravná fáza ukončená</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Viera Minarovýchová</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Návrh zákona, ktorým sa mení a dopĺňa zákon č. 447/2008 Z. z. o peňažných príspevkoch na kompenzáciu ťažkého zdravotného postihnutia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plnenie legislatívnych úloh vlády SR vyplývajúcich z Programového vyhlásenia vlády SR na roky 2020 - 2024</vt:lpwstr>
  </property>
  <property fmtid="{D5CDD505-2E9C-101B-9397-08002B2CF9AE}" pid="23" name="FSC#SKEDITIONSLOVLEX@103.510:plnynazovpredpis">
    <vt:lpwstr> Návrh zákona, ktorým sa mení a dopĺňa zákon č. 447/2008 Z. z. o peňažných príspevkoch na kompenzáciu ťažkého zdravotného postihnutia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29659/2020-M_OPVA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PI/2020/248</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19. 11. 2020</vt:lpwstr>
  </property>
  <property fmtid="{D5CDD505-2E9C-101B-9397-08002B2CF9AE}" pid="151" name="FSC#COOSYSTEM@1.1:Container">
    <vt:lpwstr>COO.2145.1000.3.4108348</vt:lpwstr>
  </property>
  <property fmtid="{D5CDD505-2E9C-101B-9397-08002B2CF9AE}" pid="152" name="FSC#FSCFOLIO@1.1001:docpropproject">
    <vt:lpwstr/>
  </property>
</Properties>
</file>