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B9" w:rsidRPr="00115FC0" w:rsidRDefault="00CF7AB9" w:rsidP="0036480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115FC0"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  <w:t>Dôvodová správa</w:t>
      </w:r>
    </w:p>
    <w:p w:rsidR="00CF7AB9" w:rsidRPr="00115FC0" w:rsidRDefault="00CF7AB9" w:rsidP="0036480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F7AB9" w:rsidRPr="00115FC0" w:rsidRDefault="00CF7AB9" w:rsidP="0036480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F7AB9" w:rsidRPr="00115FC0" w:rsidRDefault="00CF7AB9" w:rsidP="0036480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115F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A. Všeobecná časť</w:t>
      </w:r>
    </w:p>
    <w:p w:rsidR="00CF7AB9" w:rsidRPr="00115FC0" w:rsidRDefault="00CF7AB9" w:rsidP="0036480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F7AB9" w:rsidRPr="00115FC0" w:rsidRDefault="00CF7AB9" w:rsidP="0036480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F7AB9" w:rsidRPr="00115FC0" w:rsidRDefault="000B40C1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Vládnym n</w:t>
      </w:r>
      <w:r w:rsidR="00CF7AB9" w:rsidRPr="00115FC0">
        <w:rPr>
          <w:rFonts w:ascii="Times New Roman" w:eastAsia="Times New Roman" w:hAnsi="Times New Roman" w:cs="Times New Roman"/>
          <w:sz w:val="24"/>
          <w:szCs w:val="24"/>
        </w:rPr>
        <w:t>ávrh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CF7AB9" w:rsidRPr="00115FC0">
        <w:rPr>
          <w:rFonts w:ascii="Times New Roman" w:eastAsia="Times New Roman" w:hAnsi="Times New Roman" w:cs="Times New Roman"/>
          <w:sz w:val="24"/>
          <w:szCs w:val="24"/>
        </w:rPr>
        <w:t xml:space="preserve"> zákona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 xml:space="preserve"> o  </w:t>
      </w:r>
      <w:bookmarkStart w:id="1" w:name="_Hlk94173681"/>
      <w:r w:rsidR="00171544" w:rsidRPr="00380F93">
        <w:rPr>
          <w:rFonts w:ascii="Times New Roman" w:hAnsi="Times New Roman" w:cs="Times New Roman"/>
          <w:sz w:val="24"/>
          <w:szCs w:val="24"/>
        </w:rPr>
        <w:t>prístupnos</w:t>
      </w:r>
      <w:r w:rsidR="003D0231">
        <w:rPr>
          <w:rFonts w:ascii="Times New Roman" w:hAnsi="Times New Roman" w:cs="Times New Roman"/>
          <w:sz w:val="24"/>
          <w:szCs w:val="24"/>
        </w:rPr>
        <w:t>ti</w:t>
      </w:r>
      <w:r w:rsidR="00171544" w:rsidRPr="00380F93">
        <w:rPr>
          <w:rFonts w:ascii="Times New Roman" w:hAnsi="Times New Roman" w:cs="Times New Roman"/>
          <w:sz w:val="24"/>
          <w:szCs w:val="24"/>
        </w:rPr>
        <w:t> služieb pre osoby so zdravotným postihnutím</w:t>
      </w:r>
      <w:r w:rsidR="00111667">
        <w:rPr>
          <w:rFonts w:ascii="Times New Roman" w:hAnsi="Times New Roman" w:cs="Times New Roman"/>
          <w:sz w:val="24"/>
          <w:szCs w:val="24"/>
        </w:rPr>
        <w:t xml:space="preserve"> a</w:t>
      </w:r>
      <w:r w:rsidR="00171544" w:rsidRPr="00380F93">
        <w:rPr>
          <w:rFonts w:ascii="Times New Roman" w:hAnsi="Times New Roman" w:cs="Times New Roman"/>
          <w:sz w:val="24"/>
          <w:szCs w:val="24"/>
        </w:rPr>
        <w:t xml:space="preserve"> </w:t>
      </w:r>
      <w:r w:rsidR="00171544" w:rsidRPr="00380F93">
        <w:rPr>
          <w:rFonts w:ascii="Times New Roman" w:hAnsi="Times New Roman"/>
          <w:sz w:val="24"/>
          <w:szCs w:val="24"/>
        </w:rPr>
        <w:t>o</w:t>
      </w:r>
      <w:r w:rsidR="00F31C27">
        <w:rPr>
          <w:rFonts w:ascii="Times New Roman" w:hAnsi="Times New Roman"/>
          <w:sz w:val="24"/>
          <w:szCs w:val="24"/>
        </w:rPr>
        <w:t xml:space="preserve"> zmene a </w:t>
      </w:r>
      <w:r w:rsidR="00171544" w:rsidRPr="00380F93">
        <w:rPr>
          <w:rFonts w:ascii="Times New Roman" w:hAnsi="Times New Roman"/>
          <w:sz w:val="24"/>
          <w:szCs w:val="24"/>
        </w:rPr>
        <w:t>doplnení niektorých zákonov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CF7AB9">
        <w:rPr>
          <w:rFonts w:ascii="Times New Roman" w:eastAsia="Times New Roman" w:hAnsi="Times New Roman" w:cs="Times New Roman"/>
          <w:sz w:val="24"/>
          <w:szCs w:val="24"/>
        </w:rPr>
        <w:t xml:space="preserve">sa transponuje </w:t>
      </w:r>
      <w:r w:rsidR="00CF7AB9" w:rsidRPr="003807B6">
        <w:rPr>
          <w:rFonts w:ascii="Times New Roman" w:eastAsia="Times New Roman" w:hAnsi="Times New Roman" w:cs="Times New Roman"/>
          <w:sz w:val="24"/>
          <w:szCs w:val="24"/>
        </w:rPr>
        <w:t>smernic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F7AB9" w:rsidRPr="003807B6">
        <w:rPr>
          <w:rFonts w:ascii="Times New Roman" w:eastAsia="Times New Roman" w:hAnsi="Times New Roman" w:cs="Times New Roman"/>
          <w:sz w:val="24"/>
          <w:szCs w:val="24"/>
        </w:rPr>
        <w:t xml:space="preserve">  Európskeho parlamentu a Rady (EÚ) 2019/882 zo 17. apríla 2019 o požiadavkách na prístupnosť výrobkov a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7AB9" w:rsidRPr="003807B6">
        <w:rPr>
          <w:rFonts w:ascii="Times New Roman" w:eastAsia="Times New Roman" w:hAnsi="Times New Roman" w:cs="Times New Roman"/>
          <w:sz w:val="24"/>
          <w:szCs w:val="24"/>
        </w:rPr>
        <w:t>služieb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7AB9" w:rsidRPr="00115FC0">
        <w:rPr>
          <w:rFonts w:ascii="Times New Roman" w:eastAsia="Times New Roman" w:hAnsi="Times New Roman" w:cs="Times New Roman"/>
          <w:sz w:val="24"/>
          <w:szCs w:val="24"/>
        </w:rPr>
        <w:t xml:space="preserve">Návrh zákona bol zaradený do </w:t>
      </w:r>
      <w:r w:rsidR="00CF7AB9">
        <w:rPr>
          <w:rFonts w:ascii="Times New Roman" w:eastAsia="Times New Roman" w:hAnsi="Times New Roman" w:cs="Times New Roman"/>
          <w:sz w:val="24"/>
          <w:szCs w:val="24"/>
        </w:rPr>
        <w:t xml:space="preserve">Plánu legislatívnych úloh vlády SR na rok 2022. </w:t>
      </w:r>
    </w:p>
    <w:p w:rsidR="00CF7AB9" w:rsidRPr="00115FC0" w:rsidRDefault="00CF7AB9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AB9" w:rsidRDefault="00CF7AB9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r w:rsidR="00505BEF">
        <w:rPr>
          <w:rFonts w:ascii="Times New Roman" w:eastAsia="Times New Roman" w:hAnsi="Times New Roman" w:cs="Times New Roman"/>
          <w:sz w:val="24"/>
          <w:szCs w:val="24"/>
        </w:rPr>
        <w:t xml:space="preserve"> vládneho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návrhu zákona je prispieť k riadnemu fungovaniu vnútorného trhu so zameraním sa na prístupnosť určitých výrobkov a služieb. Účelom je zvýšiť dostupnosť prístupných výrobkov a služieb na vnútornom trhu a zlepšiť prístupnosť informácií. Prostredie, v ktorom sú výrobky a služby prístupnejšie, umožňuje vytvárať inkluzívnejšiu spoločnosť a uľahčuje nezávislý život osobám so zdravotným postihnutím. V nadväznosti na vyššie uvedenú smernicu sa</w:t>
      </w:r>
      <w:r w:rsidR="00505BEF">
        <w:rPr>
          <w:rFonts w:ascii="Times New Roman" w:eastAsia="Times New Roman" w:hAnsi="Times New Roman" w:cs="Times New Roman"/>
          <w:sz w:val="24"/>
          <w:szCs w:val="24"/>
        </w:rPr>
        <w:t xml:space="preserve"> vládnym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návrhom zákona podporuje úplná a rovnaká účasť prostredníctvom zlepšenia prístupu k bežným výrobkom a službám, ktoré vďaka svojmu pôvodnému dizajnu alebo následnej adaptácii riešia osobitné potreby osôb so zdravotným postihnutím. Transpozíciou smernice sa prispeje k napĺňaniu záväzkov vyplývajúcich z Dohovoru OSN o právach osôb so zdravotným postihnutím, ktorý ukladá zmluvným stranám prijať opatrenia, ktoré zabezpečia osobám so zdravotným postihnutím na rovnakom základe s ostatnými prístup k fyzickému prostrediu, k doprave, k informáciám a komunikácii vrátane informačných a komunikačných technológií a systémov, ako aj k ďalším prostriedkom a službám dostupným alebo poskytovaným verejnosti. </w:t>
      </w:r>
    </w:p>
    <w:p w:rsidR="00CF7AB9" w:rsidRDefault="00CF7AB9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3C" w:rsidRDefault="00505BEF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Vládny n</w:t>
      </w:r>
      <w:r w:rsidR="00CF7AB9" w:rsidRPr="00F5693C">
        <w:rPr>
          <w:rFonts w:ascii="Times New Roman" w:eastAsia="Times New Roman" w:hAnsi="Times New Roman" w:cs="Times New Roman"/>
          <w:sz w:val="24"/>
          <w:szCs w:val="24"/>
        </w:rPr>
        <w:t xml:space="preserve">ávrh zákona definuje rozsah požiadaviek na prístupnosť </w:t>
      </w:r>
      <w:r w:rsidR="00075B18" w:rsidRPr="00F5693C">
        <w:rPr>
          <w:rFonts w:ascii="Times New Roman" w:eastAsia="Times New Roman" w:hAnsi="Times New Roman" w:cs="Times New Roman"/>
          <w:sz w:val="24"/>
          <w:szCs w:val="24"/>
        </w:rPr>
        <w:t>služieb a</w:t>
      </w:r>
      <w:r w:rsidR="00CF7AB9" w:rsidRPr="00F5693C">
        <w:rPr>
          <w:rFonts w:ascii="Times New Roman" w:eastAsia="Times New Roman" w:hAnsi="Times New Roman" w:cs="Times New Roman"/>
          <w:sz w:val="24"/>
          <w:szCs w:val="24"/>
        </w:rPr>
        <w:t xml:space="preserve"> ustanovujú sa povinnosti pre poskytovateľov služieb. Ďalej sa upravuje zhoda s požiadavkami na prístupnosť ako aj predpoklad zhody v súvislosti s harmonizovanými normami a technickými špecifikáciami služieb</w:t>
      </w:r>
      <w:r w:rsidR="00075B18" w:rsidRPr="00F569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7AB9" w:rsidRPr="00F56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Vládny n</w:t>
      </w:r>
      <w:r w:rsidR="00CF7AB9" w:rsidRPr="00F5693C">
        <w:rPr>
          <w:rFonts w:ascii="Times New Roman" w:eastAsia="Times New Roman" w:hAnsi="Times New Roman" w:cs="Times New Roman"/>
          <w:sz w:val="24"/>
          <w:szCs w:val="24"/>
        </w:rPr>
        <w:t xml:space="preserve">ávrh zákona upravuje aj </w:t>
      </w:r>
      <w:r w:rsidR="00F31C27">
        <w:rPr>
          <w:rFonts w:ascii="Times New Roman" w:eastAsia="Times New Roman" w:hAnsi="Times New Roman" w:cs="Times New Roman"/>
          <w:sz w:val="24"/>
          <w:szCs w:val="24"/>
        </w:rPr>
        <w:t xml:space="preserve">dohľad </w:t>
      </w:r>
      <w:r w:rsidR="00F5693C" w:rsidRPr="00F5693C">
        <w:rPr>
          <w:rFonts w:ascii="Times New Roman" w:eastAsia="Times New Roman" w:hAnsi="Times New Roman" w:cs="Times New Roman"/>
          <w:sz w:val="24"/>
          <w:szCs w:val="24"/>
        </w:rPr>
        <w:t xml:space="preserve">nad plnením si </w:t>
      </w:r>
      <w:r w:rsidR="00987DA5">
        <w:rPr>
          <w:rFonts w:ascii="Times New Roman" w:eastAsia="Times New Roman" w:hAnsi="Times New Roman" w:cs="Times New Roman"/>
          <w:sz w:val="24"/>
          <w:szCs w:val="24"/>
        </w:rPr>
        <w:t xml:space="preserve">povinností poskytovateľa služby, </w:t>
      </w:r>
      <w:r w:rsidR="00F5693C" w:rsidRPr="00F5693C">
        <w:rPr>
          <w:rFonts w:ascii="Times New Roman" w:eastAsia="Times New Roman" w:hAnsi="Times New Roman" w:cs="Times New Roman"/>
          <w:sz w:val="24"/>
          <w:szCs w:val="24"/>
        </w:rPr>
        <w:t>kontrol</w:t>
      </w:r>
      <w:r w:rsidR="00F5693C">
        <w:rPr>
          <w:rFonts w:ascii="Times New Roman" w:eastAsia="Times New Roman" w:hAnsi="Times New Roman" w:cs="Times New Roman"/>
          <w:sz w:val="24"/>
          <w:szCs w:val="24"/>
        </w:rPr>
        <w:t>u</w:t>
      </w:r>
      <w:r w:rsidR="00F5693C" w:rsidRPr="00F5693C">
        <w:rPr>
          <w:rFonts w:ascii="Times New Roman" w:eastAsia="Times New Roman" w:hAnsi="Times New Roman" w:cs="Times New Roman"/>
          <w:sz w:val="24"/>
          <w:szCs w:val="24"/>
        </w:rPr>
        <w:t xml:space="preserve"> súladu služieb</w:t>
      </w:r>
      <w:r w:rsidR="00F5693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F0794">
        <w:rPr>
          <w:rFonts w:ascii="Times New Roman" w:eastAsia="Times New Roman" w:hAnsi="Times New Roman" w:cs="Times New Roman"/>
          <w:sz w:val="24"/>
          <w:szCs w:val="24"/>
        </w:rPr>
        <w:t> stanovuj</w:t>
      </w:r>
      <w:r w:rsidR="00987D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4F0794">
        <w:rPr>
          <w:rFonts w:ascii="Times New Roman" w:eastAsia="Times New Roman" w:hAnsi="Times New Roman" w:cs="Times New Roman"/>
          <w:sz w:val="24"/>
          <w:szCs w:val="24"/>
        </w:rPr>
        <w:t xml:space="preserve"> pokuty za</w:t>
      </w:r>
      <w:r w:rsidR="00F31C27">
        <w:rPr>
          <w:rFonts w:ascii="Times New Roman" w:eastAsia="Times New Roman" w:hAnsi="Times New Roman" w:cs="Times New Roman"/>
          <w:sz w:val="24"/>
          <w:szCs w:val="24"/>
        </w:rPr>
        <w:t xml:space="preserve"> správne delikty</w:t>
      </w:r>
      <w:r w:rsidR="00F56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739C3">
        <w:rPr>
          <w:rFonts w:ascii="Times New Roman" w:hAnsi="Times New Roman" w:cs="Times New Roman"/>
          <w:sz w:val="24"/>
          <w:szCs w:val="24"/>
        </w:rPr>
        <w:t xml:space="preserve">mernica </w:t>
      </w:r>
      <w:r w:rsidRPr="00694942">
        <w:rPr>
          <w:rFonts w:ascii="Times New Roman" w:hAnsi="Times New Roman" w:cs="Times New Roman"/>
          <w:sz w:val="24"/>
          <w:szCs w:val="24"/>
        </w:rPr>
        <w:t>Európskeho parlamentu a Rady (</w:t>
      </w:r>
      <w:r>
        <w:rPr>
          <w:rFonts w:ascii="Times New Roman" w:hAnsi="Times New Roman" w:cs="Times New Roman"/>
          <w:sz w:val="24"/>
          <w:szCs w:val="24"/>
        </w:rPr>
        <w:t xml:space="preserve">EÚ) 2019/882 zo 17. apríla 2019 </w:t>
      </w:r>
      <w:r w:rsidRPr="00694942">
        <w:rPr>
          <w:rFonts w:ascii="Times New Roman" w:hAnsi="Times New Roman" w:cs="Times New Roman"/>
          <w:sz w:val="24"/>
          <w:szCs w:val="24"/>
        </w:rPr>
        <w:t>o požiadavkách na prístupnosť výrobkov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942">
        <w:rPr>
          <w:rFonts w:ascii="Times New Roman" w:hAnsi="Times New Roman" w:cs="Times New Roman"/>
          <w:sz w:val="24"/>
          <w:szCs w:val="24"/>
        </w:rPr>
        <w:t>služieb</w:t>
      </w:r>
      <w:r w:rsidRPr="00B739C3">
        <w:rPr>
          <w:rFonts w:ascii="Times New Roman" w:hAnsi="Times New Roman" w:cs="Times New Roman"/>
          <w:sz w:val="24"/>
          <w:szCs w:val="24"/>
        </w:rPr>
        <w:t xml:space="preserve"> sa vzťahuje nielen na služby, ale aj na výrobky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Časť upravujúca</w:t>
      </w:r>
      <w:r w:rsidRPr="00B739C3">
        <w:rPr>
          <w:rFonts w:ascii="Times New Roman" w:hAnsi="Times New Roman" w:cs="Times New Roman"/>
          <w:sz w:val="24"/>
          <w:szCs w:val="24"/>
        </w:rPr>
        <w:t xml:space="preserve"> oblas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B739C3">
        <w:rPr>
          <w:rFonts w:ascii="Times New Roman" w:hAnsi="Times New Roman" w:cs="Times New Roman"/>
          <w:sz w:val="24"/>
          <w:szCs w:val="24"/>
        </w:rPr>
        <w:t xml:space="preserve"> výrobkov zodpovedá vo svojej podstate princípu zakotvenia práv a povinností súvisiacich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39C3">
        <w:rPr>
          <w:rFonts w:ascii="Times New Roman" w:hAnsi="Times New Roman" w:cs="Times New Roman"/>
          <w:sz w:val="24"/>
          <w:szCs w:val="24"/>
        </w:rPr>
        <w:t>technickými požiadavkami na stanovené výrobky, ktoré vychádza zo zákona č. 56/2018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39C3">
        <w:rPr>
          <w:rFonts w:ascii="Times New Roman" w:hAnsi="Times New Roman" w:cs="Times New Roman"/>
          <w:sz w:val="24"/>
          <w:szCs w:val="24"/>
        </w:rPr>
        <w:t>posudzovaní zhody výrobku, sprístupňovaní určeného výrobku na trhu a o zmene a doplnení niektorých zákonov</w:t>
      </w:r>
      <w:r>
        <w:rPr>
          <w:rFonts w:ascii="Times New Roman" w:hAnsi="Times New Roman" w:cs="Times New Roman"/>
          <w:sz w:val="24"/>
          <w:szCs w:val="24"/>
        </w:rPr>
        <w:t>. Samotné technické požiadavky na prístupnosť výrobkov pre osoby so zdravotným postihnutím sa navrhuje upraviť aproximačným nariadením vlády Slovenskej republiky, teda spôsobom, ktorý je pri posudzovaní zhody výrobkov zaužívaný.</w:t>
      </w:r>
    </w:p>
    <w:p w:rsidR="00F5693C" w:rsidRDefault="00F5693C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578CD" w:rsidRDefault="007578CD" w:rsidP="00757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2B">
        <w:rPr>
          <w:rFonts w:ascii="Times New Roman" w:hAnsi="Times New Roman" w:cs="Times New Roman"/>
          <w:sz w:val="24"/>
          <w:szCs w:val="24"/>
        </w:rPr>
        <w:lastRenderedPageBreak/>
        <w:t xml:space="preserve">V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4652B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F4652B">
        <w:rPr>
          <w:rFonts w:ascii="Times New Roman" w:hAnsi="Times New Roman" w:cs="Times New Roman"/>
          <w:sz w:val="24"/>
          <w:szCs w:val="24"/>
        </w:rPr>
        <w:t xml:space="preserve"> sa navrhuje doplniť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 č. 308/2000 Z. z. o vysielaní a retransmisii </w:t>
      </w:r>
      <w:r w:rsidRPr="00A85F44">
        <w:rPr>
          <w:rFonts w:ascii="Times New Roman" w:eastAsia="Times New Roman" w:hAnsi="Times New Roman" w:cs="Times New Roman"/>
          <w:sz w:val="24"/>
          <w:szCs w:val="24"/>
        </w:rPr>
        <w:t>a o zmene zákona č. 195/2000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F44">
        <w:rPr>
          <w:rFonts w:ascii="Times New Roman" w:eastAsia="Times New Roman" w:hAnsi="Times New Roman" w:cs="Times New Roman"/>
          <w:sz w:val="24"/>
          <w:szCs w:val="24"/>
        </w:rPr>
        <w:t>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F44">
        <w:rPr>
          <w:rFonts w:ascii="Times New Roman" w:eastAsia="Times New Roman" w:hAnsi="Times New Roman" w:cs="Times New Roman"/>
          <w:sz w:val="24"/>
          <w:szCs w:val="24"/>
        </w:rPr>
        <w:t>o telekomunikáciách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znení neskorších predpisov</w:t>
      </w:r>
      <w:r w:rsidRPr="00F4652B">
        <w:rPr>
          <w:rFonts w:ascii="Times New Roman" w:hAnsi="Times New Roman" w:cs="Times New Roman"/>
          <w:sz w:val="24"/>
          <w:szCs w:val="24"/>
        </w:rPr>
        <w:t>) tak, že sa rozšíri predmet zákona o  služby multimodálneho prístupu, vymedzuje sa služba multimodálneho prístupu, povinnosti poskytovateľa tejto služby,  rozširuje sa postavenie Rady pre mediálne služby ako regulátora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652B">
        <w:rPr>
          <w:rFonts w:ascii="Times New Roman" w:hAnsi="Times New Roman" w:cs="Times New Roman"/>
          <w:sz w:val="24"/>
          <w:szCs w:val="24"/>
        </w:rPr>
        <w:t>navrhuje sa zaviesť sankcie za porušenie povinností poskytovateľa služby multimodálneho prístupu, ktoré bude ukladať regulátor.</w:t>
      </w:r>
    </w:p>
    <w:p w:rsidR="007578CD" w:rsidRDefault="007578CD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2B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4652B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4652B">
        <w:rPr>
          <w:rFonts w:ascii="Times New Roman" w:hAnsi="Times New Roman" w:cs="Times New Roman"/>
          <w:sz w:val="24"/>
          <w:szCs w:val="24"/>
        </w:rPr>
        <w:t xml:space="preserve"> sa navrhuje doplniť zákon č. 245/2008 Z. z. o výchove a vzdelávaní (školský zákon) a o zmene a doplnení niektorých zákonov v znení neskorších predpisov s cieľom, aby edukačná publikácia, ktorá je vydaná v elektronickej podobe  a používa sa na vzdelávanie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652B">
        <w:rPr>
          <w:rFonts w:ascii="Times New Roman" w:hAnsi="Times New Roman" w:cs="Times New Roman"/>
          <w:sz w:val="24"/>
          <w:szCs w:val="24"/>
        </w:rPr>
        <w:t>školách, spĺňala požiadavky na prístupnosť pre osoby so zdravotným postihnutím.</w:t>
      </w: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52B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F4652B">
        <w:rPr>
          <w:rFonts w:ascii="Times New Roman" w:hAnsi="Times New Roman" w:cs="Times New Roman"/>
          <w:sz w:val="24"/>
          <w:szCs w:val="24"/>
        </w:rPr>
        <w:t xml:space="preserve">l. </w:t>
      </w:r>
      <w:r w:rsidR="000251DB">
        <w:rPr>
          <w:rFonts w:ascii="Times New Roman" w:hAnsi="Times New Roman" w:cs="Times New Roman"/>
          <w:sz w:val="24"/>
          <w:szCs w:val="24"/>
        </w:rPr>
        <w:t>IX</w:t>
      </w:r>
      <w:r w:rsidR="000251DB" w:rsidRPr="00F4652B">
        <w:rPr>
          <w:rFonts w:ascii="Times New Roman" w:hAnsi="Times New Roman" w:cs="Times New Roman"/>
          <w:sz w:val="24"/>
          <w:szCs w:val="24"/>
        </w:rPr>
        <w:t xml:space="preserve"> </w:t>
      </w:r>
      <w:r w:rsidRPr="00F4652B">
        <w:rPr>
          <w:rFonts w:ascii="Times New Roman" w:hAnsi="Times New Roman" w:cs="Times New Roman"/>
          <w:sz w:val="24"/>
          <w:szCs w:val="24"/>
        </w:rPr>
        <w:t>sa navrhuje zmena a doplnenie  zákona č. 452/2021 Z. z. o elektronických komunikáciách v znení zákona č. 533/2021 Z. z.  s cieľom implementovať príslušné ustanovenia smernice týkajúce sa služieb elektronických komunikácií.</w:t>
      </w:r>
    </w:p>
    <w:p w:rsidR="00364809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809" w:rsidRPr="006E3E7C" w:rsidRDefault="00364809" w:rsidP="0036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</w:t>
      </w:r>
      <w:r w:rsidR="000251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čl. I</w:t>
      </w:r>
      <w:r w:rsidR="000251D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a čl. V</w:t>
      </w:r>
      <w:r w:rsidR="000251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až VIII sa navrhuje doplniť d</w:t>
      </w:r>
      <w:r w:rsidRPr="006E3E7C">
        <w:rPr>
          <w:rFonts w:ascii="Times New Roman" w:hAnsi="Times New Roman" w:cs="Times New Roman"/>
          <w:sz w:val="24"/>
          <w:szCs w:val="24"/>
        </w:rPr>
        <w:t>o zoznamu preberaných právne záväzných aktov Európskej únie, ktorý je v transpozičnej prílohe, Smernicu Európskeho parlamentu a Rady (EÚ) 2019/882 zo 17. apríla 2019 o požiadavkách na prístupnosť výrobkov a</w:t>
      </w:r>
      <w:r w:rsidR="000F441C">
        <w:rPr>
          <w:rFonts w:ascii="Times New Roman" w:hAnsi="Times New Roman" w:cs="Times New Roman"/>
          <w:sz w:val="24"/>
          <w:szCs w:val="24"/>
        </w:rPr>
        <w:t> </w:t>
      </w:r>
      <w:r w:rsidRPr="006E3E7C">
        <w:rPr>
          <w:rFonts w:ascii="Times New Roman" w:hAnsi="Times New Roman" w:cs="Times New Roman"/>
          <w:sz w:val="24"/>
          <w:szCs w:val="24"/>
        </w:rPr>
        <w:t>služieb.</w:t>
      </w:r>
    </w:p>
    <w:p w:rsidR="00364809" w:rsidRDefault="00364809" w:rsidP="0036480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544" w:rsidRDefault="0007336E" w:rsidP="0036480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</w:t>
      </w:r>
      <w:r w:rsidR="00505BEF">
        <w:rPr>
          <w:rFonts w:ascii="Times New Roman" w:eastAsia="Times New Roman" w:hAnsi="Times New Roman" w:cs="Times New Roman"/>
          <w:sz w:val="24"/>
          <w:szCs w:val="24"/>
        </w:rPr>
        <w:t xml:space="preserve">vládny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má pozitívne sociálne vplyvy a negatívne vplyvy na podnikateľské prostredie. </w:t>
      </w:r>
      <w:r w:rsidR="00505BEF">
        <w:rPr>
          <w:rFonts w:ascii="Times New Roman" w:eastAsia="Times New Roman" w:hAnsi="Times New Roman" w:cs="Times New Roman"/>
          <w:sz w:val="24"/>
          <w:szCs w:val="24"/>
        </w:rPr>
        <w:t>Vládny n</w:t>
      </w:r>
      <w:r>
        <w:rPr>
          <w:rFonts w:ascii="Times New Roman" w:eastAsia="Times New Roman" w:hAnsi="Times New Roman" w:cs="Times New Roman"/>
          <w:sz w:val="24"/>
          <w:szCs w:val="24"/>
        </w:rPr>
        <w:t>ávrh zákona nepredpokladá vplyv na rozpočet verejnej správy, vplyvy na životné prostredie, informatizáciu spoločnosti, služby verejnej správy pre občana, ani vplyvy na manželstvo, rodičovstvo a rodinu.</w:t>
      </w:r>
      <w:r w:rsidR="00171544" w:rsidRPr="00B73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4809" w:rsidRDefault="00364809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AB9" w:rsidRPr="00115FC0" w:rsidRDefault="00505BEF" w:rsidP="0036480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Vládny n</w:t>
      </w:r>
      <w:r w:rsidR="00CF7AB9" w:rsidRPr="00115FC0">
        <w:rPr>
          <w:rFonts w:ascii="Times New Roman" w:eastAsia="Times New Roman" w:hAnsi="Times New Roman" w:cs="Times New Roman"/>
          <w:sz w:val="24"/>
          <w:szCs w:val="24"/>
        </w:rPr>
        <w:t>ávrh zákona je v súlade s Ústavou Slovenskej republiky, ústavnými zákonmi, nálezmi Ústavného súdu SR, ďalšími všeobecne záväznými právnymi predpismi Slovenskej republiky, právom Európskej únie, medzinárodnými zmluvami a inými medzinárodnými dokumentmi, ktorými je Slovenská republika viazaná.</w:t>
      </w:r>
    </w:p>
    <w:p w:rsidR="00CF7AB9" w:rsidRPr="00115FC0" w:rsidRDefault="00CF7AB9" w:rsidP="00364809">
      <w:pPr>
        <w:widowControl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115FC0">
        <w:rPr>
          <w:rFonts w:ascii="Calibri" w:eastAsia="Times New Roman" w:hAnsi="Calibri" w:cs="Times New Roman"/>
        </w:rPr>
        <w:t xml:space="preserve"> </w:t>
      </w:r>
    </w:p>
    <w:p w:rsidR="00396384" w:rsidRDefault="00396384" w:rsidP="00364809">
      <w:pPr>
        <w:spacing w:after="0" w:line="240" w:lineRule="auto"/>
      </w:pPr>
    </w:p>
    <w:sectPr w:rsidR="00396384" w:rsidSect="00AB1F57">
      <w:footerReference w:type="default" r:id="rId6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52" w:rsidRDefault="008C6752">
      <w:pPr>
        <w:spacing w:after="0" w:line="240" w:lineRule="auto"/>
      </w:pPr>
      <w:r>
        <w:separator/>
      </w:r>
    </w:p>
  </w:endnote>
  <w:endnote w:type="continuationSeparator" w:id="0">
    <w:p w:rsidR="008C6752" w:rsidRDefault="008C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404263725"/>
      <w:docPartObj>
        <w:docPartGallery w:val="Page Numbers (Bottom of Page)"/>
        <w:docPartUnique/>
      </w:docPartObj>
    </w:sdtPr>
    <w:sdtEndPr/>
    <w:sdtContent>
      <w:p w:rsidR="0064543D" w:rsidRPr="0064543D" w:rsidRDefault="0064543D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64543D">
          <w:rPr>
            <w:rFonts w:ascii="Times New Roman" w:hAnsi="Times New Roman"/>
            <w:sz w:val="20"/>
            <w:szCs w:val="20"/>
          </w:rPr>
          <w:fldChar w:fldCharType="begin"/>
        </w:r>
        <w:r w:rsidRPr="0064543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4543D">
          <w:rPr>
            <w:rFonts w:ascii="Times New Roman" w:hAnsi="Times New Roman"/>
            <w:sz w:val="20"/>
            <w:szCs w:val="20"/>
          </w:rPr>
          <w:fldChar w:fldCharType="separate"/>
        </w:r>
        <w:r w:rsidR="00B0629D">
          <w:rPr>
            <w:rFonts w:ascii="Times New Roman" w:hAnsi="Times New Roman"/>
            <w:noProof/>
            <w:sz w:val="20"/>
            <w:szCs w:val="20"/>
          </w:rPr>
          <w:t>1</w:t>
        </w:r>
        <w:r w:rsidRPr="0064543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34762" w:rsidRPr="0064543D" w:rsidRDefault="008C6752">
    <w:pPr>
      <w:pStyle w:val="Pt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52" w:rsidRDefault="008C6752">
      <w:pPr>
        <w:spacing w:after="0" w:line="240" w:lineRule="auto"/>
      </w:pPr>
      <w:r>
        <w:separator/>
      </w:r>
    </w:p>
  </w:footnote>
  <w:footnote w:type="continuationSeparator" w:id="0">
    <w:p w:rsidR="008C6752" w:rsidRDefault="008C6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B9"/>
    <w:rsid w:val="00015ACF"/>
    <w:rsid w:val="000251DB"/>
    <w:rsid w:val="00025D0F"/>
    <w:rsid w:val="0007336E"/>
    <w:rsid w:val="00075B18"/>
    <w:rsid w:val="000B40C1"/>
    <w:rsid w:val="000F441C"/>
    <w:rsid w:val="00111667"/>
    <w:rsid w:val="00112C37"/>
    <w:rsid w:val="00171544"/>
    <w:rsid w:val="001D18D9"/>
    <w:rsid w:val="0021513A"/>
    <w:rsid w:val="00232359"/>
    <w:rsid w:val="002551EB"/>
    <w:rsid w:val="002E41E8"/>
    <w:rsid w:val="00364809"/>
    <w:rsid w:val="00396384"/>
    <w:rsid w:val="003D0231"/>
    <w:rsid w:val="004F0794"/>
    <w:rsid w:val="00505BEF"/>
    <w:rsid w:val="00531069"/>
    <w:rsid w:val="0053238B"/>
    <w:rsid w:val="005534E6"/>
    <w:rsid w:val="005F0E4D"/>
    <w:rsid w:val="0064543D"/>
    <w:rsid w:val="00721537"/>
    <w:rsid w:val="007578CD"/>
    <w:rsid w:val="00853EF2"/>
    <w:rsid w:val="00894B50"/>
    <w:rsid w:val="008C6752"/>
    <w:rsid w:val="009034F3"/>
    <w:rsid w:val="00931AF1"/>
    <w:rsid w:val="00987DA5"/>
    <w:rsid w:val="00A24F7D"/>
    <w:rsid w:val="00A66C25"/>
    <w:rsid w:val="00AB5F93"/>
    <w:rsid w:val="00AC1206"/>
    <w:rsid w:val="00B0629D"/>
    <w:rsid w:val="00B45079"/>
    <w:rsid w:val="00B65F2C"/>
    <w:rsid w:val="00BC04CD"/>
    <w:rsid w:val="00BE00BC"/>
    <w:rsid w:val="00C37664"/>
    <w:rsid w:val="00C52899"/>
    <w:rsid w:val="00CF7AB9"/>
    <w:rsid w:val="00D265ED"/>
    <w:rsid w:val="00D86C4A"/>
    <w:rsid w:val="00DA5254"/>
    <w:rsid w:val="00F0263B"/>
    <w:rsid w:val="00F31C27"/>
    <w:rsid w:val="00F5693C"/>
    <w:rsid w:val="00F7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AE748-AEEE-4030-9186-00B5AF9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7A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F7AB9"/>
    <w:pPr>
      <w:widowControl w:val="0"/>
      <w:tabs>
        <w:tab w:val="center" w:pos="4536"/>
        <w:tab w:val="right" w:pos="9072"/>
      </w:tabs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CF7AB9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C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4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Chorvatova Julia</dc:creator>
  <cp:keywords/>
  <dc:description/>
  <cp:lastModifiedBy>Cebulakova Monika</cp:lastModifiedBy>
  <cp:revision>2</cp:revision>
  <cp:lastPrinted>2022-05-25T09:44:00Z</cp:lastPrinted>
  <dcterms:created xsi:type="dcterms:W3CDTF">2022-05-26T08:56:00Z</dcterms:created>
  <dcterms:modified xsi:type="dcterms:W3CDTF">2022-05-26T08:56:00Z</dcterms:modified>
</cp:coreProperties>
</file>