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A5581" w14:textId="53201DBA" w:rsidR="00914781" w:rsidRPr="00E93FBA" w:rsidRDefault="00046DEE" w:rsidP="00046DEE">
      <w:pPr>
        <w:pStyle w:val="Nzov"/>
        <w:jc w:val="center"/>
        <w:rPr>
          <w:rFonts w:ascii="Times New Roman" w:hAnsi="Times New Roman"/>
          <w:b/>
          <w:sz w:val="24"/>
        </w:rPr>
      </w:pPr>
      <w:r w:rsidRPr="00E93FBA">
        <w:rPr>
          <w:rFonts w:ascii="Times New Roman" w:hAnsi="Times New Roman"/>
          <w:b/>
          <w:sz w:val="24"/>
        </w:rPr>
        <w:t>DÔVODOVÁ SPRÁVA</w:t>
      </w:r>
    </w:p>
    <w:p w14:paraId="00EF1720" w14:textId="77777777" w:rsidR="00914781" w:rsidRPr="00E93FBA" w:rsidRDefault="00914781" w:rsidP="005B2864">
      <w:pPr>
        <w:jc w:val="both"/>
        <w:rPr>
          <w:lang w:val="sk-SK"/>
        </w:rPr>
      </w:pPr>
    </w:p>
    <w:p w14:paraId="6F56D142" w14:textId="77777777" w:rsidR="00914781" w:rsidRPr="008E3B09" w:rsidRDefault="00914781" w:rsidP="005B2864">
      <w:pPr>
        <w:pStyle w:val="Odsekzoznamu1"/>
        <w:numPr>
          <w:ilvl w:val="0"/>
          <w:numId w:val="1"/>
        </w:numPr>
        <w:spacing w:after="0" w:line="240" w:lineRule="auto"/>
        <w:ind w:left="426" w:hanging="426"/>
        <w:jc w:val="both"/>
        <w:rPr>
          <w:rFonts w:ascii="Times New Roman" w:hAnsi="Times New Roman"/>
          <w:b/>
          <w:sz w:val="24"/>
        </w:rPr>
      </w:pPr>
      <w:r w:rsidRPr="008E3B09">
        <w:rPr>
          <w:rFonts w:ascii="Times New Roman" w:hAnsi="Times New Roman"/>
          <w:b/>
          <w:sz w:val="24"/>
        </w:rPr>
        <w:t xml:space="preserve">Všeobecná časť </w:t>
      </w:r>
    </w:p>
    <w:p w14:paraId="70A6B860" w14:textId="77777777" w:rsidR="00914781" w:rsidRPr="00E93FBA" w:rsidRDefault="00914781" w:rsidP="00503920">
      <w:pPr>
        <w:jc w:val="both"/>
        <w:rPr>
          <w:lang w:val="sk-SK"/>
        </w:rPr>
      </w:pPr>
    </w:p>
    <w:p w14:paraId="553F8257" w14:textId="5EE1A210" w:rsidR="00782227" w:rsidRPr="00E93FBA" w:rsidRDefault="00057A93" w:rsidP="00245C79">
      <w:pPr>
        <w:jc w:val="both"/>
        <w:rPr>
          <w:lang w:val="sk-SK"/>
        </w:rPr>
      </w:pPr>
      <w:r w:rsidRPr="00E93FBA">
        <w:rPr>
          <w:i/>
          <w:lang w:val="sk-SK"/>
        </w:rPr>
        <w:t>Návrh zákona, ktorým sa mení a dopĺňa zákon č. 305/2013 Z. z. o elektronickej podobe výkonu pôsobnosti orgánov verejnej moci a o zmene a doplnení niektorých zákonov (zákon o e-Governmente)</w:t>
      </w:r>
      <w:r w:rsidR="00490112" w:rsidRPr="00E93FBA">
        <w:rPr>
          <w:i/>
          <w:lang w:val="sk-SK"/>
        </w:rPr>
        <w:t xml:space="preserve"> v znení neskorších predpisov</w:t>
      </w:r>
      <w:r w:rsidRPr="00E93FBA">
        <w:rPr>
          <w:i/>
          <w:lang w:val="sk-SK"/>
        </w:rPr>
        <w:t xml:space="preserve"> a ktorým sa menia a dopĺňajú niektoré zákony</w:t>
      </w:r>
      <w:r w:rsidRPr="00E93FBA">
        <w:rPr>
          <w:lang w:val="sk-SK"/>
        </w:rPr>
        <w:t xml:space="preserve"> (ďalej len „návrh zákona“) </w:t>
      </w:r>
      <w:r w:rsidR="00FF4CD7">
        <w:rPr>
          <w:lang w:val="sk-SK"/>
        </w:rPr>
        <w:t xml:space="preserve">sa predkladá </w:t>
      </w:r>
      <w:r w:rsidRPr="00E93FBA">
        <w:rPr>
          <w:lang w:val="sk-SK"/>
        </w:rPr>
        <w:t>na základe úlohy B.1. z uznesenia vlády Slovenskej republiky č. 340 zo 16. júna 2021 k Plánu legislatívnych úloh vlády Slovenskej republiky na mesiace jún až december 2021.</w:t>
      </w:r>
    </w:p>
    <w:p w14:paraId="492B6ACF" w14:textId="77777777" w:rsidR="00503920" w:rsidRPr="00E93FBA" w:rsidRDefault="00503920" w:rsidP="00503920">
      <w:pPr>
        <w:jc w:val="both"/>
        <w:rPr>
          <w:lang w:val="sk-SK"/>
        </w:rPr>
      </w:pPr>
    </w:p>
    <w:p w14:paraId="1E8B5C7C" w14:textId="13FC8327" w:rsidR="0028049E" w:rsidRPr="00E93FBA" w:rsidRDefault="0028049E" w:rsidP="00245C79">
      <w:pPr>
        <w:jc w:val="both"/>
        <w:rPr>
          <w:lang w:val="sk-SK"/>
        </w:rPr>
      </w:pPr>
      <w:r w:rsidRPr="00E93FBA">
        <w:rPr>
          <w:lang w:val="sk-SK"/>
        </w:rPr>
        <w:t xml:space="preserve">Cieľom návrhu zákona je </w:t>
      </w:r>
      <w:r w:rsidR="00507E39" w:rsidRPr="00E93FBA">
        <w:rPr>
          <w:lang w:val="sk-SK"/>
        </w:rPr>
        <w:t xml:space="preserve">reflektovať niektoré otázky aplikačnej praxe a upraviť vzťahy </w:t>
      </w:r>
      <w:r w:rsidR="00B1395C" w:rsidRPr="00E93FBA">
        <w:rPr>
          <w:lang w:val="sk-SK"/>
        </w:rPr>
        <w:t>v súlade s identifikovanými pot</w:t>
      </w:r>
      <w:r w:rsidR="00C632E7" w:rsidRPr="00E93FBA">
        <w:rPr>
          <w:lang w:val="sk-SK"/>
        </w:rPr>
        <w:t>rebami adresátov právnej úpravy.</w:t>
      </w:r>
      <w:r w:rsidR="00B1395C" w:rsidRPr="00E93FBA">
        <w:rPr>
          <w:lang w:val="sk-SK"/>
        </w:rPr>
        <w:t xml:space="preserve"> </w:t>
      </w:r>
    </w:p>
    <w:p w14:paraId="2959F7A2" w14:textId="77777777" w:rsidR="00545B0A" w:rsidRPr="00E93FBA" w:rsidRDefault="00545B0A" w:rsidP="00245C79">
      <w:pPr>
        <w:jc w:val="both"/>
        <w:rPr>
          <w:lang w:val="sk-SK"/>
        </w:rPr>
      </w:pPr>
    </w:p>
    <w:p w14:paraId="01AD55FE" w14:textId="4AC822C4" w:rsidR="00823C0B" w:rsidRPr="00E93FBA" w:rsidRDefault="00411056" w:rsidP="00245C79">
      <w:pPr>
        <w:jc w:val="both"/>
        <w:rPr>
          <w:lang w:val="sk-SK"/>
        </w:rPr>
      </w:pPr>
      <w:r w:rsidRPr="00E93FBA">
        <w:rPr>
          <w:lang w:val="sk-SK"/>
        </w:rPr>
        <w:t xml:space="preserve">Návrh zákona </w:t>
      </w:r>
      <w:r w:rsidR="000928F6" w:rsidRPr="00E93FBA">
        <w:rPr>
          <w:lang w:val="sk-SK"/>
        </w:rPr>
        <w:t>ruší inštitút</w:t>
      </w:r>
      <w:r w:rsidRPr="00E93FBA">
        <w:rPr>
          <w:lang w:val="sk-SK"/>
        </w:rPr>
        <w:t> integrovaný</w:t>
      </w:r>
      <w:r w:rsidR="000928F6" w:rsidRPr="00E93FBA">
        <w:rPr>
          <w:lang w:val="sk-SK"/>
        </w:rPr>
        <w:t>ch</w:t>
      </w:r>
      <w:r w:rsidRPr="00E93FBA">
        <w:rPr>
          <w:lang w:val="sk-SK"/>
        </w:rPr>
        <w:t xml:space="preserve"> obslužný</w:t>
      </w:r>
      <w:r w:rsidR="000928F6" w:rsidRPr="00E93FBA">
        <w:rPr>
          <w:lang w:val="sk-SK"/>
        </w:rPr>
        <w:t>ch</w:t>
      </w:r>
      <w:r w:rsidRPr="00E93FBA">
        <w:rPr>
          <w:lang w:val="sk-SK"/>
        </w:rPr>
        <w:t xml:space="preserve"> miest</w:t>
      </w:r>
      <w:r w:rsidR="0095697A" w:rsidRPr="00E93FBA">
        <w:rPr>
          <w:lang w:val="sk-SK"/>
        </w:rPr>
        <w:t xml:space="preserve"> (ďalej len „IOM“)</w:t>
      </w:r>
      <w:r w:rsidR="000928F6" w:rsidRPr="00E93FBA">
        <w:rPr>
          <w:lang w:val="sk-SK"/>
        </w:rPr>
        <w:t xml:space="preserve">, keďže v zásadnej časti činností nenašiel predpokladané uplatnenie. </w:t>
      </w:r>
      <w:r w:rsidR="005D45E6" w:rsidRPr="00E93FBA">
        <w:rPr>
          <w:lang w:val="sk-SK"/>
        </w:rPr>
        <w:t>Časť činnosti, ktorá sa týka vydávania výpisov z verejných evidencií bude zachovaná, pričom táto činnosť bude realizovaná cez príslušné inštitúty zákona č. 95/2019 Z. z. o informačných technológiách vo verejnej správe a o zmene a doplnení niektorých zákonov v znení neskorších predpisov</w:t>
      </w:r>
      <w:r w:rsidR="0081797C" w:rsidRPr="00E93FBA">
        <w:rPr>
          <w:lang w:val="sk-SK"/>
        </w:rPr>
        <w:t>.</w:t>
      </w:r>
      <w:r w:rsidR="00614181" w:rsidRPr="00E93FBA">
        <w:rPr>
          <w:lang w:val="sk-SK"/>
        </w:rPr>
        <w:t xml:space="preserve"> </w:t>
      </w:r>
    </w:p>
    <w:p w14:paraId="7AEAA76B" w14:textId="77777777" w:rsidR="00545B0A" w:rsidRPr="00E93FBA" w:rsidRDefault="00545B0A" w:rsidP="00245C79">
      <w:pPr>
        <w:jc w:val="both"/>
        <w:rPr>
          <w:lang w:val="sk-SK"/>
        </w:rPr>
      </w:pPr>
    </w:p>
    <w:p w14:paraId="73366B06" w14:textId="3F37453B" w:rsidR="00823C0B" w:rsidRPr="00E93FBA" w:rsidRDefault="005C1D66" w:rsidP="00245C79">
      <w:pPr>
        <w:jc w:val="both"/>
        <w:rPr>
          <w:lang w:val="sk-SK"/>
        </w:rPr>
      </w:pPr>
      <w:r w:rsidRPr="00E93FBA">
        <w:rPr>
          <w:lang w:val="sk-SK"/>
        </w:rPr>
        <w:t>Návrhom zákona dochádza k revízii právnej úpravy zriaďovania elektronických sc</w:t>
      </w:r>
      <w:r w:rsidR="00C31026" w:rsidRPr="00E93FBA">
        <w:rPr>
          <w:lang w:val="sk-SK"/>
        </w:rPr>
        <w:t>hránok pre orgány verejnej moci</w:t>
      </w:r>
      <w:r w:rsidR="000B4F67">
        <w:rPr>
          <w:lang w:val="sk-SK"/>
        </w:rPr>
        <w:t>, zriaďovania a aktivácie schránok pre zapísané organizačné zložky a deaktivácie schránok pre fyzické osoby podnikateľov</w:t>
      </w:r>
      <w:r w:rsidRPr="00E93FBA">
        <w:rPr>
          <w:lang w:val="sk-SK"/>
        </w:rPr>
        <w:t xml:space="preserve">. </w:t>
      </w:r>
      <w:r w:rsidR="00251315" w:rsidRPr="00E93FBA">
        <w:rPr>
          <w:lang w:val="sk-SK"/>
        </w:rPr>
        <w:t>V oblasti doručovania dochádza k úprave pravidiel</w:t>
      </w:r>
      <w:r w:rsidRPr="00E93FBA">
        <w:rPr>
          <w:lang w:val="sk-SK"/>
        </w:rPr>
        <w:t xml:space="preserve"> doručovania</w:t>
      </w:r>
      <w:r w:rsidR="000B4F67">
        <w:rPr>
          <w:lang w:val="sk-SK"/>
        </w:rPr>
        <w:t xml:space="preserve"> elektronických úradných dokumentov</w:t>
      </w:r>
      <w:r w:rsidRPr="00E93FBA">
        <w:rPr>
          <w:lang w:val="sk-SK"/>
        </w:rPr>
        <w:t xml:space="preserve"> </w:t>
      </w:r>
      <w:r w:rsidR="000B4F67">
        <w:rPr>
          <w:lang w:val="sk-SK"/>
        </w:rPr>
        <w:t xml:space="preserve">v prípade deaktivácie elektronickej schránky </w:t>
      </w:r>
      <w:r w:rsidR="004C50EA" w:rsidRPr="00E93FBA">
        <w:rPr>
          <w:lang w:val="sk-SK"/>
        </w:rPr>
        <w:t xml:space="preserve">s cieľom </w:t>
      </w:r>
      <w:r w:rsidR="000B4F67">
        <w:rPr>
          <w:lang w:val="sk-SK"/>
        </w:rPr>
        <w:t>minimalizovať</w:t>
      </w:r>
      <w:r w:rsidR="004C50EA" w:rsidRPr="00E93FBA">
        <w:rPr>
          <w:lang w:val="sk-SK"/>
        </w:rPr>
        <w:t xml:space="preserve"> špekulatívne konani</w:t>
      </w:r>
      <w:r w:rsidR="000B4F67">
        <w:rPr>
          <w:lang w:val="sk-SK"/>
        </w:rPr>
        <w:t>e</w:t>
      </w:r>
      <w:r w:rsidR="004C50EA" w:rsidRPr="00E93FBA">
        <w:rPr>
          <w:lang w:val="sk-SK"/>
        </w:rPr>
        <w:t xml:space="preserve"> pri deaktivácii elektronickej schránky a</w:t>
      </w:r>
      <w:r w:rsidR="004A015D" w:rsidRPr="00E93FBA">
        <w:rPr>
          <w:lang w:val="sk-SK"/>
        </w:rPr>
        <w:t xml:space="preserve">  </w:t>
      </w:r>
      <w:r w:rsidR="004C50EA" w:rsidRPr="00E93FBA">
        <w:rPr>
          <w:lang w:val="sk-SK"/>
        </w:rPr>
        <w:t>zefektívniť činnosť orgánov verejnej moci pri doručovaní elektronických úradných dokumentov</w:t>
      </w:r>
      <w:r w:rsidR="00E961AA" w:rsidRPr="00E93FBA">
        <w:rPr>
          <w:lang w:val="sk-SK"/>
        </w:rPr>
        <w:t>.</w:t>
      </w:r>
      <w:r w:rsidR="004C29CF" w:rsidRPr="00E93FBA">
        <w:rPr>
          <w:lang w:val="sk-SK"/>
        </w:rPr>
        <w:t xml:space="preserve"> </w:t>
      </w:r>
    </w:p>
    <w:p w14:paraId="63384A8C" w14:textId="77777777" w:rsidR="00545B0A" w:rsidRPr="00E93FBA" w:rsidRDefault="00545B0A" w:rsidP="00245C79">
      <w:pPr>
        <w:jc w:val="both"/>
        <w:rPr>
          <w:lang w:val="sk-SK"/>
        </w:rPr>
      </w:pPr>
    </w:p>
    <w:p w14:paraId="2FF2E414" w14:textId="36BAA5E4" w:rsidR="00823C0B" w:rsidRPr="00E93FBA" w:rsidRDefault="00E961AA" w:rsidP="00245C79">
      <w:pPr>
        <w:jc w:val="both"/>
        <w:rPr>
          <w:lang w:val="sk-SK"/>
        </w:rPr>
      </w:pPr>
      <w:r w:rsidRPr="00E93FBA">
        <w:rPr>
          <w:lang w:val="sk-SK"/>
        </w:rPr>
        <w:t xml:space="preserve">V oblasti autentifikácie sa </w:t>
      </w:r>
      <w:r w:rsidR="00A75837" w:rsidRPr="00E93FBA">
        <w:rPr>
          <w:lang w:val="sk-SK"/>
        </w:rPr>
        <w:t>navrhuje otvoriť</w:t>
      </w:r>
      <w:r w:rsidR="00512F12" w:rsidRPr="00E93FBA">
        <w:rPr>
          <w:lang w:val="sk-SK"/>
        </w:rPr>
        <w:t xml:space="preserve"> právnu úpravu pre používanie iných </w:t>
      </w:r>
      <w:r w:rsidR="00490112" w:rsidRPr="00E93FBA">
        <w:rPr>
          <w:lang w:val="sk-SK"/>
        </w:rPr>
        <w:t xml:space="preserve">ako </w:t>
      </w:r>
      <w:r w:rsidR="00512F12" w:rsidRPr="00E93FBA">
        <w:rPr>
          <w:lang w:val="sk-SK"/>
        </w:rPr>
        <w:t>dnes v</w:t>
      </w:r>
      <w:r w:rsidR="00846B6F" w:rsidRPr="00E93FBA">
        <w:rPr>
          <w:lang w:val="sk-SK"/>
        </w:rPr>
        <w:t> </w:t>
      </w:r>
      <w:r w:rsidR="00512F12" w:rsidRPr="00E93FBA">
        <w:rPr>
          <w:lang w:val="sk-SK"/>
        </w:rPr>
        <w:t>zákone</w:t>
      </w:r>
      <w:r w:rsidR="00846B6F" w:rsidRPr="00E93FBA">
        <w:rPr>
          <w:lang w:val="sk-SK"/>
        </w:rPr>
        <w:t xml:space="preserve"> o e-Governmente</w:t>
      </w:r>
      <w:r w:rsidR="00512F12" w:rsidRPr="00E93FBA">
        <w:rPr>
          <w:lang w:val="sk-SK"/>
        </w:rPr>
        <w:t xml:space="preserve"> ustanovených autentifikátorov. Zachováva sa </w:t>
      </w:r>
      <w:r w:rsidR="003A700C" w:rsidRPr="00E93FBA">
        <w:rPr>
          <w:lang w:val="sk-SK"/>
        </w:rPr>
        <w:t xml:space="preserve">možnosť autentifikácie s použitím dokladov (eID a doklad o pobyte cudzinca), ako aj autentifikačných prostriedkov notifikovaných podľa nariadenia </w:t>
      </w:r>
      <w:r w:rsidR="00CC39EA" w:rsidRPr="00E93FBA">
        <w:rPr>
          <w:lang w:val="sk-SK"/>
        </w:rPr>
        <w:t xml:space="preserve">Európskeho parlamentu a Rady </w:t>
      </w:r>
      <w:r w:rsidR="00C50473" w:rsidRPr="00E93FBA">
        <w:rPr>
          <w:lang w:val="sk-SK"/>
        </w:rPr>
        <w:t>(EÚ) č. 910/2014</w:t>
      </w:r>
      <w:r w:rsidR="00CC39EA" w:rsidRPr="00E93FBA">
        <w:rPr>
          <w:lang w:val="sk-SK"/>
        </w:rPr>
        <w:t xml:space="preserve"> </w:t>
      </w:r>
      <w:r w:rsidR="00CC39EA" w:rsidRPr="00E93FBA">
        <w:rPr>
          <w:bCs/>
          <w:lang w:val="sk-SK"/>
        </w:rPr>
        <w:t>z  23. júla 2014 o elektronickej identifikácii a dôveryhodných službách pre elektronické transakcie na vnútornom trhu a o zrušení smernice 1999/93/ES</w:t>
      </w:r>
      <w:r w:rsidR="00622173" w:rsidRPr="00E93FBA">
        <w:rPr>
          <w:bCs/>
          <w:lang w:val="sk-SK"/>
        </w:rPr>
        <w:t xml:space="preserve"> (ďalej len „nariadenie (EÚ) č. 910/2014“)</w:t>
      </w:r>
      <w:r w:rsidR="00A509D4" w:rsidRPr="00E93FBA">
        <w:rPr>
          <w:lang w:val="sk-SK"/>
        </w:rPr>
        <w:t xml:space="preserve"> a pre iné </w:t>
      </w:r>
      <w:r w:rsidR="000A1AC6" w:rsidRPr="00E93FBA">
        <w:rPr>
          <w:lang w:val="sk-SK"/>
        </w:rPr>
        <w:t>autentifikačné</w:t>
      </w:r>
      <w:r w:rsidR="00A509D4" w:rsidRPr="00E93FBA">
        <w:rPr>
          <w:lang w:val="sk-SK"/>
        </w:rPr>
        <w:t xml:space="preserve"> prostriedky sa navrhuje zaviesť </w:t>
      </w:r>
      <w:r w:rsidR="00E0288B" w:rsidRPr="00E93FBA">
        <w:rPr>
          <w:lang w:val="sk-SK"/>
        </w:rPr>
        <w:t xml:space="preserve">postup posudzovania </w:t>
      </w:r>
      <w:r w:rsidR="000A1AC6" w:rsidRPr="00E93FBA">
        <w:rPr>
          <w:lang w:val="sk-SK"/>
        </w:rPr>
        <w:t>ich súlad</w:t>
      </w:r>
      <w:r w:rsidR="00CC39EA" w:rsidRPr="00E93FBA">
        <w:rPr>
          <w:lang w:val="sk-SK"/>
        </w:rPr>
        <w:t>u</w:t>
      </w:r>
      <w:r w:rsidR="000A1AC6" w:rsidRPr="00E93FBA">
        <w:rPr>
          <w:lang w:val="sk-SK"/>
        </w:rPr>
        <w:t xml:space="preserve"> so štandardmi a postupmi podľa zákona</w:t>
      </w:r>
      <w:r w:rsidR="00E0288B" w:rsidRPr="00E93FBA">
        <w:rPr>
          <w:lang w:val="sk-SK"/>
        </w:rPr>
        <w:t xml:space="preserve"> o e-Governmente</w:t>
      </w:r>
      <w:r w:rsidR="000A1AC6" w:rsidRPr="00E93FBA">
        <w:rPr>
          <w:lang w:val="sk-SK"/>
        </w:rPr>
        <w:t xml:space="preserve">, </w:t>
      </w:r>
      <w:r w:rsidR="00E0288B" w:rsidRPr="00E93FBA">
        <w:rPr>
          <w:lang w:val="sk-SK"/>
        </w:rPr>
        <w:t xml:space="preserve">ich </w:t>
      </w:r>
      <w:r w:rsidR="000A1AC6" w:rsidRPr="00E93FBA">
        <w:rPr>
          <w:lang w:val="sk-SK"/>
        </w:rPr>
        <w:t>evidencia a následné používanie podľa rozhodnutia orgánu verejnej moci.</w:t>
      </w:r>
      <w:r w:rsidR="004C29CF" w:rsidRPr="00E93FBA">
        <w:rPr>
          <w:lang w:val="sk-SK"/>
        </w:rPr>
        <w:t xml:space="preserve"> </w:t>
      </w:r>
    </w:p>
    <w:p w14:paraId="79BEBBB0" w14:textId="77777777" w:rsidR="00545B0A" w:rsidRPr="00E93FBA" w:rsidRDefault="00545B0A" w:rsidP="00245C79">
      <w:pPr>
        <w:jc w:val="both"/>
        <w:rPr>
          <w:lang w:val="sk-SK"/>
        </w:rPr>
      </w:pPr>
    </w:p>
    <w:p w14:paraId="21AD7D44" w14:textId="04203A81" w:rsidR="00E20A96" w:rsidRPr="00E93FBA" w:rsidRDefault="00E24067" w:rsidP="00245C79">
      <w:pPr>
        <w:jc w:val="both"/>
        <w:rPr>
          <w:lang w:val="sk-SK"/>
        </w:rPr>
      </w:pPr>
      <w:r w:rsidRPr="00AE35E2">
        <w:rPr>
          <w:lang w:val="sk-SK"/>
        </w:rPr>
        <w:t>Na základe podnetov z aplikačnej praxe sa navrhuje umožniť vytváranie ele</w:t>
      </w:r>
      <w:r w:rsidRPr="00E93FBA">
        <w:rPr>
          <w:lang w:val="sk-SK"/>
        </w:rPr>
        <w:t>ktronického úradného dokumentu aj ako elektronického dokumentu bez použitia elektronického formulára</w:t>
      </w:r>
      <w:r w:rsidR="00AF2B0E" w:rsidRPr="00E93FBA">
        <w:rPr>
          <w:lang w:val="sk-SK"/>
        </w:rPr>
        <w:t>.</w:t>
      </w:r>
    </w:p>
    <w:p w14:paraId="20342C55" w14:textId="77777777" w:rsidR="00E24067" w:rsidRPr="00E93FBA" w:rsidRDefault="00E24067" w:rsidP="00245C79">
      <w:pPr>
        <w:jc w:val="both"/>
        <w:rPr>
          <w:lang w:val="sk-SK"/>
        </w:rPr>
      </w:pPr>
    </w:p>
    <w:p w14:paraId="7EFB1229" w14:textId="2D72A194" w:rsidR="004C29CF" w:rsidRPr="00E93FBA" w:rsidRDefault="00CC39EA" w:rsidP="00245C79">
      <w:pPr>
        <w:jc w:val="both"/>
        <w:rPr>
          <w:lang w:val="sk-SK"/>
        </w:rPr>
      </w:pPr>
      <w:r w:rsidRPr="00E93FBA">
        <w:rPr>
          <w:lang w:val="sk-SK"/>
        </w:rPr>
        <w:t xml:space="preserve">Návrhom zákona sa </w:t>
      </w:r>
      <w:r w:rsidR="00ED4180" w:rsidRPr="00E93FBA">
        <w:rPr>
          <w:lang w:val="sk-SK"/>
        </w:rPr>
        <w:t xml:space="preserve">zároveň </w:t>
      </w:r>
      <w:r w:rsidR="005C1D66" w:rsidRPr="00E93FBA">
        <w:rPr>
          <w:lang w:val="sk-SK"/>
        </w:rPr>
        <w:t xml:space="preserve">navrhuje </w:t>
      </w:r>
      <w:r w:rsidR="00545B0A" w:rsidRPr="00E93FBA">
        <w:rPr>
          <w:lang w:val="sk-SK"/>
        </w:rPr>
        <w:t>rozšíri</w:t>
      </w:r>
      <w:r w:rsidR="005C1D66" w:rsidRPr="00E93FBA">
        <w:rPr>
          <w:lang w:val="sk-SK"/>
        </w:rPr>
        <w:t xml:space="preserve">ť </w:t>
      </w:r>
      <w:r w:rsidR="004A015D" w:rsidRPr="00E93FBA">
        <w:rPr>
          <w:lang w:val="sk-SK"/>
        </w:rPr>
        <w:t xml:space="preserve">okruh osôb oprávnených na vykonávanie </w:t>
      </w:r>
      <w:r w:rsidR="00ED4180" w:rsidRPr="00E93FBA">
        <w:rPr>
          <w:lang w:val="sk-SK"/>
        </w:rPr>
        <w:t xml:space="preserve">zaručenej konverzie, </w:t>
      </w:r>
      <w:r w:rsidR="00D41EAD" w:rsidRPr="00E93FBA">
        <w:rPr>
          <w:lang w:val="sk-SK"/>
        </w:rPr>
        <w:t>upustiť od povinnosti vedenia evidencie u osoby vykonávajúcej konverziu a používanie len centrálnej evidencie zaručených konverzií</w:t>
      </w:r>
      <w:r w:rsidR="007D2AA0" w:rsidRPr="00E93FBA">
        <w:rPr>
          <w:lang w:val="sk-SK"/>
        </w:rPr>
        <w:t>, v spojení s maximálnym zjednodušením náležitostí osvedčovacej doložky.</w:t>
      </w:r>
      <w:r w:rsidR="004C29CF" w:rsidRPr="00E93FBA">
        <w:rPr>
          <w:lang w:val="sk-SK"/>
        </w:rPr>
        <w:t xml:space="preserve"> </w:t>
      </w:r>
    </w:p>
    <w:p w14:paraId="23947AF2" w14:textId="77777777" w:rsidR="004C29CF" w:rsidRPr="00E93FBA" w:rsidRDefault="004C29CF" w:rsidP="00503920">
      <w:pPr>
        <w:jc w:val="both"/>
        <w:rPr>
          <w:lang w:val="sk-SK"/>
        </w:rPr>
      </w:pPr>
    </w:p>
    <w:p w14:paraId="7591741A" w14:textId="6FB44AAF" w:rsidR="00503920" w:rsidRPr="00E93FBA" w:rsidRDefault="005C1D66" w:rsidP="00503920">
      <w:pPr>
        <w:jc w:val="both"/>
        <w:rPr>
          <w:rStyle w:val="Zstupntext"/>
          <w:color w:val="auto"/>
          <w:lang w:val="sk-SK"/>
        </w:rPr>
      </w:pPr>
      <w:r w:rsidRPr="00E93FBA">
        <w:rPr>
          <w:lang w:val="sk-SK"/>
        </w:rPr>
        <w:t xml:space="preserve">V oblasti vládneho cloudu sa navrhuje presun právnej úpravy zo zákona o e-Governmente do zákona č. 95/2019 Z. z. o informačných technológiách vo verejnej správe a o zmene a doplnení niektorých zákonov v znení neskorších predpisov a súvisiace zmeny v tejto časti úpravy, vrátane povinností orgánu vedenia a orgánov riadenia. </w:t>
      </w:r>
      <w:r w:rsidR="00823C0B" w:rsidRPr="00E93FBA">
        <w:rPr>
          <w:lang w:val="sk-SK"/>
        </w:rPr>
        <w:t xml:space="preserve">Navrhuje sa tiež na úrovni zákona </w:t>
      </w:r>
      <w:r w:rsidR="00823C0B" w:rsidRPr="00E93FBA">
        <w:rPr>
          <w:lang w:val="sk-SK"/>
        </w:rPr>
        <w:lastRenderedPageBreak/>
        <w:t>podrobnejšie upraviť otázky prevádzky a používania vládnej siete Govnet.</w:t>
      </w:r>
      <w:r w:rsidR="00545B0A" w:rsidRPr="00E93FBA">
        <w:rPr>
          <w:rStyle w:val="Zstupntext"/>
          <w:color w:val="auto"/>
          <w:lang w:val="sk-SK"/>
        </w:rPr>
        <w:t xml:space="preserve"> Zmeny v ostatných predpisoch súvisia so zrušením inštitútu IOM, resp. s úpravou v oblasti zriaďovania elektronických schránok orgánom verejnej moci podľa zákona o e-Governmente. </w:t>
      </w:r>
    </w:p>
    <w:p w14:paraId="1AE03DE8" w14:textId="77777777" w:rsidR="00A01A44" w:rsidRPr="00E93FBA" w:rsidRDefault="00A01A44" w:rsidP="00245C79">
      <w:pPr>
        <w:jc w:val="both"/>
        <w:rPr>
          <w:rStyle w:val="Zstupntext"/>
          <w:color w:val="000000"/>
          <w:lang w:val="sk-SK"/>
        </w:rPr>
      </w:pPr>
    </w:p>
    <w:p w14:paraId="7703FB34" w14:textId="77D25BC8" w:rsidR="00941D26" w:rsidRPr="00E93FBA" w:rsidRDefault="00941D26" w:rsidP="000E1287">
      <w:pPr>
        <w:jc w:val="both"/>
        <w:rPr>
          <w:rStyle w:val="Zstupntext"/>
          <w:color w:val="000000"/>
          <w:lang w:val="sk-SK"/>
        </w:rPr>
      </w:pPr>
      <w:r w:rsidRPr="00E93FBA">
        <w:rPr>
          <w:rStyle w:val="Zstupntext"/>
          <w:color w:val="000000"/>
          <w:lang w:val="sk-SK"/>
        </w:rPr>
        <w:t>Návrh zákona bo</w:t>
      </w:r>
      <w:r w:rsidR="00A01A44" w:rsidRPr="00E93FBA">
        <w:rPr>
          <w:rStyle w:val="Zstupntext"/>
          <w:color w:val="000000"/>
          <w:lang w:val="sk-SK"/>
        </w:rPr>
        <w:t xml:space="preserve">l vypracovaný predovšetkým </w:t>
      </w:r>
      <w:r w:rsidRPr="00E93FBA">
        <w:rPr>
          <w:rStyle w:val="Zstupntext"/>
          <w:color w:val="000000"/>
          <w:lang w:val="sk-SK"/>
        </w:rPr>
        <w:t xml:space="preserve">na základe </w:t>
      </w:r>
      <w:r w:rsidR="00A65C7F" w:rsidRPr="00E93FBA">
        <w:rPr>
          <w:rStyle w:val="Zstupntext"/>
          <w:color w:val="000000"/>
          <w:lang w:val="sk-SK"/>
        </w:rPr>
        <w:t>výsledkov kontrolnej činnosti Ministerstva investícií, regionálneho rozvoja a informatizácie S</w:t>
      </w:r>
      <w:r w:rsidR="004C3F83" w:rsidRPr="00E93FBA">
        <w:rPr>
          <w:rStyle w:val="Zstupntext"/>
          <w:color w:val="000000"/>
          <w:lang w:val="sk-SK"/>
        </w:rPr>
        <w:t>lovenskej republiky</w:t>
      </w:r>
      <w:r w:rsidR="00490112" w:rsidRPr="00E93FBA">
        <w:rPr>
          <w:rStyle w:val="Zstupntext"/>
          <w:color w:val="000000"/>
          <w:lang w:val="sk-SK"/>
        </w:rPr>
        <w:t xml:space="preserve"> (ďalej len „</w:t>
      </w:r>
      <w:r w:rsidR="00D079B6">
        <w:rPr>
          <w:rStyle w:val="Zstupntext"/>
          <w:color w:val="000000"/>
          <w:lang w:val="sk-SK"/>
        </w:rPr>
        <w:t>ministerstvo investícií</w:t>
      </w:r>
      <w:r w:rsidR="00490112" w:rsidRPr="00E93FBA">
        <w:rPr>
          <w:rStyle w:val="Zstupntext"/>
          <w:color w:val="000000"/>
          <w:lang w:val="sk-SK"/>
        </w:rPr>
        <w:t>“)</w:t>
      </w:r>
      <w:r w:rsidR="00A01A44" w:rsidRPr="00E93FBA">
        <w:rPr>
          <w:rStyle w:val="Zstupntext"/>
          <w:color w:val="000000"/>
          <w:lang w:val="sk-SK"/>
        </w:rPr>
        <w:t xml:space="preserve">, </w:t>
      </w:r>
      <w:r w:rsidR="00A65C7F" w:rsidRPr="00E93FBA">
        <w:rPr>
          <w:rStyle w:val="Zstupntext"/>
          <w:color w:val="000000"/>
          <w:lang w:val="sk-SK"/>
        </w:rPr>
        <w:t xml:space="preserve">na základe doručených </w:t>
      </w:r>
      <w:r w:rsidRPr="00E93FBA">
        <w:rPr>
          <w:rStyle w:val="Zstupntext"/>
          <w:color w:val="000000"/>
          <w:lang w:val="sk-SK"/>
        </w:rPr>
        <w:t xml:space="preserve">podnetov </w:t>
      </w:r>
      <w:r w:rsidR="00A65C7F" w:rsidRPr="00E93FBA">
        <w:rPr>
          <w:rStyle w:val="Zstupntext"/>
          <w:color w:val="000000"/>
          <w:lang w:val="sk-SK"/>
        </w:rPr>
        <w:t xml:space="preserve">od </w:t>
      </w:r>
      <w:r w:rsidR="004A015D" w:rsidRPr="00E93FBA">
        <w:rPr>
          <w:rStyle w:val="Zstupntext"/>
          <w:color w:val="000000"/>
          <w:lang w:val="sk-SK"/>
        </w:rPr>
        <w:t xml:space="preserve">iných </w:t>
      </w:r>
      <w:r w:rsidR="00A65C7F" w:rsidRPr="00E93FBA">
        <w:rPr>
          <w:rStyle w:val="Zstupntext"/>
          <w:color w:val="000000"/>
          <w:lang w:val="sk-SK"/>
        </w:rPr>
        <w:t>orgánov verejnej moci</w:t>
      </w:r>
      <w:r w:rsidR="00A01A44" w:rsidRPr="00E93FBA">
        <w:rPr>
          <w:rStyle w:val="Zstupntext"/>
          <w:color w:val="000000"/>
          <w:lang w:val="sk-SK"/>
        </w:rPr>
        <w:t xml:space="preserve">, odporúčaní z pracovných skupín pod vedením </w:t>
      </w:r>
      <w:r w:rsidR="00D079B6">
        <w:rPr>
          <w:rStyle w:val="Zstupntext"/>
          <w:color w:val="000000"/>
          <w:lang w:val="sk-SK"/>
        </w:rPr>
        <w:t>ministerstva investícií</w:t>
      </w:r>
      <w:r w:rsidR="00A01A44" w:rsidRPr="00E93FBA">
        <w:rPr>
          <w:rStyle w:val="Zstupntext"/>
          <w:color w:val="000000"/>
          <w:lang w:val="sk-SK"/>
        </w:rPr>
        <w:t xml:space="preserve">, a čiastočne aj výstupov z auditu povinností uskutočneného v roku 2021 na základe spolupráce </w:t>
      </w:r>
      <w:r w:rsidR="00D079B6">
        <w:rPr>
          <w:rStyle w:val="Zstupntext"/>
          <w:color w:val="000000"/>
          <w:lang w:val="sk-SK"/>
        </w:rPr>
        <w:t>ministerstva investícií</w:t>
      </w:r>
      <w:r w:rsidR="00D079B6" w:rsidRPr="00E93FBA" w:rsidDel="00D079B6">
        <w:rPr>
          <w:rStyle w:val="Zstupntext"/>
          <w:color w:val="000000"/>
          <w:lang w:val="sk-SK"/>
        </w:rPr>
        <w:t xml:space="preserve"> </w:t>
      </w:r>
      <w:r w:rsidR="00A01A44" w:rsidRPr="00E93FBA">
        <w:rPr>
          <w:rStyle w:val="Zstupntext"/>
          <w:color w:val="000000"/>
          <w:lang w:val="sk-SK"/>
        </w:rPr>
        <w:t>so zástupcami odbornej komunity</w:t>
      </w:r>
      <w:r w:rsidR="00653AE2" w:rsidRPr="00E93FBA">
        <w:rPr>
          <w:rStyle w:val="Zstupntext"/>
          <w:color w:val="000000"/>
          <w:lang w:val="sk-SK"/>
        </w:rPr>
        <w:t>.</w:t>
      </w:r>
    </w:p>
    <w:p w14:paraId="25DD9C58" w14:textId="77777777" w:rsidR="004C29CF" w:rsidRPr="00E93FBA" w:rsidRDefault="004C29CF" w:rsidP="00503920">
      <w:pPr>
        <w:jc w:val="both"/>
        <w:rPr>
          <w:lang w:val="sk-SK"/>
        </w:rPr>
      </w:pPr>
    </w:p>
    <w:p w14:paraId="543AF2B3" w14:textId="5C1802D6" w:rsidR="004C29CF" w:rsidRPr="00E93FBA" w:rsidRDefault="000B317C" w:rsidP="004C29CF">
      <w:pPr>
        <w:jc w:val="both"/>
        <w:rPr>
          <w:lang w:val="sk-SK"/>
        </w:rPr>
      </w:pPr>
      <w:r w:rsidRPr="00E93FBA">
        <w:rPr>
          <w:lang w:val="sk-SK"/>
        </w:rPr>
        <w:t xml:space="preserve">Návrh zákona bude mať </w:t>
      </w:r>
      <w:r w:rsidR="000E1287" w:rsidRPr="00E93FBA">
        <w:rPr>
          <w:lang w:val="sk-SK"/>
        </w:rPr>
        <w:t xml:space="preserve">negatívne </w:t>
      </w:r>
      <w:r w:rsidRPr="00E93FBA">
        <w:rPr>
          <w:lang w:val="sk-SK"/>
        </w:rPr>
        <w:t xml:space="preserve">vplyvy na rozpočet verejnej správy, </w:t>
      </w:r>
      <w:r w:rsidR="008C5916">
        <w:rPr>
          <w:lang w:val="sk-SK"/>
        </w:rPr>
        <w:t xml:space="preserve">pozitívne vplyvy na podnikateľské prostredie, </w:t>
      </w:r>
      <w:r w:rsidR="000E1287" w:rsidRPr="00E93FBA">
        <w:rPr>
          <w:lang w:val="sk-SK"/>
        </w:rPr>
        <w:t xml:space="preserve">pozitívne a negatívne </w:t>
      </w:r>
      <w:r w:rsidRPr="00E93FBA">
        <w:rPr>
          <w:lang w:val="sk-SK"/>
        </w:rPr>
        <w:t xml:space="preserve">vplyvy na informatizáciu spoločnosti a </w:t>
      </w:r>
      <w:r w:rsidR="008C5916">
        <w:rPr>
          <w:lang w:val="sk-SK"/>
        </w:rPr>
        <w:t>negatívne</w:t>
      </w:r>
      <w:r w:rsidR="000E1287" w:rsidRPr="00E93FBA">
        <w:rPr>
          <w:lang w:val="sk-SK"/>
        </w:rPr>
        <w:t xml:space="preserve"> </w:t>
      </w:r>
      <w:r w:rsidRPr="00E93FBA">
        <w:rPr>
          <w:lang w:val="sk-SK"/>
        </w:rPr>
        <w:t xml:space="preserve">vplyvy na služby verejnej správy pre občana. </w:t>
      </w:r>
      <w:r w:rsidR="000E1287" w:rsidRPr="00E93FBA">
        <w:rPr>
          <w:lang w:val="sk-SK"/>
        </w:rPr>
        <w:t>Návrh zákona nebude mať vplyvy na životné prostredie, sociálne vplyvy a vplyvy na manželstvo, rodičovstvo a rodinu</w:t>
      </w:r>
      <w:r w:rsidRPr="00E93FBA">
        <w:rPr>
          <w:lang w:val="sk-SK"/>
        </w:rPr>
        <w:t xml:space="preserve">. </w:t>
      </w:r>
    </w:p>
    <w:p w14:paraId="3C396C09" w14:textId="77777777" w:rsidR="004C29CF" w:rsidRPr="00E93FBA" w:rsidRDefault="004C29CF" w:rsidP="004C29CF">
      <w:pPr>
        <w:jc w:val="both"/>
        <w:rPr>
          <w:lang w:val="sk-SK"/>
        </w:rPr>
      </w:pPr>
    </w:p>
    <w:p w14:paraId="14B64530" w14:textId="77777777" w:rsidR="004C29CF" w:rsidRPr="00E93FBA" w:rsidRDefault="00A65C7F" w:rsidP="00245C79">
      <w:pPr>
        <w:jc w:val="both"/>
        <w:rPr>
          <w:lang w:val="sk-SK"/>
        </w:rPr>
      </w:pPr>
      <w:r w:rsidRPr="00E93FBA">
        <w:rPr>
          <w:lang w:val="sk-SK"/>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r w:rsidR="004C29CF" w:rsidRPr="00E93FBA">
        <w:rPr>
          <w:lang w:val="sk-SK"/>
        </w:rPr>
        <w:t xml:space="preserve"> Návrh zákona nie je predmetom vnútrokomunitárneho pripomienkového konania. </w:t>
      </w:r>
    </w:p>
    <w:p w14:paraId="51C8A6C9" w14:textId="77777777" w:rsidR="00503920" w:rsidRPr="00E93FBA" w:rsidRDefault="00503920" w:rsidP="00245C79">
      <w:pPr>
        <w:jc w:val="both"/>
        <w:rPr>
          <w:lang w:val="sk-SK"/>
        </w:rPr>
      </w:pPr>
    </w:p>
    <w:p w14:paraId="7AF20F00" w14:textId="3434E712" w:rsidR="00A65C7F" w:rsidRDefault="00A65C7F" w:rsidP="00245C79">
      <w:pPr>
        <w:jc w:val="both"/>
        <w:rPr>
          <w:lang w:val="sk-SK"/>
        </w:rPr>
      </w:pPr>
      <w:r w:rsidRPr="00E93FBA">
        <w:rPr>
          <w:lang w:val="sk-SK"/>
        </w:rPr>
        <w:t xml:space="preserve">Predbežná informácia k návrhu zákona bola zverejnená na portáli Slov-Lex od 28. mája 2021 do 18. júna 2021, počas tohto obdobia prebiehali aj konzultácie s podnikateľskými subjektmi. </w:t>
      </w:r>
    </w:p>
    <w:p w14:paraId="60A6EEDB" w14:textId="77777777" w:rsidR="00D870C9" w:rsidRDefault="00D870C9" w:rsidP="00245C79">
      <w:pPr>
        <w:jc w:val="both"/>
        <w:rPr>
          <w:lang w:val="sk-SK"/>
        </w:rPr>
      </w:pPr>
    </w:p>
    <w:p w14:paraId="12EF27AE" w14:textId="41A681A6" w:rsidR="00D870C9" w:rsidRPr="00E93FBA" w:rsidRDefault="00D870C9" w:rsidP="00245C79">
      <w:pPr>
        <w:jc w:val="both"/>
        <w:rPr>
          <w:lang w:val="sk-SK"/>
        </w:rPr>
      </w:pPr>
      <w:r>
        <w:rPr>
          <w:lang w:val="sk-SK"/>
        </w:rPr>
        <w:t>Návrh zákona bol prerokovaný Legislatívnou radou vlády Slovenskej republiky 17. mája 20</w:t>
      </w:r>
      <w:r w:rsidR="00E86FBC">
        <w:rPr>
          <w:lang w:val="sk-SK"/>
        </w:rPr>
        <w:t>22 a pripomienky legislatívnej rady sú v návrhu zákona zapracované.</w:t>
      </w:r>
    </w:p>
    <w:p w14:paraId="656FD587" w14:textId="77777777" w:rsidR="00503920" w:rsidRPr="00E93FBA" w:rsidRDefault="00503920" w:rsidP="00503920">
      <w:pPr>
        <w:jc w:val="both"/>
        <w:rPr>
          <w:lang w:val="sk-SK"/>
        </w:rPr>
      </w:pPr>
    </w:p>
    <w:p w14:paraId="5C725654" w14:textId="6201E8EE" w:rsidR="003B3A85" w:rsidRDefault="00503920" w:rsidP="00767D88">
      <w:pPr>
        <w:tabs>
          <w:tab w:val="left" w:pos="0"/>
        </w:tabs>
        <w:spacing w:after="2"/>
        <w:jc w:val="both"/>
        <w:rPr>
          <w:lang w:val="sk-SK"/>
        </w:rPr>
      </w:pPr>
      <w:r w:rsidRPr="00E93FBA">
        <w:rPr>
          <w:lang w:val="sk-SK"/>
        </w:rPr>
        <w:t xml:space="preserve">Navrhuje sa, aby zákon s prihliadnutím na dĺžku legislatívneho procesu a primeranú legisvakačnú dobu nadobudol účinnosť 1. </w:t>
      </w:r>
      <w:r w:rsidR="00D85AFD">
        <w:rPr>
          <w:lang w:val="sk-SK"/>
        </w:rPr>
        <w:t>októbra</w:t>
      </w:r>
      <w:r w:rsidR="0049326C" w:rsidRPr="00E93FBA">
        <w:rPr>
          <w:lang w:val="sk-SK"/>
        </w:rPr>
        <w:t xml:space="preserve"> </w:t>
      </w:r>
      <w:r w:rsidRPr="00E93FBA">
        <w:rPr>
          <w:lang w:val="sk-SK"/>
        </w:rPr>
        <w:t xml:space="preserve">2022, okrem </w:t>
      </w:r>
      <w:r w:rsidR="00147BC9" w:rsidRPr="00E93FBA">
        <w:rPr>
          <w:lang w:val="sk-SK"/>
        </w:rPr>
        <w:t xml:space="preserve">ustanovení </w:t>
      </w:r>
      <w:r w:rsidR="00795D92" w:rsidRPr="00E93FBA">
        <w:rPr>
          <w:lang w:val="sk-SK"/>
        </w:rPr>
        <w:t>meniacich a dopĺňajúcich prá</w:t>
      </w:r>
      <w:r w:rsidR="00545B0A" w:rsidRPr="00E93FBA">
        <w:rPr>
          <w:lang w:val="sk-SK"/>
        </w:rPr>
        <w:t xml:space="preserve">vnu úpravu zaručenej konverzie </w:t>
      </w:r>
      <w:r w:rsidR="00C93602" w:rsidRPr="00E93FBA">
        <w:rPr>
          <w:lang w:val="sk-SK"/>
        </w:rPr>
        <w:t>a</w:t>
      </w:r>
      <w:r w:rsidR="00795D92" w:rsidRPr="00E93FBA">
        <w:rPr>
          <w:lang w:val="sk-SK"/>
        </w:rPr>
        <w:t xml:space="preserve"> zrušenia vyhlášky </w:t>
      </w:r>
      <w:r w:rsidR="00484BAC" w:rsidRPr="00E93FBA">
        <w:rPr>
          <w:lang w:val="sk-SK"/>
        </w:rPr>
        <w:t>Ministerstva vnútra Slovenskej republiky č. 29/2017 Z. z.</w:t>
      </w:r>
      <w:r w:rsidR="00813C7C" w:rsidRPr="00E93FBA">
        <w:rPr>
          <w:lang w:val="sk-SK"/>
        </w:rPr>
        <w:t xml:space="preserve"> ktorou sa ustanovujú podrobnosti o alternatívnom autentifikátore v znení vyhlášky č. 239/2019 Z. z.</w:t>
      </w:r>
      <w:r w:rsidR="00484BAC" w:rsidRPr="00E93FBA">
        <w:rPr>
          <w:lang w:val="sk-SK"/>
        </w:rPr>
        <w:t xml:space="preserve">, </w:t>
      </w:r>
      <w:r w:rsidR="00C93602" w:rsidRPr="00E93FBA">
        <w:rPr>
          <w:lang w:val="sk-SK"/>
        </w:rPr>
        <w:t>ktor</w:t>
      </w:r>
      <w:r w:rsidR="00484BAC" w:rsidRPr="00E93FBA">
        <w:rPr>
          <w:lang w:val="sk-SK"/>
        </w:rPr>
        <w:t>é</w:t>
      </w:r>
      <w:r w:rsidR="00C93602" w:rsidRPr="00E93FBA">
        <w:rPr>
          <w:lang w:val="sk-SK"/>
        </w:rPr>
        <w:t xml:space="preserve"> nadobúda</w:t>
      </w:r>
      <w:r w:rsidR="00545B0A" w:rsidRPr="00E93FBA">
        <w:rPr>
          <w:lang w:val="sk-SK"/>
        </w:rPr>
        <w:t>jú</w:t>
      </w:r>
      <w:r w:rsidR="00C93602" w:rsidRPr="00E93FBA">
        <w:rPr>
          <w:lang w:val="sk-SK"/>
        </w:rPr>
        <w:t xml:space="preserve"> účinnosť 1. </w:t>
      </w:r>
      <w:r w:rsidR="00D85AFD">
        <w:rPr>
          <w:lang w:val="sk-SK"/>
        </w:rPr>
        <w:t>októbra</w:t>
      </w:r>
      <w:r w:rsidR="0049326C" w:rsidRPr="00E93FBA">
        <w:rPr>
          <w:lang w:val="sk-SK"/>
        </w:rPr>
        <w:t xml:space="preserve"> </w:t>
      </w:r>
      <w:r w:rsidR="00C93602" w:rsidRPr="00E93FBA">
        <w:rPr>
          <w:lang w:val="sk-SK"/>
        </w:rPr>
        <w:t>2024.</w:t>
      </w:r>
    </w:p>
    <w:p w14:paraId="7E51D789" w14:textId="77777777" w:rsidR="003B3A85" w:rsidRDefault="003B3A85">
      <w:pPr>
        <w:rPr>
          <w:lang w:val="sk-SK"/>
        </w:rPr>
      </w:pPr>
      <w:r>
        <w:rPr>
          <w:lang w:val="sk-SK"/>
        </w:rPr>
        <w:br w:type="page"/>
      </w:r>
    </w:p>
    <w:p w14:paraId="335EC10F" w14:textId="77777777" w:rsidR="00B32768" w:rsidRPr="006045CB" w:rsidRDefault="00B32768" w:rsidP="00B32768">
      <w:pPr>
        <w:jc w:val="center"/>
        <w:rPr>
          <w:b/>
          <w:sz w:val="28"/>
          <w:szCs w:val="28"/>
          <w:lang w:eastAsia="sk-SK"/>
        </w:rPr>
      </w:pPr>
      <w:r>
        <w:rPr>
          <w:b/>
          <w:sz w:val="28"/>
          <w:szCs w:val="28"/>
          <w:lang w:eastAsia="sk-SK"/>
        </w:rPr>
        <w:lastRenderedPageBreak/>
        <w:t>D</w:t>
      </w:r>
      <w:r w:rsidRPr="006045CB">
        <w:rPr>
          <w:b/>
          <w:sz w:val="28"/>
          <w:szCs w:val="28"/>
          <w:lang w:eastAsia="sk-SK"/>
        </w:rPr>
        <w:t>oložka vybraných vplyvov</w:t>
      </w:r>
    </w:p>
    <w:p w14:paraId="55212547" w14:textId="77777777" w:rsidR="00B32768" w:rsidRPr="00B043B4" w:rsidRDefault="00B32768" w:rsidP="00B32768">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32768" w:rsidRPr="00B043B4" w14:paraId="5CC2E9CB" w14:textId="77777777" w:rsidTr="00DF7D27">
        <w:tc>
          <w:tcPr>
            <w:tcW w:w="9180" w:type="dxa"/>
            <w:gridSpan w:val="11"/>
            <w:tcBorders>
              <w:bottom w:val="single" w:sz="4" w:space="0" w:color="FFFFFF" w:themeColor="background1"/>
            </w:tcBorders>
            <w:shd w:val="clear" w:color="auto" w:fill="E2E2E2"/>
          </w:tcPr>
          <w:p w14:paraId="73A003E9" w14:textId="77777777" w:rsidR="00B32768" w:rsidRPr="00B32768" w:rsidRDefault="00B32768" w:rsidP="00B32768">
            <w:pPr>
              <w:numPr>
                <w:ilvl w:val="0"/>
                <w:numId w:val="6"/>
              </w:numPr>
              <w:ind w:left="426"/>
              <w:contextualSpacing/>
              <w:rPr>
                <w:rFonts w:eastAsia="Calibri"/>
                <w:b/>
                <w:sz w:val="22"/>
              </w:rPr>
            </w:pPr>
            <w:r w:rsidRPr="00B32768">
              <w:rPr>
                <w:rFonts w:eastAsia="Calibri"/>
                <w:b/>
                <w:sz w:val="22"/>
              </w:rPr>
              <w:t>Základné údaje</w:t>
            </w:r>
          </w:p>
        </w:tc>
      </w:tr>
      <w:tr w:rsidR="00B32768" w:rsidRPr="00B043B4" w14:paraId="7AF02E17" w14:textId="77777777" w:rsidTr="00DF7D27">
        <w:tc>
          <w:tcPr>
            <w:tcW w:w="9180" w:type="dxa"/>
            <w:gridSpan w:val="11"/>
            <w:tcBorders>
              <w:bottom w:val="single" w:sz="4" w:space="0" w:color="FFFFFF" w:themeColor="background1"/>
            </w:tcBorders>
            <w:shd w:val="clear" w:color="auto" w:fill="E2E2E2"/>
          </w:tcPr>
          <w:p w14:paraId="3C8FFD2B" w14:textId="77777777" w:rsidR="00B32768" w:rsidRPr="00B32768" w:rsidRDefault="00B32768" w:rsidP="00DF7D27">
            <w:pPr>
              <w:spacing w:after="200" w:line="276" w:lineRule="auto"/>
              <w:ind w:left="142"/>
              <w:contextualSpacing/>
              <w:rPr>
                <w:rFonts w:eastAsia="Calibri"/>
                <w:b/>
                <w:sz w:val="22"/>
              </w:rPr>
            </w:pPr>
            <w:r w:rsidRPr="00B32768">
              <w:rPr>
                <w:rFonts w:eastAsia="Calibri"/>
                <w:b/>
                <w:sz w:val="22"/>
              </w:rPr>
              <w:t>Názov materiálu</w:t>
            </w:r>
          </w:p>
        </w:tc>
      </w:tr>
      <w:tr w:rsidR="00B32768" w:rsidRPr="00B043B4" w14:paraId="07D1B2E5" w14:textId="77777777" w:rsidTr="00DF7D27">
        <w:tc>
          <w:tcPr>
            <w:tcW w:w="9180" w:type="dxa"/>
            <w:gridSpan w:val="11"/>
            <w:tcBorders>
              <w:top w:val="single" w:sz="4" w:space="0" w:color="FFFFFF" w:themeColor="background1"/>
              <w:bottom w:val="single" w:sz="4" w:space="0" w:color="auto"/>
            </w:tcBorders>
          </w:tcPr>
          <w:p w14:paraId="6B250F88" w14:textId="77777777" w:rsidR="00B32768" w:rsidRPr="00967D68" w:rsidRDefault="00B32768" w:rsidP="00DF7D27">
            <w:pPr>
              <w:spacing w:before="120" w:after="120"/>
              <w:jc w:val="both"/>
              <w:rPr>
                <w:rFonts w:ascii="Times" w:hAnsi="Times" w:cs="Times"/>
                <w:sz w:val="20"/>
                <w:szCs w:val="20"/>
              </w:rPr>
            </w:pPr>
            <w:r>
              <w:rPr>
                <w:rFonts w:ascii="Times" w:hAnsi="Times" w:cs="Times"/>
                <w:sz w:val="20"/>
                <w:szCs w:val="20"/>
              </w:rPr>
              <w:t xml:space="preserve">Zákon, </w:t>
            </w:r>
            <w:r w:rsidRPr="00967D68">
              <w:rPr>
                <w:rFonts w:ascii="Times" w:hAnsi="Times" w:cs="Times"/>
                <w:sz w:val="20"/>
                <w:szCs w:val="20"/>
              </w:rPr>
              <w:t>ktorým sa mení a dopĺňa zákon č. 305/201</w:t>
            </w:r>
            <w:r>
              <w:rPr>
                <w:rFonts w:ascii="Times" w:hAnsi="Times" w:cs="Times"/>
                <w:sz w:val="20"/>
                <w:szCs w:val="20"/>
              </w:rPr>
              <w:t xml:space="preserve">3 Z. z. o elektronickej podobe </w:t>
            </w:r>
            <w:r w:rsidRPr="00967D68">
              <w:rPr>
                <w:rFonts w:ascii="Times" w:hAnsi="Times" w:cs="Times"/>
                <w:sz w:val="20"/>
                <w:szCs w:val="20"/>
              </w:rPr>
              <w:t>výkonu pôsobnosti orgánov verejnej moci a o zmene a doplnení niektorých zákonov (zákon o e-Governmente) v znení neskorších predpisov a ktorým sa menia a dopĺňajú niektoré zákony</w:t>
            </w:r>
            <w:r>
              <w:rPr>
                <w:rFonts w:ascii="Times" w:hAnsi="Times" w:cs="Times"/>
                <w:sz w:val="20"/>
                <w:szCs w:val="20"/>
              </w:rPr>
              <w:t>.</w:t>
            </w:r>
          </w:p>
        </w:tc>
      </w:tr>
      <w:tr w:rsidR="00B32768" w:rsidRPr="00B043B4" w14:paraId="382C646E" w14:textId="77777777" w:rsidTr="00DF7D27">
        <w:tc>
          <w:tcPr>
            <w:tcW w:w="9180" w:type="dxa"/>
            <w:gridSpan w:val="11"/>
            <w:tcBorders>
              <w:top w:val="single" w:sz="4" w:space="0" w:color="auto"/>
              <w:left w:val="single" w:sz="4" w:space="0" w:color="auto"/>
              <w:bottom w:val="single" w:sz="4" w:space="0" w:color="FFFFFF" w:themeColor="background1"/>
            </w:tcBorders>
            <w:shd w:val="clear" w:color="auto" w:fill="E2E2E2"/>
          </w:tcPr>
          <w:p w14:paraId="12C8B09E" w14:textId="77777777" w:rsidR="00B32768" w:rsidRPr="00B043B4" w:rsidRDefault="00B32768" w:rsidP="00DF7D27">
            <w:pPr>
              <w:spacing w:after="200" w:line="276" w:lineRule="auto"/>
              <w:ind w:left="142"/>
              <w:contextualSpacing/>
              <w:rPr>
                <w:rFonts w:eastAsia="Calibri"/>
                <w:b/>
              </w:rPr>
            </w:pPr>
            <w:r w:rsidRPr="00B32768">
              <w:rPr>
                <w:rFonts w:eastAsia="Calibri"/>
                <w:b/>
                <w:sz w:val="22"/>
              </w:rPr>
              <w:t>Predkladateľ (a spolupredkladateľ)</w:t>
            </w:r>
          </w:p>
        </w:tc>
      </w:tr>
      <w:tr w:rsidR="00B32768" w:rsidRPr="00B043B4" w14:paraId="13A794E6" w14:textId="77777777" w:rsidTr="00DF7D27">
        <w:tc>
          <w:tcPr>
            <w:tcW w:w="9180" w:type="dxa"/>
            <w:gridSpan w:val="11"/>
            <w:tcBorders>
              <w:top w:val="single" w:sz="4" w:space="0" w:color="FFFFFF" w:themeColor="background1"/>
              <w:left w:val="single" w:sz="4" w:space="0" w:color="auto"/>
              <w:bottom w:val="single" w:sz="4" w:space="0" w:color="auto"/>
            </w:tcBorders>
            <w:shd w:val="clear" w:color="auto" w:fill="FFFFFF" w:themeFill="background1"/>
          </w:tcPr>
          <w:p w14:paraId="1A15B14C" w14:textId="77777777" w:rsidR="00B32768" w:rsidRPr="00B043B4" w:rsidRDefault="00B32768" w:rsidP="00DF7D27">
            <w:pPr>
              <w:rPr>
                <w:rFonts w:eastAsia="Times New Roman"/>
                <w:sz w:val="20"/>
                <w:szCs w:val="20"/>
                <w:lang w:eastAsia="sk-SK"/>
              </w:rPr>
            </w:pPr>
            <w:r>
              <w:rPr>
                <w:rFonts w:eastAsia="Times New Roman"/>
                <w:sz w:val="20"/>
                <w:szCs w:val="20"/>
                <w:lang w:eastAsia="sk-SK"/>
              </w:rPr>
              <w:t xml:space="preserve">Ministerstvo investícií, regionálneho rozvoja a informatizácie Slovenskej republiky </w:t>
            </w:r>
            <w:r>
              <w:rPr>
                <w:rFonts w:ascii="Times" w:hAnsi="Times" w:cs="Times"/>
                <w:sz w:val="20"/>
                <w:szCs w:val="20"/>
              </w:rPr>
              <w:t>(ďalej len „MIRRI SR“)</w:t>
            </w:r>
          </w:p>
          <w:p w14:paraId="4D3F6236" w14:textId="77777777" w:rsidR="00B32768" w:rsidRPr="00B043B4" w:rsidRDefault="00B32768" w:rsidP="00DF7D27">
            <w:pPr>
              <w:rPr>
                <w:rFonts w:eastAsia="Times New Roman"/>
                <w:sz w:val="20"/>
                <w:szCs w:val="20"/>
                <w:lang w:eastAsia="sk-SK"/>
              </w:rPr>
            </w:pPr>
          </w:p>
        </w:tc>
      </w:tr>
      <w:tr w:rsidR="00B32768" w:rsidRPr="00B043B4" w14:paraId="79833CB5" w14:textId="77777777" w:rsidTr="00DF7D27">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14:paraId="1F0808E2" w14:textId="77777777" w:rsidR="00B32768" w:rsidRPr="00B043B4" w:rsidRDefault="00B32768" w:rsidP="00DF7D27">
            <w:pPr>
              <w:spacing w:after="200" w:line="276" w:lineRule="auto"/>
              <w:ind w:left="142"/>
              <w:contextualSpacing/>
              <w:rPr>
                <w:rFonts w:eastAsia="Calibri"/>
                <w:b/>
              </w:rPr>
            </w:pPr>
            <w:r w:rsidRPr="00B32768">
              <w:rPr>
                <w:rFonts w:eastAsia="Calibri"/>
                <w:b/>
                <w:sz w:val="22"/>
              </w:rPr>
              <w:t>Charakter predkladaného materiálu</w:t>
            </w:r>
          </w:p>
        </w:tc>
        <w:sdt>
          <w:sdtPr>
            <w:rPr>
              <w:rFonts w:eastAsia="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12498AF7" w14:textId="77777777" w:rsidR="00B32768" w:rsidRPr="00B043B4" w:rsidRDefault="00B32768" w:rsidP="00DF7D2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hemeFill="background1"/>
          </w:tcPr>
          <w:p w14:paraId="2A64D66F" w14:textId="77777777" w:rsidR="00B32768" w:rsidRPr="00B043B4" w:rsidRDefault="00B32768" w:rsidP="00DF7D27">
            <w:pPr>
              <w:rPr>
                <w:rFonts w:eastAsia="Times New Roman"/>
                <w:sz w:val="20"/>
                <w:szCs w:val="20"/>
                <w:lang w:eastAsia="sk-SK"/>
              </w:rPr>
            </w:pPr>
            <w:r w:rsidRPr="00B043B4">
              <w:rPr>
                <w:rFonts w:eastAsia="Times New Roman"/>
                <w:sz w:val="20"/>
                <w:szCs w:val="20"/>
                <w:lang w:eastAsia="sk-SK"/>
              </w:rPr>
              <w:t>Materiál nelegislatívnej povahy</w:t>
            </w:r>
          </w:p>
        </w:tc>
      </w:tr>
      <w:tr w:rsidR="00B32768" w:rsidRPr="00B043B4" w14:paraId="4C7A4BAF" w14:textId="77777777" w:rsidTr="00DF7D27">
        <w:tc>
          <w:tcPr>
            <w:tcW w:w="4212" w:type="dxa"/>
            <w:gridSpan w:val="2"/>
            <w:vMerge/>
          </w:tcPr>
          <w:p w14:paraId="3ABCEA89" w14:textId="77777777" w:rsidR="00B32768" w:rsidRPr="00B043B4" w:rsidRDefault="00B32768" w:rsidP="00DF7D27">
            <w:pPr>
              <w:rPr>
                <w:rFonts w:eastAsia="Times New Roman"/>
                <w:sz w:val="20"/>
                <w:szCs w:val="20"/>
                <w:lang w:eastAsia="sk-SK"/>
              </w:rPr>
            </w:pPr>
          </w:p>
        </w:tc>
        <w:sdt>
          <w:sdtPr>
            <w:rPr>
              <w:rFonts w:eastAsia="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7C7E4A21" w14:textId="77777777" w:rsidR="00B32768" w:rsidRPr="00B043B4" w:rsidRDefault="00B32768" w:rsidP="00DF7D2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hemeFill="background1"/>
          </w:tcPr>
          <w:p w14:paraId="13EED551" w14:textId="77777777" w:rsidR="00B32768" w:rsidRPr="00B043B4" w:rsidRDefault="00B32768" w:rsidP="00DF7D27">
            <w:pPr>
              <w:ind w:left="175" w:hanging="175"/>
              <w:rPr>
                <w:rFonts w:eastAsia="Times New Roman"/>
                <w:sz w:val="20"/>
                <w:szCs w:val="20"/>
                <w:lang w:eastAsia="sk-SK"/>
              </w:rPr>
            </w:pPr>
            <w:r w:rsidRPr="00B043B4">
              <w:rPr>
                <w:rFonts w:eastAsia="Times New Roman"/>
                <w:sz w:val="20"/>
                <w:szCs w:val="20"/>
                <w:lang w:eastAsia="sk-SK"/>
              </w:rPr>
              <w:t>Materiál legislatívnej povahy</w:t>
            </w:r>
          </w:p>
        </w:tc>
      </w:tr>
      <w:tr w:rsidR="00B32768" w:rsidRPr="00B043B4" w14:paraId="2AD7FCB4" w14:textId="77777777" w:rsidTr="00DF7D27">
        <w:tc>
          <w:tcPr>
            <w:tcW w:w="4212" w:type="dxa"/>
            <w:gridSpan w:val="2"/>
            <w:vMerge/>
          </w:tcPr>
          <w:p w14:paraId="0AB64874" w14:textId="77777777" w:rsidR="00B32768" w:rsidRPr="00B043B4" w:rsidRDefault="00B32768" w:rsidP="00DF7D27">
            <w:pPr>
              <w:rPr>
                <w:rFonts w:eastAsia="Times New Roman"/>
                <w:sz w:val="20"/>
                <w:szCs w:val="20"/>
                <w:lang w:eastAsia="sk-SK"/>
              </w:rPr>
            </w:pPr>
          </w:p>
        </w:tc>
        <w:sdt>
          <w:sdtPr>
            <w:rPr>
              <w:rFonts w:eastAsia="Times New Roman"/>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E062F62" w14:textId="77777777" w:rsidR="00B32768" w:rsidRPr="00B043B4" w:rsidRDefault="00B32768" w:rsidP="00DF7D2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hemeFill="background1"/>
          </w:tcPr>
          <w:p w14:paraId="1E5480A5" w14:textId="77777777" w:rsidR="00B32768" w:rsidRPr="00B043B4" w:rsidRDefault="00B32768" w:rsidP="00DF7D27">
            <w:pPr>
              <w:rPr>
                <w:rFonts w:eastAsia="Times New Roman"/>
                <w:sz w:val="20"/>
                <w:szCs w:val="20"/>
                <w:lang w:eastAsia="sk-SK"/>
              </w:rPr>
            </w:pPr>
            <w:r w:rsidRPr="00B043B4">
              <w:rPr>
                <w:rFonts w:eastAsia="Times New Roman"/>
                <w:sz w:val="20"/>
                <w:szCs w:val="20"/>
                <w:lang w:eastAsia="sk-SK"/>
              </w:rPr>
              <w:t>Transpozícia práva EÚ</w:t>
            </w:r>
          </w:p>
        </w:tc>
      </w:tr>
      <w:tr w:rsidR="00B32768" w:rsidRPr="00B043B4" w14:paraId="31E1600E" w14:textId="77777777" w:rsidTr="00DF7D27">
        <w:tc>
          <w:tcPr>
            <w:tcW w:w="9180" w:type="dxa"/>
            <w:gridSpan w:val="11"/>
            <w:tcBorders>
              <w:top w:val="single" w:sz="4" w:space="0" w:color="auto"/>
              <w:left w:val="single" w:sz="4" w:space="0" w:color="auto"/>
              <w:bottom w:val="single" w:sz="4" w:space="0" w:color="FFFFFF" w:themeColor="background1"/>
            </w:tcBorders>
            <w:shd w:val="clear" w:color="auto" w:fill="FFFFFF" w:themeFill="background1"/>
          </w:tcPr>
          <w:p w14:paraId="3B065929" w14:textId="77777777" w:rsidR="00B32768" w:rsidRPr="00B043B4" w:rsidRDefault="00B32768" w:rsidP="00DF7D27">
            <w:pPr>
              <w:rPr>
                <w:rFonts w:eastAsia="Times New Roman"/>
                <w:i/>
                <w:sz w:val="20"/>
                <w:szCs w:val="20"/>
                <w:lang w:eastAsia="sk-SK"/>
              </w:rPr>
            </w:pPr>
            <w:r w:rsidRPr="00B043B4">
              <w:rPr>
                <w:rFonts w:eastAsia="Times New Roman"/>
                <w:i/>
                <w:sz w:val="20"/>
                <w:szCs w:val="20"/>
                <w:lang w:eastAsia="sk-SK"/>
              </w:rPr>
              <w:t>V prípade transpozície uveďte zoznam transponovaných predpisov:</w:t>
            </w:r>
          </w:p>
          <w:p w14:paraId="7D975694" w14:textId="77777777" w:rsidR="00B32768" w:rsidRPr="00B043B4" w:rsidRDefault="00B32768" w:rsidP="00DF7D27">
            <w:pPr>
              <w:rPr>
                <w:rFonts w:eastAsia="Times New Roman"/>
                <w:sz w:val="20"/>
                <w:szCs w:val="20"/>
                <w:lang w:eastAsia="sk-SK"/>
              </w:rPr>
            </w:pPr>
          </w:p>
        </w:tc>
      </w:tr>
      <w:tr w:rsidR="00B32768" w:rsidRPr="00B043B4" w14:paraId="7CF04733" w14:textId="77777777" w:rsidTr="00DF7D27">
        <w:tc>
          <w:tcPr>
            <w:tcW w:w="5949" w:type="dxa"/>
            <w:gridSpan w:val="6"/>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2E2ECF54" w14:textId="77777777" w:rsidR="00B32768" w:rsidRPr="00B32768" w:rsidRDefault="00B32768" w:rsidP="00DF7D27">
            <w:pPr>
              <w:spacing w:after="200" w:line="276" w:lineRule="auto"/>
              <w:ind w:left="142"/>
              <w:contextualSpacing/>
              <w:rPr>
                <w:rFonts w:eastAsia="Calibri"/>
                <w:b/>
                <w:sz w:val="22"/>
              </w:rPr>
            </w:pPr>
            <w:r w:rsidRPr="00B32768">
              <w:rPr>
                <w:rFonts w:eastAsia="Calibri"/>
                <w:b/>
                <w:sz w:val="22"/>
              </w:rPr>
              <w:t>Termín začiatku a ukončenia PPK</w:t>
            </w:r>
          </w:p>
        </w:tc>
        <w:tc>
          <w:tcPr>
            <w:tcW w:w="3231" w:type="dxa"/>
            <w:gridSpan w:val="5"/>
            <w:tcBorders>
              <w:top w:val="single" w:sz="4" w:space="0" w:color="000000" w:themeColor="text1"/>
              <w:left w:val="single" w:sz="4" w:space="0" w:color="auto"/>
              <w:bottom w:val="single" w:sz="4" w:space="0" w:color="auto"/>
              <w:right w:val="single" w:sz="4" w:space="0" w:color="auto"/>
            </w:tcBorders>
          </w:tcPr>
          <w:p w14:paraId="54D4A5FA" w14:textId="77777777" w:rsidR="00B32768" w:rsidRPr="00B043B4" w:rsidRDefault="00B32768" w:rsidP="00DF7D27">
            <w:pPr>
              <w:rPr>
                <w:rFonts w:eastAsia="Times New Roman"/>
                <w:i/>
                <w:iCs/>
                <w:sz w:val="20"/>
                <w:szCs w:val="20"/>
                <w:lang w:eastAsia="sk-SK"/>
              </w:rPr>
            </w:pPr>
            <w:r>
              <w:rPr>
                <w:rFonts w:eastAsia="Times New Roman"/>
                <w:i/>
                <w:iCs/>
                <w:sz w:val="20"/>
                <w:szCs w:val="20"/>
                <w:lang w:eastAsia="sk-SK"/>
              </w:rPr>
              <w:t>24</w:t>
            </w:r>
            <w:r w:rsidRPr="42FD4335">
              <w:rPr>
                <w:rFonts w:eastAsia="Times New Roman"/>
                <w:i/>
                <w:iCs/>
                <w:sz w:val="20"/>
                <w:szCs w:val="20"/>
                <w:lang w:eastAsia="sk-SK"/>
              </w:rPr>
              <w:t>.09.2021 –</w:t>
            </w:r>
            <w:r>
              <w:rPr>
                <w:rFonts w:eastAsia="Times New Roman"/>
                <w:i/>
                <w:iCs/>
                <w:sz w:val="20"/>
                <w:szCs w:val="20"/>
                <w:lang w:eastAsia="sk-SK"/>
              </w:rPr>
              <w:t xml:space="preserve"> 30.09.2021</w:t>
            </w:r>
          </w:p>
        </w:tc>
      </w:tr>
      <w:tr w:rsidR="00B32768" w:rsidRPr="00B043B4" w14:paraId="7884BAE7" w14:textId="77777777" w:rsidTr="00DF7D27">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28E8787F" w14:textId="77777777" w:rsidR="00B32768" w:rsidRPr="00B32768" w:rsidRDefault="00B32768" w:rsidP="00DF7D27">
            <w:pPr>
              <w:spacing w:after="200" w:line="276" w:lineRule="auto"/>
              <w:ind w:left="142"/>
              <w:contextualSpacing/>
              <w:rPr>
                <w:rFonts w:eastAsia="Calibri"/>
                <w:b/>
                <w:sz w:val="22"/>
              </w:rPr>
            </w:pPr>
            <w:r w:rsidRPr="00B32768">
              <w:rPr>
                <w:rFonts w:eastAsia="Calibri"/>
                <w:b/>
                <w:sz w:val="22"/>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9637B79" w14:textId="77777777" w:rsidR="00B32768" w:rsidRPr="00B043B4" w:rsidRDefault="00B32768" w:rsidP="00DF7D27">
            <w:pPr>
              <w:rPr>
                <w:rFonts w:eastAsia="Times New Roman"/>
                <w:i/>
                <w:iCs/>
                <w:sz w:val="20"/>
                <w:szCs w:val="20"/>
                <w:lang w:eastAsia="sk-SK"/>
              </w:rPr>
            </w:pPr>
            <w:r>
              <w:rPr>
                <w:rFonts w:eastAsia="Times New Roman"/>
                <w:i/>
                <w:iCs/>
                <w:sz w:val="20"/>
                <w:szCs w:val="20"/>
                <w:lang w:eastAsia="sk-SK"/>
              </w:rPr>
              <w:t>marec 2022</w:t>
            </w:r>
          </w:p>
        </w:tc>
      </w:tr>
      <w:tr w:rsidR="00B32768" w:rsidRPr="00B043B4" w14:paraId="4DFF00D5" w14:textId="77777777" w:rsidTr="00DF7D27">
        <w:trPr>
          <w:trHeight w:val="320"/>
        </w:trPr>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17032A21" w14:textId="77777777" w:rsidR="00B32768" w:rsidRPr="00B32768" w:rsidRDefault="00B32768" w:rsidP="00DF7D27">
            <w:pPr>
              <w:spacing w:line="276" w:lineRule="auto"/>
              <w:ind w:left="142"/>
              <w:contextualSpacing/>
              <w:rPr>
                <w:rFonts w:ascii="Calibri" w:eastAsia="Calibri" w:hAnsi="Calibri"/>
                <w:b/>
                <w:sz w:val="22"/>
              </w:rPr>
            </w:pPr>
            <w:r w:rsidRPr="00B32768">
              <w:rPr>
                <w:rFonts w:eastAsia="Calibri"/>
                <w:b/>
                <w:sz w:val="22"/>
              </w:rPr>
              <w:t>Predpokladaný termín začiatku a ukončenia ZP**</w:t>
            </w:r>
            <w:r w:rsidRPr="00B32768">
              <w:rPr>
                <w:rFonts w:ascii="Calibri" w:eastAsia="Calibri" w:hAnsi="Calibri"/>
                <w:b/>
                <w:sz w:val="22"/>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6F73F15A" w14:textId="77777777" w:rsidR="00B32768" w:rsidRPr="00B043B4" w:rsidRDefault="00B32768" w:rsidP="00DF7D27">
            <w:pPr>
              <w:rPr>
                <w:rFonts w:eastAsia="Times New Roman"/>
                <w:i/>
                <w:iCs/>
                <w:sz w:val="20"/>
                <w:szCs w:val="20"/>
                <w:lang w:eastAsia="sk-SK"/>
              </w:rPr>
            </w:pPr>
            <w:r>
              <w:rPr>
                <w:rFonts w:eastAsia="Times New Roman"/>
                <w:i/>
                <w:iCs/>
                <w:sz w:val="20"/>
                <w:szCs w:val="20"/>
                <w:lang w:eastAsia="sk-SK"/>
              </w:rPr>
              <w:t>04.05.2022 – 10.05.2022</w:t>
            </w:r>
          </w:p>
        </w:tc>
      </w:tr>
      <w:tr w:rsidR="00B32768" w:rsidRPr="00B043B4" w14:paraId="59F10856" w14:textId="77777777" w:rsidTr="00DF7D27">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4ACFBE06" w14:textId="77777777" w:rsidR="00B32768" w:rsidRPr="00B32768" w:rsidRDefault="00B32768" w:rsidP="00DF7D27">
            <w:pPr>
              <w:spacing w:after="200" w:line="276" w:lineRule="auto"/>
              <w:ind w:left="142"/>
              <w:contextualSpacing/>
              <w:jc w:val="both"/>
              <w:rPr>
                <w:rFonts w:eastAsia="Calibri"/>
                <w:b/>
                <w:sz w:val="22"/>
              </w:rPr>
            </w:pPr>
            <w:r w:rsidRPr="00B32768">
              <w:rPr>
                <w:rFonts w:eastAsia="Calibri"/>
                <w:b/>
                <w:sz w:val="22"/>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EB9D36F" w14:textId="77777777" w:rsidR="00B32768" w:rsidRPr="00B043B4" w:rsidRDefault="00B32768" w:rsidP="00DF7D27">
            <w:pPr>
              <w:rPr>
                <w:rFonts w:eastAsia="Times New Roman"/>
                <w:i/>
                <w:iCs/>
                <w:sz w:val="20"/>
                <w:szCs w:val="20"/>
                <w:lang w:eastAsia="sk-SK"/>
              </w:rPr>
            </w:pPr>
          </w:p>
        </w:tc>
      </w:tr>
      <w:tr w:rsidR="00B32768" w:rsidRPr="00B043B4" w14:paraId="52FD15FE" w14:textId="77777777" w:rsidTr="00DF7D27">
        <w:tc>
          <w:tcPr>
            <w:tcW w:w="9180" w:type="dxa"/>
            <w:gridSpan w:val="11"/>
            <w:tcBorders>
              <w:top w:val="single" w:sz="4" w:space="0" w:color="auto"/>
              <w:left w:val="nil"/>
              <w:bottom w:val="single" w:sz="4" w:space="0" w:color="auto"/>
              <w:right w:val="nil"/>
            </w:tcBorders>
            <w:shd w:val="clear" w:color="auto" w:fill="FFFFFF" w:themeFill="background1"/>
          </w:tcPr>
          <w:p w14:paraId="0ED9C23B" w14:textId="77777777" w:rsidR="00B32768" w:rsidRPr="00B043B4" w:rsidRDefault="00B32768" w:rsidP="00DF7D27">
            <w:pPr>
              <w:rPr>
                <w:rFonts w:eastAsia="Times New Roman"/>
                <w:sz w:val="20"/>
                <w:szCs w:val="20"/>
                <w:lang w:eastAsia="sk-SK"/>
              </w:rPr>
            </w:pPr>
          </w:p>
        </w:tc>
      </w:tr>
      <w:tr w:rsidR="00B32768" w:rsidRPr="00B043B4" w14:paraId="38AABBE3" w14:textId="77777777" w:rsidTr="00DF7D27">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524192D4" w14:textId="77777777" w:rsidR="00B32768" w:rsidRPr="00B043B4" w:rsidRDefault="00B32768" w:rsidP="00B32768">
            <w:pPr>
              <w:numPr>
                <w:ilvl w:val="0"/>
                <w:numId w:val="6"/>
              </w:numPr>
              <w:ind w:left="426"/>
              <w:contextualSpacing/>
              <w:rPr>
                <w:rFonts w:eastAsia="Calibri"/>
                <w:b/>
              </w:rPr>
            </w:pPr>
            <w:r w:rsidRPr="00B32768">
              <w:rPr>
                <w:rFonts w:eastAsia="Calibri"/>
                <w:b/>
                <w:sz w:val="22"/>
              </w:rPr>
              <w:t>Definovanie problému</w:t>
            </w:r>
          </w:p>
        </w:tc>
      </w:tr>
      <w:tr w:rsidR="00B32768" w:rsidRPr="00B043B4" w14:paraId="009AB57A" w14:textId="77777777" w:rsidTr="00DF7D27">
        <w:trPr>
          <w:trHeight w:val="718"/>
        </w:trPr>
        <w:tc>
          <w:tcPr>
            <w:tcW w:w="9180" w:type="dxa"/>
            <w:gridSpan w:val="11"/>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08F6CA63" w14:textId="77777777" w:rsidR="00B32768" w:rsidRDefault="00B32768" w:rsidP="00DF7D27">
            <w:pPr>
              <w:spacing w:before="120" w:after="120"/>
              <w:jc w:val="both"/>
              <w:rPr>
                <w:rFonts w:eastAsia="Times New Roman"/>
                <w:sz w:val="20"/>
                <w:szCs w:val="20"/>
                <w:lang w:eastAsia="sk-SK"/>
              </w:rPr>
            </w:pPr>
            <w:r>
              <w:rPr>
                <w:rFonts w:eastAsia="Times New Roman"/>
                <w:sz w:val="20"/>
                <w:szCs w:val="20"/>
                <w:lang w:eastAsia="sk-SK"/>
              </w:rPr>
              <w:t>Ad.1) Elektronické schránky a doručovanie</w:t>
            </w:r>
          </w:p>
          <w:p w14:paraId="7EBEE00C" w14:textId="77777777" w:rsidR="00B32768" w:rsidRDefault="00B32768" w:rsidP="00DF7D27">
            <w:pPr>
              <w:spacing w:before="120" w:after="120"/>
              <w:jc w:val="both"/>
              <w:rPr>
                <w:rFonts w:eastAsia="Times New Roman"/>
                <w:sz w:val="20"/>
                <w:szCs w:val="20"/>
                <w:lang w:eastAsia="sk-SK"/>
              </w:rPr>
            </w:pPr>
            <w:r>
              <w:rPr>
                <w:rFonts w:eastAsia="Times New Roman"/>
                <w:sz w:val="20"/>
                <w:szCs w:val="20"/>
                <w:lang w:eastAsia="sk-SK"/>
              </w:rPr>
              <w:t>Zákon o e-Governmente zaviedol povinnosť orgánov verejnej moci vykonávať verejnú moc elektronicky. Na elektronickú úradnú komunikáciu boli zriadené elektronické schránky, ktoré sú definované ako „</w:t>
            </w:r>
            <w:r w:rsidRPr="004D3654">
              <w:rPr>
                <w:rFonts w:eastAsia="Times New Roman"/>
                <w:sz w:val="20"/>
                <w:szCs w:val="20"/>
                <w:lang w:eastAsia="sk-SK"/>
              </w:rPr>
              <w:t>elektronické úložisko, v ktorom sú uchovávané elektronické správy a</w:t>
            </w:r>
            <w:r>
              <w:rPr>
                <w:rFonts w:eastAsia="Times New Roman"/>
                <w:sz w:val="20"/>
                <w:szCs w:val="20"/>
                <w:lang w:eastAsia="sk-SK"/>
              </w:rPr>
              <w:t> </w:t>
            </w:r>
            <w:r w:rsidRPr="004D3654">
              <w:rPr>
                <w:rFonts w:eastAsia="Times New Roman"/>
                <w:sz w:val="20"/>
                <w:szCs w:val="20"/>
                <w:lang w:eastAsia="sk-SK"/>
              </w:rPr>
              <w:t>notifikácie</w:t>
            </w:r>
            <w:r>
              <w:rPr>
                <w:rFonts w:eastAsia="Times New Roman"/>
                <w:sz w:val="20"/>
                <w:szCs w:val="20"/>
                <w:lang w:eastAsia="sk-SK"/>
              </w:rPr>
              <w:t xml:space="preserve">“. Zriaďovanie a aktiváciu elektronickej schránky ustanovil zákon v závislosti od právneho postavenia subjektu, ktorému sa schránka zriaďuje, pričom v prvom kole boli zriadené a súčasne aktivované elektronické schránky všetkým orgánom verejnej moci (do 1. februára 2014). Až následne došlo k povinnej aktivácii elektronických schránok právnickým osobám, pričom táto sa uskutočnila v niekoľkých fázach v závislosti od kvality a dostupnosti údajov potrebných na zriadenie a aktiváciu schránky (posledný termín bol 1. júna 2020). Zákon o e-Governmente v súčasnosti nepredpokladá povinnú aktiváciu elektronických schránok fyzických osôb – podnikateľov, ako ani fyzických osôb. Údaje na zriaďovanie elektronických schránok mal mať prevádzkovateľ modulu elektronických schránok k dispozícii z referenčných registrov, </w:t>
            </w:r>
            <w:r w:rsidRPr="008C161A">
              <w:rPr>
                <w:rFonts w:eastAsia="Times New Roman"/>
                <w:sz w:val="20"/>
                <w:szCs w:val="20"/>
                <w:lang w:eastAsia="sk-SK"/>
              </w:rPr>
              <w:t xml:space="preserve">ktorými sú register fyzických osôb zriadený zákonom č. 253/1998 Z. z. </w:t>
            </w:r>
            <w:r w:rsidRPr="0076304B">
              <w:rPr>
                <w:rFonts w:eastAsia="Times New Roman"/>
                <w:iCs/>
                <w:sz w:val="20"/>
                <w:szCs w:val="20"/>
                <w:lang w:eastAsia="sk-SK"/>
              </w:rPr>
              <w:t>o hlásení pobytu občanov Slovenskej republiky a registri obyvateľov Slovenskej republiky v znení neskorších predpisov,</w:t>
            </w:r>
            <w:r w:rsidRPr="008C161A">
              <w:rPr>
                <w:rFonts w:eastAsia="Times New Roman"/>
                <w:sz w:val="20"/>
                <w:szCs w:val="20"/>
                <w:lang w:eastAsia="sk-SK"/>
              </w:rPr>
              <w:t xml:space="preserve"> a register právnických osôb, podnikateľov a orgánov verejnej moci zriadený zákonom č. 272/2015 Z. z. </w:t>
            </w:r>
            <w:r w:rsidRPr="0076304B">
              <w:rPr>
                <w:rFonts w:eastAsia="Times New Roman"/>
                <w:iCs/>
                <w:sz w:val="20"/>
                <w:szCs w:val="20"/>
                <w:lang w:eastAsia="sk-SK"/>
              </w:rPr>
              <w:t>o registri právnických osôb, podnikateľov a orgánov verejnej moci a o zmene a doplnení niektorých zákonov v znení neskorších predpisov</w:t>
            </w:r>
            <w:r w:rsidRPr="008C161A">
              <w:rPr>
                <w:rFonts w:eastAsia="Times New Roman"/>
                <w:sz w:val="20"/>
                <w:szCs w:val="20"/>
                <w:lang w:eastAsia="sk-SK"/>
              </w:rPr>
              <w:t>.</w:t>
            </w:r>
            <w:r>
              <w:rPr>
                <w:rFonts w:eastAsia="Times New Roman"/>
                <w:sz w:val="20"/>
                <w:szCs w:val="20"/>
                <w:lang w:eastAsia="sk-SK"/>
              </w:rPr>
              <w:t xml:space="preserve"> </w:t>
            </w:r>
          </w:p>
          <w:p w14:paraId="7BA63360" w14:textId="77777777" w:rsidR="00B32768" w:rsidRDefault="00B32768" w:rsidP="00DF7D27">
            <w:pPr>
              <w:spacing w:after="120"/>
              <w:jc w:val="both"/>
              <w:rPr>
                <w:rFonts w:eastAsia="Times New Roman"/>
                <w:sz w:val="20"/>
                <w:szCs w:val="20"/>
                <w:lang w:eastAsia="sk-SK"/>
              </w:rPr>
            </w:pPr>
            <w:r w:rsidRPr="00CB2D57">
              <w:rPr>
                <w:rFonts w:eastAsia="Times New Roman"/>
                <w:sz w:val="20"/>
                <w:szCs w:val="20"/>
                <w:lang w:eastAsia="sk-SK"/>
              </w:rPr>
              <w:t>Zriaďovanie elektronických schránok</w:t>
            </w:r>
            <w:r>
              <w:rPr>
                <w:rFonts w:eastAsia="Times New Roman"/>
                <w:sz w:val="20"/>
                <w:szCs w:val="20"/>
                <w:lang w:eastAsia="sk-SK"/>
              </w:rPr>
              <w:t xml:space="preserve"> prebiehalo v dôsledku </w:t>
            </w:r>
            <w:r w:rsidRPr="42FD4335">
              <w:rPr>
                <w:rFonts w:eastAsia="Times New Roman"/>
                <w:sz w:val="20"/>
                <w:szCs w:val="20"/>
                <w:lang w:eastAsia="sk-SK"/>
              </w:rPr>
              <w:t>rôznej dostupnosti, stav</w:t>
            </w:r>
            <w:r>
              <w:rPr>
                <w:rFonts w:eastAsia="Times New Roman"/>
                <w:sz w:val="20"/>
                <w:szCs w:val="20"/>
                <w:lang w:eastAsia="sk-SK"/>
              </w:rPr>
              <w:t>u</w:t>
            </w:r>
            <w:r w:rsidRPr="42FD4335">
              <w:rPr>
                <w:rFonts w:eastAsia="Times New Roman"/>
                <w:sz w:val="20"/>
                <w:szCs w:val="20"/>
                <w:lang w:eastAsia="sk-SK"/>
              </w:rPr>
              <w:t xml:space="preserve"> a kvality údajov v referenčných registroch, zdrojových registroch a ich nedostačujúceho vzájomného prepojenia, inak než predpokladal zákon o e-Governmente. V dôsledku uvedeného, ako aj vzhľadom na praktické skúsenosti orgánov verejnej moci s ele</w:t>
            </w:r>
            <w:r>
              <w:rPr>
                <w:rFonts w:eastAsia="Times New Roman"/>
                <w:sz w:val="20"/>
                <w:szCs w:val="20"/>
                <w:lang w:eastAsia="sk-SK"/>
              </w:rPr>
              <w:t>ktronickou úradnou komunikáciou, aplikačné problémy súvisiace</w:t>
            </w:r>
            <w:r w:rsidRPr="00A63526">
              <w:rPr>
                <w:rFonts w:eastAsia="Times New Roman"/>
                <w:sz w:val="20"/>
                <w:szCs w:val="20"/>
                <w:lang w:eastAsia="sk-SK"/>
              </w:rPr>
              <w:t xml:space="preserve"> s doručovaním a inými pravidlami pre počítanie leh</w:t>
            </w:r>
            <w:r>
              <w:rPr>
                <w:rFonts w:eastAsia="Times New Roman"/>
                <w:sz w:val="20"/>
                <w:szCs w:val="20"/>
                <w:lang w:eastAsia="sk-SK"/>
              </w:rPr>
              <w:t>ôt podľa zákona o e-Governmente je potrebné</w:t>
            </w:r>
            <w:r w:rsidRPr="00A63526">
              <w:rPr>
                <w:rFonts w:eastAsia="Times New Roman"/>
                <w:sz w:val="20"/>
                <w:szCs w:val="20"/>
                <w:lang w:eastAsia="sk-SK"/>
              </w:rPr>
              <w:t xml:space="preserve"> </w:t>
            </w:r>
            <w:r w:rsidRPr="42FD4335">
              <w:rPr>
                <w:rFonts w:eastAsia="Times New Roman"/>
                <w:sz w:val="20"/>
                <w:szCs w:val="20"/>
                <w:lang w:eastAsia="sk-SK"/>
              </w:rPr>
              <w:t>pristúpi</w:t>
            </w:r>
            <w:r>
              <w:rPr>
                <w:rFonts w:eastAsia="Times New Roman"/>
                <w:sz w:val="20"/>
                <w:szCs w:val="20"/>
                <w:lang w:eastAsia="sk-SK"/>
              </w:rPr>
              <w:t>ť</w:t>
            </w:r>
            <w:r w:rsidRPr="42FD4335">
              <w:rPr>
                <w:rFonts w:eastAsia="Times New Roman"/>
                <w:sz w:val="20"/>
                <w:szCs w:val="20"/>
                <w:lang w:eastAsia="sk-SK"/>
              </w:rPr>
              <w:t xml:space="preserve"> k revízii právnej úpravy elektronických schráno</w:t>
            </w:r>
            <w:r>
              <w:rPr>
                <w:rFonts w:eastAsia="Times New Roman"/>
                <w:sz w:val="20"/>
                <w:szCs w:val="20"/>
                <w:lang w:eastAsia="sk-SK"/>
              </w:rPr>
              <w:t>k pre orgány verejnej moci</w:t>
            </w:r>
            <w:r w:rsidRPr="42FD4335">
              <w:rPr>
                <w:rFonts w:eastAsia="Times New Roman"/>
                <w:sz w:val="20"/>
                <w:szCs w:val="20"/>
                <w:lang w:eastAsia="sk-SK"/>
              </w:rPr>
              <w:t xml:space="preserve">. </w:t>
            </w:r>
          </w:p>
          <w:p w14:paraId="320DF65E" w14:textId="77777777" w:rsidR="00B32768" w:rsidRDefault="00B32768" w:rsidP="00DF7D27">
            <w:pPr>
              <w:spacing w:after="120"/>
              <w:jc w:val="both"/>
              <w:rPr>
                <w:rFonts w:eastAsia="Times New Roman"/>
                <w:sz w:val="20"/>
                <w:szCs w:val="20"/>
                <w:lang w:eastAsia="sk-SK"/>
              </w:rPr>
            </w:pPr>
            <w:r>
              <w:rPr>
                <w:rFonts w:eastAsia="Times New Roman"/>
                <w:sz w:val="20"/>
                <w:szCs w:val="20"/>
                <w:lang w:eastAsia="sk-SK"/>
              </w:rPr>
              <w:t>Návrhom zákona dochádza tiež k nastaveniu automatizovanej deaktivácie</w:t>
            </w:r>
            <w:r w:rsidRPr="00D65439">
              <w:rPr>
                <w:rFonts w:eastAsia="Times New Roman"/>
                <w:sz w:val="20"/>
                <w:szCs w:val="20"/>
                <w:lang w:eastAsia="sk-SK"/>
              </w:rPr>
              <w:t xml:space="preserve"> schránok v prípade zániku právneho postavenia </w:t>
            </w:r>
            <w:r>
              <w:rPr>
                <w:rFonts w:eastAsia="Times New Roman"/>
                <w:sz w:val="20"/>
                <w:szCs w:val="20"/>
                <w:lang w:eastAsia="sk-SK"/>
              </w:rPr>
              <w:t xml:space="preserve">fyzickej osoby - </w:t>
            </w:r>
            <w:r w:rsidRPr="00D65439">
              <w:rPr>
                <w:rFonts w:eastAsia="Times New Roman"/>
                <w:sz w:val="20"/>
                <w:szCs w:val="20"/>
                <w:lang w:eastAsia="sk-SK"/>
              </w:rPr>
              <w:t>podnikateľa na základe konsolidovaných údajov z registra právnických osôb</w:t>
            </w:r>
            <w:r>
              <w:rPr>
                <w:rFonts w:eastAsia="Times New Roman"/>
                <w:sz w:val="20"/>
                <w:szCs w:val="20"/>
                <w:lang w:eastAsia="sk-SK"/>
              </w:rPr>
              <w:t xml:space="preserve">, táto zmena si vyžada úpravy v rámci </w:t>
            </w:r>
            <w:r w:rsidRPr="00CB2D57">
              <w:rPr>
                <w:rFonts w:eastAsia="Times New Roman"/>
                <w:sz w:val="20"/>
                <w:szCs w:val="20"/>
                <w:lang w:eastAsia="sk-SK"/>
              </w:rPr>
              <w:t>ústredného portálu</w:t>
            </w:r>
            <w:r>
              <w:rPr>
                <w:rFonts w:eastAsia="Times New Roman"/>
                <w:sz w:val="20"/>
                <w:szCs w:val="20"/>
                <w:lang w:eastAsia="sk-SK"/>
              </w:rPr>
              <w:t xml:space="preserve"> verejnej správy (ďalej len „ÚPVS“).</w:t>
            </w:r>
          </w:p>
          <w:p w14:paraId="5CB13DCD" w14:textId="77777777" w:rsidR="00B32768" w:rsidRDefault="00B32768" w:rsidP="00DF7D27">
            <w:pPr>
              <w:spacing w:after="120"/>
              <w:jc w:val="both"/>
              <w:rPr>
                <w:rFonts w:eastAsia="Times New Roman"/>
                <w:sz w:val="20"/>
                <w:szCs w:val="20"/>
                <w:lang w:eastAsia="sk-SK"/>
              </w:rPr>
            </w:pPr>
            <w:r>
              <w:rPr>
                <w:rFonts w:eastAsia="Times New Roman"/>
                <w:sz w:val="20"/>
                <w:szCs w:val="20"/>
                <w:lang w:eastAsia="sk-SK"/>
              </w:rPr>
              <w:t>Zároveň dochádza k úprave pravidiel</w:t>
            </w:r>
            <w:r w:rsidRPr="00CB2D57">
              <w:rPr>
                <w:rFonts w:eastAsia="Times New Roman"/>
                <w:sz w:val="20"/>
                <w:szCs w:val="20"/>
                <w:lang w:eastAsia="sk-SK"/>
              </w:rPr>
              <w:t xml:space="preserve"> </w:t>
            </w:r>
            <w:r>
              <w:rPr>
                <w:rFonts w:eastAsia="Times New Roman"/>
                <w:sz w:val="20"/>
                <w:szCs w:val="20"/>
                <w:lang w:eastAsia="sk-SK"/>
              </w:rPr>
              <w:t xml:space="preserve"> elektronického doručovania</w:t>
            </w:r>
            <w:r w:rsidRPr="00CB2D57">
              <w:rPr>
                <w:rFonts w:eastAsia="Times New Roman"/>
                <w:sz w:val="20"/>
                <w:szCs w:val="20"/>
                <w:lang w:eastAsia="sk-SK"/>
              </w:rPr>
              <w:t xml:space="preserve"> </w:t>
            </w:r>
            <w:r>
              <w:rPr>
                <w:rFonts w:eastAsia="Times New Roman"/>
                <w:sz w:val="20"/>
                <w:szCs w:val="20"/>
                <w:lang w:eastAsia="sk-SK"/>
              </w:rPr>
              <w:t xml:space="preserve">elektronických úradných dokumentov </w:t>
            </w:r>
            <w:r w:rsidRPr="00CB2D57">
              <w:rPr>
                <w:rFonts w:eastAsia="Times New Roman"/>
                <w:sz w:val="20"/>
                <w:szCs w:val="20"/>
                <w:lang w:eastAsia="sk-SK"/>
              </w:rPr>
              <w:t>orgánmi verejnej moci</w:t>
            </w:r>
            <w:r>
              <w:rPr>
                <w:rFonts w:eastAsia="Times New Roman"/>
                <w:sz w:val="20"/>
                <w:szCs w:val="20"/>
                <w:lang w:eastAsia="sk-SK"/>
              </w:rPr>
              <w:t xml:space="preserve"> osobe, ktorá sa do </w:t>
            </w:r>
            <w:r w:rsidRPr="007D3F83">
              <w:rPr>
                <w:rFonts w:eastAsia="Times New Roman"/>
                <w:sz w:val="20"/>
                <w:szCs w:val="20"/>
                <w:lang w:eastAsia="sk-SK"/>
              </w:rPr>
              <w:t>schránky prihlásila a požiadala o deaktiváciu elektronickej schránky</w:t>
            </w:r>
            <w:r>
              <w:rPr>
                <w:rFonts w:eastAsia="Times New Roman"/>
                <w:sz w:val="20"/>
                <w:szCs w:val="20"/>
                <w:lang w:eastAsia="sk-SK"/>
              </w:rPr>
              <w:t xml:space="preserve"> po uložení elektronickej úradnej správy v schránke, rovnako sa upravuje aj deaktivácia schránky pre fyzické osoby podnikateľov. </w:t>
            </w:r>
            <w:r w:rsidRPr="00CB2D57">
              <w:rPr>
                <w:rFonts w:eastAsia="Times New Roman"/>
                <w:sz w:val="20"/>
                <w:szCs w:val="20"/>
                <w:lang w:eastAsia="sk-SK"/>
              </w:rPr>
              <w:t xml:space="preserve">Uvedená zmena si vyžiada úpravy na strane správcu </w:t>
            </w:r>
            <w:r>
              <w:rPr>
                <w:rFonts w:eastAsia="Times New Roman"/>
                <w:sz w:val="20"/>
                <w:szCs w:val="20"/>
                <w:lang w:eastAsia="sk-SK"/>
              </w:rPr>
              <w:t xml:space="preserve">ÚPVS </w:t>
            </w:r>
            <w:r w:rsidRPr="00CB2D57">
              <w:rPr>
                <w:rFonts w:eastAsia="Times New Roman"/>
                <w:sz w:val="20"/>
                <w:szCs w:val="20"/>
                <w:lang w:eastAsia="sk-SK"/>
              </w:rPr>
              <w:t>a</w:t>
            </w:r>
            <w:r>
              <w:rPr>
                <w:rFonts w:eastAsia="Times New Roman"/>
                <w:sz w:val="20"/>
                <w:szCs w:val="20"/>
                <w:lang w:eastAsia="sk-SK"/>
              </w:rPr>
              <w:t xml:space="preserve"> zároveň </w:t>
            </w:r>
            <w:r w:rsidRPr="00CB2D57">
              <w:rPr>
                <w:rFonts w:eastAsia="Times New Roman"/>
                <w:sz w:val="20"/>
                <w:szCs w:val="20"/>
                <w:lang w:eastAsia="sk-SK"/>
              </w:rPr>
              <w:t>prispeje k </w:t>
            </w:r>
            <w:r>
              <w:rPr>
                <w:rFonts w:eastAsia="Times New Roman"/>
                <w:sz w:val="20"/>
                <w:szCs w:val="20"/>
                <w:lang w:eastAsia="sk-SK"/>
              </w:rPr>
              <w:t>obmedzeniu</w:t>
            </w:r>
            <w:r w:rsidRPr="00CB2D57">
              <w:rPr>
                <w:rFonts w:eastAsia="Times New Roman"/>
                <w:sz w:val="20"/>
                <w:szCs w:val="20"/>
                <w:lang w:eastAsia="sk-SK"/>
              </w:rPr>
              <w:t xml:space="preserve">  prípadného špekulatívneho konania zo strany majiteľa elektronickej schránky, ktorý o deaktiváciu požiadal s </w:t>
            </w:r>
            <w:r w:rsidRPr="00CB2D57">
              <w:rPr>
                <w:rFonts w:eastAsia="Times New Roman"/>
                <w:sz w:val="20"/>
                <w:szCs w:val="20"/>
                <w:lang w:eastAsia="sk-SK"/>
              </w:rPr>
              <w:lastRenderedPageBreak/>
              <w:t>cieľom vyhnúť sa prevzatiu elektronického úradného dokumentu, kde by musel orgán verejnej moci opätovne vykonať elektronické doručovanie.</w:t>
            </w:r>
            <w:r w:rsidRPr="42FD4335">
              <w:rPr>
                <w:rFonts w:eastAsia="Times New Roman"/>
                <w:sz w:val="20"/>
                <w:szCs w:val="20"/>
                <w:lang w:eastAsia="sk-SK"/>
              </w:rPr>
              <w:t xml:space="preserve"> </w:t>
            </w:r>
          </w:p>
          <w:p w14:paraId="169CD085" w14:textId="77777777" w:rsidR="00B32768" w:rsidRDefault="00B32768" w:rsidP="00DF7D27">
            <w:pPr>
              <w:spacing w:after="120"/>
              <w:jc w:val="both"/>
              <w:rPr>
                <w:rFonts w:eastAsia="Times New Roman"/>
                <w:sz w:val="20"/>
                <w:szCs w:val="20"/>
                <w:lang w:eastAsia="sk-SK"/>
              </w:rPr>
            </w:pPr>
            <w:r>
              <w:rPr>
                <w:rFonts w:eastAsia="Times New Roman"/>
                <w:sz w:val="20"/>
                <w:szCs w:val="20"/>
                <w:lang w:eastAsia="sk-SK"/>
              </w:rPr>
              <w:t>Ad.2) Autentifikácia</w:t>
            </w:r>
          </w:p>
          <w:p w14:paraId="18F83923" w14:textId="77777777" w:rsidR="00B32768" w:rsidRDefault="00B32768" w:rsidP="00DF7D27">
            <w:pPr>
              <w:spacing w:after="120"/>
              <w:jc w:val="both"/>
              <w:rPr>
                <w:rFonts w:eastAsia="Times New Roman"/>
                <w:sz w:val="20"/>
                <w:szCs w:val="20"/>
                <w:lang w:eastAsia="sk-SK"/>
              </w:rPr>
            </w:pPr>
            <w:r w:rsidRPr="00F10219">
              <w:rPr>
                <w:rFonts w:eastAsia="Times New Roman"/>
                <w:sz w:val="20"/>
                <w:szCs w:val="20"/>
                <w:lang w:eastAsia="sk-SK"/>
              </w:rPr>
              <w:t xml:space="preserve">V oblasti autentifikácie sa navrhuje otvoriť právnu úpravu pre používanie iných než dnes v zákone o e-Governmente ustanovených autentifikátorov. Zachováva sa možnosť autentifikácie s použitím </w:t>
            </w:r>
            <w:r>
              <w:rPr>
                <w:rFonts w:eastAsia="Times New Roman"/>
                <w:sz w:val="20"/>
                <w:szCs w:val="20"/>
                <w:lang w:eastAsia="sk-SK"/>
              </w:rPr>
              <w:t xml:space="preserve">úradných </w:t>
            </w:r>
            <w:r w:rsidRPr="00F10219">
              <w:rPr>
                <w:rFonts w:eastAsia="Times New Roman"/>
                <w:sz w:val="20"/>
                <w:szCs w:val="20"/>
                <w:lang w:eastAsia="sk-SK"/>
              </w:rPr>
              <w:t xml:space="preserve">dokladov, ako aj autentifikačných prostriedkov notifikovaných podľa nariadenia Európskeho parlamentu a Rady (EÚ) č. </w:t>
            </w:r>
            <w:r w:rsidRPr="0076304B">
              <w:rPr>
                <w:rFonts w:eastAsia="Times New Roman"/>
                <w:sz w:val="20"/>
                <w:szCs w:val="20"/>
                <w:lang w:eastAsia="sk-SK"/>
              </w:rPr>
              <w:t>910/2014 z 23. júla 2014 o elektronickej identifikácii a dôveryhodných službách pre elektronické transakcie na vnútornom trhu a o zrušení smernice 1999/93/ES (ďalej len „nariadenie (EÚ) č. 910/2014“),</w:t>
            </w:r>
            <w:r w:rsidRPr="00F10219">
              <w:rPr>
                <w:rFonts w:eastAsia="Times New Roman"/>
                <w:sz w:val="20"/>
                <w:szCs w:val="20"/>
                <w:lang w:eastAsia="sk-SK"/>
              </w:rPr>
              <w:t xml:space="preserve"> a pre iné autentifikačné prostriedky sa navrhuje zaviesť postup posudzovania ich súladu so štandardmi a postupmi podľa zákona o e-Governmente, ich evidencia a následné používanie podľa rozhodnutia orgánu verejnej moci.</w:t>
            </w:r>
            <w:r>
              <w:rPr>
                <w:rFonts w:eastAsia="Times New Roman"/>
                <w:sz w:val="20"/>
                <w:szCs w:val="20"/>
                <w:lang w:eastAsia="sk-SK"/>
              </w:rPr>
              <w:t xml:space="preserve"> </w:t>
            </w:r>
          </w:p>
          <w:p w14:paraId="05B4BDBF" w14:textId="77777777" w:rsidR="00B32768" w:rsidRDefault="00B32768" w:rsidP="00DF7D27">
            <w:pPr>
              <w:spacing w:after="120"/>
              <w:jc w:val="both"/>
              <w:rPr>
                <w:rFonts w:eastAsia="Times New Roman"/>
                <w:sz w:val="20"/>
                <w:szCs w:val="20"/>
                <w:lang w:eastAsia="sk-SK"/>
              </w:rPr>
            </w:pPr>
            <w:r>
              <w:rPr>
                <w:rFonts w:eastAsia="Times New Roman"/>
                <w:sz w:val="20"/>
                <w:szCs w:val="20"/>
                <w:lang w:eastAsia="sk-SK"/>
              </w:rPr>
              <w:t>Ad.3) Autorizácia</w:t>
            </w:r>
          </w:p>
          <w:p w14:paraId="01E00D8D" w14:textId="77777777" w:rsidR="00B32768" w:rsidRDefault="00B32768" w:rsidP="00DF7D27">
            <w:pPr>
              <w:spacing w:after="120"/>
              <w:jc w:val="both"/>
              <w:rPr>
                <w:rFonts w:eastAsia="Times New Roman"/>
                <w:sz w:val="20"/>
                <w:szCs w:val="20"/>
                <w:highlight w:val="yellow"/>
                <w:lang w:eastAsia="sk-SK"/>
              </w:rPr>
            </w:pPr>
            <w:r>
              <w:rPr>
                <w:rFonts w:eastAsia="Times New Roman"/>
                <w:sz w:val="20"/>
                <w:szCs w:val="20"/>
                <w:lang w:eastAsia="sk-SK"/>
              </w:rPr>
              <w:t>V oblasti autorizácie dochádza k spresneniu podpory funkcionality autorizácie klikom pre elektronické podania podané prostredníctvom ÚPVS, pričom naďalej bude platiť dobrovoľnosť sprístupnenia tejto funkcionality pre elektronické podania na špecializovaných portáloch pre elektronické služby verejnej správy orgánu verejnej moci. Z</w:t>
            </w:r>
            <w:r w:rsidRPr="00A84D0B">
              <w:rPr>
                <w:rFonts w:eastAsia="Times New Roman"/>
                <w:sz w:val="20"/>
                <w:szCs w:val="20"/>
                <w:lang w:eastAsia="sk-SK"/>
              </w:rPr>
              <w:t xml:space="preserve"> dôvodu </w:t>
            </w:r>
            <w:r>
              <w:rPr>
                <w:rFonts w:eastAsia="Times New Roman"/>
                <w:sz w:val="20"/>
                <w:szCs w:val="20"/>
                <w:lang w:eastAsia="sk-SK"/>
              </w:rPr>
              <w:t xml:space="preserve">povinnej </w:t>
            </w:r>
            <w:r w:rsidRPr="00A84D0B">
              <w:rPr>
                <w:rFonts w:eastAsia="Times New Roman"/>
                <w:sz w:val="20"/>
                <w:szCs w:val="20"/>
                <w:lang w:eastAsia="sk-SK"/>
              </w:rPr>
              <w:t xml:space="preserve">podpory autorizácie klikom </w:t>
            </w:r>
            <w:r>
              <w:rPr>
                <w:rFonts w:eastAsia="Times New Roman"/>
                <w:sz w:val="20"/>
                <w:szCs w:val="20"/>
                <w:lang w:eastAsia="sk-SK"/>
              </w:rPr>
              <w:t xml:space="preserve">na ÚPVS </w:t>
            </w:r>
            <w:r w:rsidRPr="00A84D0B">
              <w:rPr>
                <w:rFonts w:eastAsia="Times New Roman"/>
                <w:sz w:val="20"/>
                <w:szCs w:val="20"/>
                <w:lang w:eastAsia="sk-SK"/>
              </w:rPr>
              <w:t xml:space="preserve">bude potrebné </w:t>
            </w:r>
            <w:r>
              <w:rPr>
                <w:rFonts w:eastAsia="Times New Roman"/>
                <w:sz w:val="20"/>
                <w:szCs w:val="20"/>
                <w:lang w:eastAsia="sk-SK"/>
              </w:rPr>
              <w:t xml:space="preserve">vykonať úpravy súvisiace s možnosťou výberu autorizácie klikom, </w:t>
            </w:r>
            <w:r w:rsidRPr="00A84D0B">
              <w:rPr>
                <w:rFonts w:eastAsia="Times New Roman"/>
                <w:sz w:val="20"/>
                <w:szCs w:val="20"/>
                <w:lang w:eastAsia="sk-SK"/>
              </w:rPr>
              <w:t>vytvoriť nové verzie služieb úplného overenia, zaevidovania podania a informatívneho overenia, ktorých výstup bude rozšírený o výsledok overenia autorizácie klikom (o údaje z autorizačnej doložky)</w:t>
            </w:r>
            <w:r>
              <w:rPr>
                <w:rFonts w:eastAsia="Times New Roman"/>
                <w:sz w:val="20"/>
                <w:szCs w:val="20"/>
                <w:lang w:eastAsia="sk-SK"/>
              </w:rPr>
              <w:t xml:space="preserve">. </w:t>
            </w:r>
          </w:p>
          <w:p w14:paraId="0B748071" w14:textId="77777777" w:rsidR="00B32768" w:rsidRDefault="00B32768" w:rsidP="00DF7D27">
            <w:pPr>
              <w:spacing w:after="120"/>
              <w:jc w:val="both"/>
              <w:rPr>
                <w:rFonts w:eastAsia="Times New Roman"/>
                <w:sz w:val="20"/>
                <w:szCs w:val="20"/>
                <w:lang w:eastAsia="sk-SK"/>
              </w:rPr>
            </w:pPr>
            <w:r w:rsidRPr="00771B7B">
              <w:rPr>
                <w:rFonts w:eastAsia="Times New Roman"/>
                <w:sz w:val="20"/>
                <w:szCs w:val="20"/>
                <w:lang w:eastAsia="sk-SK"/>
              </w:rPr>
              <w:t>V § 23 sa navrhuje úprava používania uznaných spôsobov autorizácie, pričom cieľom úpravy je</w:t>
            </w:r>
            <w:r w:rsidRPr="00771B7B">
              <w:rPr>
                <w:sz w:val="20"/>
                <w:szCs w:val="20"/>
              </w:rPr>
              <w:t xml:space="preserve"> umožniť OVM si </w:t>
            </w:r>
            <w:r w:rsidRPr="00771B7B">
              <w:rPr>
                <w:rFonts w:eastAsia="Times New Roman"/>
                <w:sz w:val="20"/>
                <w:szCs w:val="20"/>
                <w:lang w:eastAsia="sk-SK"/>
              </w:rPr>
              <w:t>určiť, pre ktoré elektronické služby verejnej správy možno použiť uznaný spôsob autorizácie. MIRRI SR zároveň pripravuje vyhlášku upravujúcu uznané spôsoby autorizácie v súlade so splnomocňovacím ustanovením v § 59 ods. 1 písm. m) zákona o e-Governmente, ktorou bude za uznaný spôsob autorizácie prehlásený zdokonalený elektronický podpis založený na kvalifikovanom certifikáte pre elektronický podpis, ktorý spĺňa požiadavky podľa nariadenia (EÚ) č. 910/2014. Vplyvy spojené so zavádzaním použitia uznaných spôsobov autorizácie na ÚPVS alebo špecializovanom portáli budú preto vyčíslené až v rámci legislatívneho procesu návrhu vyhlášky o uznaných spôsoboch autorizácie.</w:t>
            </w:r>
            <w:r>
              <w:rPr>
                <w:rFonts w:eastAsia="Times New Roman"/>
                <w:sz w:val="20"/>
                <w:szCs w:val="20"/>
                <w:lang w:eastAsia="sk-SK"/>
              </w:rPr>
              <w:t xml:space="preserve"> </w:t>
            </w:r>
          </w:p>
          <w:p w14:paraId="0F701498" w14:textId="77777777" w:rsidR="00B32768" w:rsidRDefault="00B32768" w:rsidP="00DF7D27">
            <w:pPr>
              <w:spacing w:after="120"/>
              <w:jc w:val="both"/>
              <w:rPr>
                <w:rFonts w:eastAsia="Times New Roman"/>
                <w:sz w:val="20"/>
                <w:szCs w:val="20"/>
                <w:lang w:eastAsia="sk-SK"/>
              </w:rPr>
            </w:pPr>
            <w:r>
              <w:rPr>
                <w:rFonts w:eastAsia="Times New Roman"/>
                <w:sz w:val="20"/>
                <w:szCs w:val="20"/>
                <w:lang w:eastAsia="sk-SK"/>
              </w:rPr>
              <w:t>Ad.4) Integrované obslužné miesta</w:t>
            </w:r>
          </w:p>
          <w:p w14:paraId="59D2D5C3" w14:textId="77777777" w:rsidR="00B32768" w:rsidRDefault="00B32768" w:rsidP="00DF7D27">
            <w:pPr>
              <w:jc w:val="both"/>
              <w:rPr>
                <w:rFonts w:eastAsia="Times New Roman"/>
                <w:sz w:val="20"/>
                <w:szCs w:val="20"/>
                <w:lang w:eastAsia="sk-SK"/>
              </w:rPr>
            </w:pPr>
            <w:r>
              <w:rPr>
                <w:rFonts w:eastAsia="Times New Roman"/>
                <w:sz w:val="20"/>
                <w:szCs w:val="20"/>
                <w:lang w:eastAsia="sk-SK"/>
              </w:rPr>
              <w:t>Návrhom zákona dochádza k vypusteniu činnosti integrovaných obslužných miest (ďalej len „IOM“). Na základe dostupných údajov o vykonávanej činnosti osôb a zároveň v zmysle odporúčaní z auditu povinností uskutočneného v roku 2021 na základe spolupráce MIRRI SR so zástupcami odbornej komunity (</w:t>
            </w:r>
            <w:hyperlink r:id="rId10" w:history="1">
              <w:r w:rsidRPr="00020954">
                <w:rPr>
                  <w:rStyle w:val="Hypertextovprepojenie"/>
                  <w:rFonts w:eastAsia="Times New Roman"/>
                  <w:sz w:val="20"/>
                  <w:szCs w:val="20"/>
                  <w:lang w:eastAsia="sk-SK"/>
                </w:rPr>
                <w:t>https://www.mirri.gov.sk/aktuality/informatizacia/mirri-spusti-v-spolupraci-s-odbornou-komunitou-prieskum-zamerany-na-dodrziavanie-zakona-o-e-governmente-vysledkom-bude-prehodnotenie-niektorych-opatreni-a-priprava-novely/index.html</w:t>
              </w:r>
            </w:hyperlink>
            <w:r>
              <w:rPr>
                <w:rFonts w:eastAsia="Times New Roman"/>
                <w:sz w:val="20"/>
                <w:szCs w:val="20"/>
                <w:lang w:eastAsia="sk-SK"/>
              </w:rPr>
              <w:t xml:space="preserve">) sa javí ako potrebné prehodnotiť koncept asistovaného výkonu verejnej moci a vykonávanie činností IOM podľa aktuálnej právnej úpravy. Jednoznačne prevažujúcou činnosťou IOM v súčasnosti je:(1) vydávanie elektronického odpisu a výstupu z informačných systémov verejnej správy podľa § 26 zákona č. 95/2019 Z. z. o </w:t>
            </w:r>
            <w:r w:rsidRPr="006D6326">
              <w:rPr>
                <w:rFonts w:eastAsia="Times New Roman"/>
                <w:sz w:val="20"/>
                <w:szCs w:val="20"/>
                <w:lang w:eastAsia="sk-SK"/>
              </w:rPr>
              <w:t>informačných technológiách vo verejnej správe a o zmene a doplnení niektorých zákonov</w:t>
            </w:r>
            <w:r>
              <w:rPr>
                <w:rFonts w:eastAsia="Times New Roman"/>
                <w:sz w:val="20"/>
                <w:szCs w:val="20"/>
                <w:lang w:eastAsia="sk-SK"/>
              </w:rPr>
              <w:t xml:space="preserve"> (ďalej len „zákon o ITVS“) a </w:t>
            </w:r>
          </w:p>
          <w:p w14:paraId="085F8088" w14:textId="77777777" w:rsidR="00B32768" w:rsidRDefault="00B32768" w:rsidP="00DF7D27">
            <w:pPr>
              <w:jc w:val="both"/>
              <w:rPr>
                <w:rFonts w:eastAsia="Times New Roman"/>
                <w:sz w:val="20"/>
                <w:szCs w:val="20"/>
                <w:lang w:eastAsia="sk-SK"/>
              </w:rPr>
            </w:pPr>
            <w:r>
              <w:rPr>
                <w:rFonts w:eastAsia="Times New Roman"/>
                <w:sz w:val="20"/>
                <w:szCs w:val="20"/>
                <w:lang w:eastAsia="sk-SK"/>
              </w:rPr>
              <w:t>(2) vykonávanie zaručenej konverzie podľa § 35 zákona o e-Governmente, ktoré sú osobitne upravené v inej časti zákona o e-Governmente alebo v zákone o ITVS.</w:t>
            </w:r>
          </w:p>
          <w:p w14:paraId="52D2A5BD" w14:textId="77777777" w:rsidR="00B32768" w:rsidRDefault="00B32768" w:rsidP="00DF7D27">
            <w:pPr>
              <w:jc w:val="both"/>
              <w:rPr>
                <w:rFonts w:eastAsia="Times New Roman"/>
                <w:sz w:val="20"/>
                <w:szCs w:val="20"/>
                <w:lang w:eastAsia="sk-SK"/>
              </w:rPr>
            </w:pPr>
            <w:r>
              <w:rPr>
                <w:rFonts w:eastAsia="Times New Roman"/>
                <w:sz w:val="20"/>
                <w:szCs w:val="20"/>
                <w:lang w:eastAsia="sk-SK"/>
              </w:rPr>
              <w:t>Vzhľadom na uvedené sa navrhuje koncept IOM vypustiť.</w:t>
            </w:r>
          </w:p>
          <w:p w14:paraId="762D36AC" w14:textId="77777777" w:rsidR="00B32768" w:rsidRDefault="00B32768" w:rsidP="00DF7D27">
            <w:pPr>
              <w:jc w:val="both"/>
              <w:rPr>
                <w:rFonts w:eastAsia="Times New Roman"/>
                <w:sz w:val="20"/>
                <w:szCs w:val="20"/>
                <w:lang w:eastAsia="sk-SK"/>
              </w:rPr>
            </w:pPr>
          </w:p>
          <w:p w14:paraId="3F975DB8" w14:textId="77777777" w:rsidR="00B32768" w:rsidRPr="00771B7B" w:rsidRDefault="00B32768" w:rsidP="00DF7D27">
            <w:pPr>
              <w:spacing w:after="120"/>
              <w:jc w:val="both"/>
              <w:rPr>
                <w:rFonts w:eastAsia="Times New Roman"/>
                <w:sz w:val="20"/>
                <w:szCs w:val="20"/>
                <w:lang w:eastAsia="sk-SK"/>
              </w:rPr>
            </w:pPr>
            <w:r w:rsidRPr="00771B7B">
              <w:rPr>
                <w:rFonts w:eastAsia="Times New Roman"/>
                <w:sz w:val="20"/>
                <w:szCs w:val="20"/>
                <w:lang w:eastAsia="sk-SK"/>
              </w:rPr>
              <w:t>Ad.5) Zaručená konverzia</w:t>
            </w:r>
          </w:p>
          <w:p w14:paraId="2CF331CA" w14:textId="77777777" w:rsidR="00B32768" w:rsidRDefault="00B32768" w:rsidP="00DF7D27">
            <w:pPr>
              <w:spacing w:after="120"/>
              <w:jc w:val="both"/>
              <w:rPr>
                <w:rFonts w:eastAsia="Times New Roman"/>
                <w:sz w:val="20"/>
                <w:szCs w:val="20"/>
                <w:lang w:eastAsia="sk-SK"/>
              </w:rPr>
            </w:pPr>
            <w:r w:rsidRPr="00771B7B">
              <w:rPr>
                <w:rFonts w:eastAsia="Times New Roman"/>
                <w:sz w:val="20"/>
                <w:szCs w:val="20"/>
                <w:lang w:eastAsia="sk-SK"/>
              </w:rPr>
              <w:t>V oblasti zaručenej konverzie sa upúšťa od povinnosti vedenia lokálnej evidencie zaručených konverzií u osoby vykonávajúcej konverziu, dochádza k zmene postupnosti krokov pri vykonávaní zaručenej konverzie a zavádza sa povinné nahrávanie údajov do centrálnej evidencie záznamov zaručenej konverzie pri vytváraní záznamu o zaručenej konverzii, v spojení s maximálnym zjednodušením náležitostí osvedčovacej doložky. Vzhľadom na to, že niektoré podrobnosti pri vykonávaní zaručenej konverzie upravuje vyhláška Ministerstva investícií, regionálneho rozvoja a informatizácie Slovenskej republiky č. 70/2021 Z. z. o zaručenej konverzii (ďalej len „vyhláška o zaručenej konverzii“) a navrhované koncepčné zmeny si budú vyžadovať jej novelizáciu, bude možné detailne posúdiť a vyznačiť všetky vplyvy návrhu v rámci príslušných analýz až pri predkladaní samotnej novely vyhlášky o zaručenej konverzii. Z uvedeného dôvodu sa dopĺňa prechodné obdobie do 1. októbra 2024 na implementáciu uvedených zmien. Zároveň dochádza k doplneniu oprávnenia vykonávať zaručenú konverziu aj pre banky a pobočky zahraničnej banky.</w:t>
            </w:r>
          </w:p>
          <w:p w14:paraId="08C9D2FA" w14:textId="77777777" w:rsidR="00B32768" w:rsidRDefault="00B32768" w:rsidP="00DF7D27">
            <w:pPr>
              <w:spacing w:after="120"/>
              <w:jc w:val="both"/>
              <w:rPr>
                <w:rFonts w:eastAsia="Times New Roman"/>
                <w:sz w:val="20"/>
                <w:szCs w:val="20"/>
                <w:lang w:eastAsia="sk-SK"/>
              </w:rPr>
            </w:pPr>
            <w:r>
              <w:rPr>
                <w:rFonts w:eastAsia="Times New Roman"/>
                <w:sz w:val="20"/>
                <w:szCs w:val="20"/>
                <w:lang w:eastAsia="sk-SK"/>
              </w:rPr>
              <w:t xml:space="preserve">Ad.6) </w:t>
            </w:r>
            <w:r w:rsidRPr="00491F91">
              <w:rPr>
                <w:rFonts w:eastAsia="Times New Roman"/>
                <w:sz w:val="20"/>
                <w:szCs w:val="20"/>
                <w:lang w:eastAsia="sk-SK"/>
              </w:rPr>
              <w:t>Návrhy zmien v oblasti povinnosti vytvárania elektronického formulára pre elektronické úradné dokumenty</w:t>
            </w:r>
          </w:p>
          <w:p w14:paraId="41AF63F6" w14:textId="77777777" w:rsidR="00B32768" w:rsidRPr="009B285C" w:rsidRDefault="00B32768" w:rsidP="00DF7D27">
            <w:pPr>
              <w:spacing w:after="120"/>
              <w:jc w:val="both"/>
              <w:rPr>
                <w:rFonts w:eastAsia="Times New Roman"/>
                <w:sz w:val="20"/>
                <w:szCs w:val="20"/>
                <w:lang w:eastAsia="sk-SK"/>
              </w:rPr>
            </w:pPr>
            <w:r w:rsidRPr="00491F91">
              <w:rPr>
                <w:rFonts w:eastAsia="Times New Roman"/>
                <w:sz w:val="20"/>
                <w:szCs w:val="20"/>
                <w:lang w:eastAsia="sk-SK"/>
              </w:rPr>
              <w:lastRenderedPageBreak/>
              <w:t>Na základe zásadnej pripomienky k novele zákona a zámerov v pracovných skupinách Komisie pre štandardizáciu bude vytváranie elektronického formulára pre elektronický úradný dokument nepovinné a bude možné vytvárať elektronické úradné dokumenty aj ako iné elektronické dokumenty.</w:t>
            </w:r>
            <w:r>
              <w:rPr>
                <w:rFonts w:eastAsia="Times New Roman"/>
                <w:sz w:val="20"/>
                <w:szCs w:val="20"/>
                <w:lang w:eastAsia="sk-SK"/>
              </w:rPr>
              <w:t xml:space="preserve"> Navrhované zmeny si vyžiadajú implementáciu v rámci ÚPVS a </w:t>
            </w:r>
            <w:r w:rsidRPr="00491F91">
              <w:rPr>
                <w:rFonts w:eastAsia="Times New Roman"/>
                <w:sz w:val="20"/>
                <w:szCs w:val="20"/>
                <w:lang w:eastAsia="sk-SK"/>
              </w:rPr>
              <w:t>úpravu zverejneného vzoru autorizačnej doložky, aby v nich nebol ako elektronický úradný dokument označovaný výlučne vyplnený elektronický formulár.</w:t>
            </w:r>
          </w:p>
        </w:tc>
      </w:tr>
      <w:tr w:rsidR="00B32768" w:rsidRPr="00B043B4" w14:paraId="4D1D94E2" w14:textId="77777777" w:rsidTr="00DF7D27">
        <w:tc>
          <w:tcPr>
            <w:tcW w:w="9180" w:type="dxa"/>
            <w:gridSpan w:val="11"/>
            <w:tcBorders>
              <w:top w:val="single" w:sz="4" w:space="0" w:color="auto"/>
              <w:left w:val="single" w:sz="4" w:space="0" w:color="auto"/>
              <w:bottom w:val="nil"/>
              <w:right w:val="single" w:sz="4" w:space="0" w:color="auto"/>
            </w:tcBorders>
            <w:shd w:val="clear" w:color="auto" w:fill="E2E2E2"/>
          </w:tcPr>
          <w:p w14:paraId="4A30CC61" w14:textId="77777777" w:rsidR="00B32768" w:rsidRPr="00B043B4" w:rsidRDefault="00B32768" w:rsidP="00B32768">
            <w:pPr>
              <w:numPr>
                <w:ilvl w:val="0"/>
                <w:numId w:val="6"/>
              </w:numPr>
              <w:ind w:left="426"/>
              <w:contextualSpacing/>
              <w:rPr>
                <w:rFonts w:eastAsia="Calibri"/>
                <w:b/>
              </w:rPr>
            </w:pPr>
            <w:r w:rsidRPr="00B32768">
              <w:rPr>
                <w:rFonts w:eastAsia="Calibri"/>
                <w:b/>
                <w:sz w:val="22"/>
              </w:rPr>
              <w:lastRenderedPageBreak/>
              <w:t>Ciele a výsledný stav</w:t>
            </w:r>
          </w:p>
        </w:tc>
      </w:tr>
      <w:tr w:rsidR="00B32768" w:rsidRPr="00B043B4" w14:paraId="387D41F9" w14:textId="77777777" w:rsidTr="00DF7D27">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02E579C6" w14:textId="77777777" w:rsidR="00B32768" w:rsidRPr="00577B48" w:rsidRDefault="00B32768" w:rsidP="00DF7D27">
            <w:pPr>
              <w:pStyle w:val="Normlnywebov"/>
              <w:spacing w:before="120" w:beforeAutospacing="0" w:after="120" w:afterAutospacing="0"/>
              <w:jc w:val="both"/>
              <w:rPr>
                <w:sz w:val="20"/>
                <w:szCs w:val="20"/>
              </w:rPr>
            </w:pPr>
            <w:r w:rsidRPr="00960035">
              <w:rPr>
                <w:sz w:val="20"/>
                <w:szCs w:val="20"/>
              </w:rPr>
              <w:t xml:space="preserve">Cieľom predkladaného návrhu zákona je </w:t>
            </w:r>
            <w:r>
              <w:rPr>
                <w:sz w:val="20"/>
                <w:szCs w:val="20"/>
              </w:rPr>
              <w:t xml:space="preserve">v nadväznosti na skúsenosti z aplikačnej praxe a z kontrolnej činnosti MIRRI SR podľa </w:t>
            </w:r>
            <w:r w:rsidRPr="003A6554">
              <w:rPr>
                <w:sz w:val="20"/>
                <w:szCs w:val="20"/>
              </w:rPr>
              <w:t>§ 56b zákona o e-Governmente</w:t>
            </w:r>
            <w:r w:rsidRPr="00960035">
              <w:rPr>
                <w:sz w:val="20"/>
                <w:szCs w:val="20"/>
              </w:rPr>
              <w:t xml:space="preserve"> zabezpeči</w:t>
            </w:r>
            <w:r>
              <w:rPr>
                <w:sz w:val="20"/>
                <w:szCs w:val="20"/>
              </w:rPr>
              <w:t>ť nevyhnutné legislatívne zmeny</w:t>
            </w:r>
            <w:r w:rsidRPr="003A6554">
              <w:rPr>
                <w:sz w:val="20"/>
                <w:szCs w:val="20"/>
              </w:rPr>
              <w:t>.</w:t>
            </w:r>
            <w:r w:rsidRPr="00960035">
              <w:rPr>
                <w:sz w:val="20"/>
                <w:szCs w:val="20"/>
              </w:rPr>
              <w:t xml:space="preserve"> Účelom úprav je</w:t>
            </w:r>
            <w:r>
              <w:rPr>
                <w:sz w:val="20"/>
                <w:szCs w:val="20"/>
              </w:rPr>
              <w:t xml:space="preserve"> zabezpečiť</w:t>
            </w:r>
            <w:r w:rsidRPr="00960035">
              <w:rPr>
                <w:sz w:val="20"/>
                <w:szCs w:val="20"/>
              </w:rPr>
              <w:t xml:space="preserve"> </w:t>
            </w:r>
            <w:r>
              <w:rPr>
                <w:sz w:val="20"/>
                <w:szCs w:val="20"/>
              </w:rPr>
              <w:t>skvalitnenie poskytovaných služieb prostredníctvom ÚPVS a zlepšiť celkové fungovanie e-Governmentu</w:t>
            </w:r>
            <w:r w:rsidRPr="00960035">
              <w:rPr>
                <w:sz w:val="20"/>
                <w:szCs w:val="20"/>
              </w:rPr>
              <w:t xml:space="preserve">. </w:t>
            </w:r>
          </w:p>
        </w:tc>
      </w:tr>
      <w:tr w:rsidR="00B32768" w:rsidRPr="00B043B4" w14:paraId="417AF06E" w14:textId="77777777" w:rsidTr="00DF7D27">
        <w:tc>
          <w:tcPr>
            <w:tcW w:w="9180" w:type="dxa"/>
            <w:gridSpan w:val="11"/>
            <w:tcBorders>
              <w:top w:val="single" w:sz="4" w:space="0" w:color="auto"/>
              <w:left w:val="single" w:sz="4" w:space="0" w:color="auto"/>
              <w:bottom w:val="nil"/>
              <w:right w:val="single" w:sz="4" w:space="0" w:color="auto"/>
            </w:tcBorders>
            <w:shd w:val="clear" w:color="auto" w:fill="E2E2E2"/>
          </w:tcPr>
          <w:p w14:paraId="3858CB45" w14:textId="77777777" w:rsidR="00B32768" w:rsidRPr="00B043B4" w:rsidRDefault="00B32768" w:rsidP="00B32768">
            <w:pPr>
              <w:numPr>
                <w:ilvl w:val="0"/>
                <w:numId w:val="6"/>
              </w:numPr>
              <w:ind w:left="426"/>
              <w:contextualSpacing/>
              <w:rPr>
                <w:rFonts w:eastAsia="Calibri"/>
                <w:b/>
              </w:rPr>
            </w:pPr>
            <w:r w:rsidRPr="00B32768">
              <w:rPr>
                <w:rFonts w:eastAsia="Calibri"/>
                <w:b/>
                <w:sz w:val="22"/>
              </w:rPr>
              <w:t>Dotknuté subjekty</w:t>
            </w:r>
          </w:p>
        </w:tc>
      </w:tr>
      <w:tr w:rsidR="00B32768" w:rsidRPr="00B043B4" w14:paraId="5C4F5C8D" w14:textId="77777777" w:rsidTr="00DF7D27">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2466880D" w14:textId="77777777" w:rsidR="00B32768" w:rsidRDefault="00B32768" w:rsidP="00DF7D27">
            <w:pPr>
              <w:spacing w:before="120"/>
              <w:jc w:val="both"/>
              <w:rPr>
                <w:sz w:val="20"/>
                <w:szCs w:val="20"/>
              </w:rPr>
            </w:pPr>
            <w:r>
              <w:rPr>
                <w:sz w:val="20"/>
                <w:szCs w:val="20"/>
              </w:rPr>
              <w:t>O</w:t>
            </w:r>
            <w:r w:rsidRPr="00960035">
              <w:rPr>
                <w:sz w:val="20"/>
                <w:szCs w:val="20"/>
              </w:rPr>
              <w:t>rgány verejnej moci, právnické oso</w:t>
            </w:r>
            <w:r>
              <w:rPr>
                <w:sz w:val="20"/>
                <w:szCs w:val="20"/>
              </w:rPr>
              <w:t>by, fyzické osoby podnikatelia, fyzické osoby</w:t>
            </w:r>
          </w:p>
          <w:p w14:paraId="0C7E1745" w14:textId="77777777" w:rsidR="00B32768" w:rsidRPr="00960035" w:rsidRDefault="00B32768" w:rsidP="00DF7D27">
            <w:pPr>
              <w:jc w:val="both"/>
              <w:rPr>
                <w:sz w:val="20"/>
                <w:szCs w:val="20"/>
              </w:rPr>
            </w:pPr>
          </w:p>
        </w:tc>
      </w:tr>
      <w:tr w:rsidR="00B32768" w:rsidRPr="00B043B4" w14:paraId="36D64322" w14:textId="77777777" w:rsidTr="00DF7D27">
        <w:tc>
          <w:tcPr>
            <w:tcW w:w="9180" w:type="dxa"/>
            <w:gridSpan w:val="11"/>
            <w:tcBorders>
              <w:top w:val="single" w:sz="4" w:space="0" w:color="auto"/>
              <w:left w:val="single" w:sz="4" w:space="0" w:color="auto"/>
              <w:bottom w:val="nil"/>
              <w:right w:val="single" w:sz="4" w:space="0" w:color="auto"/>
            </w:tcBorders>
            <w:shd w:val="clear" w:color="auto" w:fill="E2E2E2"/>
          </w:tcPr>
          <w:p w14:paraId="6B9E66AF" w14:textId="77777777" w:rsidR="00B32768" w:rsidRPr="00B043B4" w:rsidRDefault="00B32768" w:rsidP="00B32768">
            <w:pPr>
              <w:numPr>
                <w:ilvl w:val="0"/>
                <w:numId w:val="6"/>
              </w:numPr>
              <w:ind w:left="426"/>
              <w:contextualSpacing/>
              <w:rPr>
                <w:rFonts w:eastAsia="Calibri"/>
                <w:b/>
              </w:rPr>
            </w:pPr>
            <w:r w:rsidRPr="00B32768">
              <w:rPr>
                <w:rFonts w:eastAsia="Calibri"/>
                <w:b/>
                <w:sz w:val="22"/>
              </w:rPr>
              <w:t>Alternatívne riešenia</w:t>
            </w:r>
          </w:p>
        </w:tc>
      </w:tr>
      <w:tr w:rsidR="00B32768" w:rsidRPr="00B043B4" w14:paraId="6F4017CE" w14:textId="77777777" w:rsidTr="00DF7D27">
        <w:trPr>
          <w:trHeight w:val="996"/>
        </w:trPr>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54DA370F" w14:textId="77777777" w:rsidR="00B32768" w:rsidRPr="00960035" w:rsidRDefault="00B32768" w:rsidP="00DF7D27">
            <w:pPr>
              <w:spacing w:before="120"/>
              <w:rPr>
                <w:rFonts w:eastAsia="Times New Roman"/>
                <w:sz w:val="20"/>
                <w:szCs w:val="20"/>
                <w:lang w:eastAsia="sk-SK"/>
              </w:rPr>
            </w:pPr>
            <w:r>
              <w:rPr>
                <w:rFonts w:eastAsia="Times New Roman"/>
                <w:sz w:val="20"/>
                <w:szCs w:val="20"/>
                <w:lang w:eastAsia="sk-SK"/>
              </w:rPr>
              <w:t xml:space="preserve">Neboli posudzované alternatívne riešenia. </w:t>
            </w:r>
          </w:p>
          <w:p w14:paraId="527F0DC5" w14:textId="77777777" w:rsidR="00B32768" w:rsidRPr="00960035" w:rsidRDefault="00B32768" w:rsidP="00DF7D27">
            <w:pPr>
              <w:spacing w:after="120"/>
              <w:jc w:val="both"/>
              <w:rPr>
                <w:rFonts w:eastAsia="Times New Roman"/>
                <w:sz w:val="20"/>
                <w:szCs w:val="20"/>
                <w:lang w:eastAsia="sk-SK"/>
              </w:rPr>
            </w:pPr>
            <w:r>
              <w:rPr>
                <w:rFonts w:eastAsia="Times New Roman"/>
                <w:sz w:val="20"/>
                <w:szCs w:val="20"/>
                <w:lang w:eastAsia="sk-SK"/>
              </w:rPr>
              <w:t>Nulový variant - n</w:t>
            </w:r>
            <w:r w:rsidRPr="00960035">
              <w:rPr>
                <w:rFonts w:eastAsia="Times New Roman"/>
                <w:sz w:val="20"/>
                <w:szCs w:val="20"/>
                <w:lang w:eastAsia="sk-SK"/>
              </w:rPr>
              <w:t>eprijatím zákona alebo minimalizáciou jeho dopadov nebude možné pokračovať v zjednodušovaní a zefektívňovaní elektronickej úradnej komunikácie a doručovania podľa zákona o e-Governmente, ako ani plneniu záväzkov MIRRI SR pri centrálnom riadení informatizácie spoločnosti (najmä</w:t>
            </w:r>
            <w:r>
              <w:rPr>
                <w:rFonts w:eastAsia="Times New Roman"/>
                <w:sz w:val="20"/>
                <w:szCs w:val="20"/>
                <w:lang w:eastAsia="sk-SK"/>
              </w:rPr>
              <w:t xml:space="preserve"> záväzky vyplývajúce z</w:t>
            </w:r>
            <w:r w:rsidRPr="00960035">
              <w:rPr>
                <w:rFonts w:eastAsia="Times New Roman"/>
                <w:sz w:val="20"/>
                <w:szCs w:val="20"/>
                <w:lang w:eastAsia="sk-SK"/>
              </w:rPr>
              <w:t xml:space="preserve"> programové</w:t>
            </w:r>
            <w:r>
              <w:rPr>
                <w:rFonts w:eastAsia="Times New Roman"/>
                <w:sz w:val="20"/>
                <w:szCs w:val="20"/>
                <w:lang w:eastAsia="sk-SK"/>
              </w:rPr>
              <w:t>ho vyhlásenia</w:t>
            </w:r>
            <w:r w:rsidRPr="00960035">
              <w:rPr>
                <w:rFonts w:eastAsia="Times New Roman"/>
                <w:sz w:val="20"/>
                <w:szCs w:val="20"/>
                <w:lang w:eastAsia="sk-SK"/>
              </w:rPr>
              <w:t xml:space="preserve"> vlády SR 2021).</w:t>
            </w:r>
          </w:p>
        </w:tc>
      </w:tr>
      <w:tr w:rsidR="00B32768" w:rsidRPr="00B043B4" w14:paraId="4C912F8E" w14:textId="77777777" w:rsidTr="00DF7D27">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08DE207E" w14:textId="77777777" w:rsidR="00B32768" w:rsidRPr="00B043B4" w:rsidRDefault="00B32768" w:rsidP="00B32768">
            <w:pPr>
              <w:numPr>
                <w:ilvl w:val="0"/>
                <w:numId w:val="6"/>
              </w:numPr>
              <w:ind w:left="426"/>
              <w:contextualSpacing/>
              <w:rPr>
                <w:rFonts w:eastAsia="Calibri"/>
                <w:b/>
              </w:rPr>
            </w:pPr>
            <w:r w:rsidRPr="00B32768">
              <w:rPr>
                <w:rFonts w:eastAsia="Calibri"/>
                <w:b/>
                <w:sz w:val="22"/>
              </w:rPr>
              <w:t>Vykonávacie predpisy</w:t>
            </w:r>
          </w:p>
        </w:tc>
      </w:tr>
      <w:tr w:rsidR="00B32768" w:rsidRPr="00B043B4" w14:paraId="5F9077C6" w14:textId="77777777" w:rsidTr="00DF7D27">
        <w:tc>
          <w:tcPr>
            <w:tcW w:w="6203" w:type="dxa"/>
            <w:gridSpan w:val="7"/>
            <w:tcBorders>
              <w:top w:val="single" w:sz="4" w:space="0" w:color="FFFFFF" w:themeColor="background1"/>
              <w:left w:val="single" w:sz="4" w:space="0" w:color="auto"/>
              <w:bottom w:val="nil"/>
              <w:right w:val="nil"/>
            </w:tcBorders>
            <w:shd w:val="clear" w:color="auto" w:fill="FFFFFF" w:themeFill="background1"/>
          </w:tcPr>
          <w:p w14:paraId="78DA33BF" w14:textId="77777777" w:rsidR="00B32768" w:rsidRPr="00B043B4" w:rsidRDefault="00B32768" w:rsidP="00DF7D27">
            <w:pPr>
              <w:rPr>
                <w:rFonts w:eastAsia="Times New Roman"/>
                <w:i/>
                <w:sz w:val="20"/>
                <w:szCs w:val="20"/>
                <w:lang w:eastAsia="sk-SK"/>
              </w:rPr>
            </w:pPr>
            <w:r w:rsidRPr="00B043B4">
              <w:rPr>
                <w:rFonts w:eastAsia="Times New Roman"/>
                <w:i/>
                <w:sz w:val="20"/>
                <w:szCs w:val="20"/>
                <w:lang w:eastAsia="sk-SK"/>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14:paraId="66002C6E" w14:textId="77777777" w:rsidR="00B32768" w:rsidRPr="00B043B4" w:rsidRDefault="00B32768" w:rsidP="00DF7D27">
            <w:pPr>
              <w:jc w:val="center"/>
              <w:rPr>
                <w:rFonts w:eastAsia="Times New Roman"/>
                <w:b/>
                <w:sz w:val="20"/>
                <w:szCs w:val="20"/>
                <w:lang w:eastAsia="sk-SK"/>
              </w:rPr>
            </w:pPr>
            <w:sdt>
              <w:sdtPr>
                <w:rPr>
                  <w:rFonts w:eastAsia="Times New Roman"/>
                  <w:b/>
                  <w:sz w:val="20"/>
                  <w:szCs w:val="20"/>
                  <w:lang w:eastAsia="sk-SK"/>
                </w:rPr>
                <w:id w:val="1929613764"/>
                <w14:checkbox>
                  <w14:checked w14:val="1"/>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sidRPr="00B043B4">
              <w:rPr>
                <w:rFonts w:eastAsia="Times New Roman"/>
                <w:b/>
                <w:sz w:val="20"/>
                <w:szCs w:val="20"/>
                <w:lang w:eastAsia="sk-SK"/>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14:paraId="2FB57684" w14:textId="77777777" w:rsidR="00B32768" w:rsidRPr="00B043B4" w:rsidRDefault="00B32768" w:rsidP="00DF7D27">
            <w:pPr>
              <w:jc w:val="center"/>
              <w:rPr>
                <w:rFonts w:eastAsia="Times New Roman"/>
                <w:b/>
                <w:sz w:val="20"/>
                <w:szCs w:val="20"/>
                <w:lang w:eastAsia="sk-SK"/>
              </w:rPr>
            </w:pPr>
            <w:sdt>
              <w:sdtPr>
                <w:rPr>
                  <w:rFonts w:eastAsia="Times New Roman"/>
                  <w:b/>
                  <w:sz w:val="20"/>
                  <w:szCs w:val="20"/>
                  <w:lang w:eastAsia="sk-SK"/>
                </w:rPr>
                <w:id w:val="-1594626508"/>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sidRPr="00B043B4">
              <w:rPr>
                <w:rFonts w:eastAsia="Times New Roman"/>
                <w:b/>
                <w:sz w:val="20"/>
                <w:szCs w:val="20"/>
                <w:lang w:eastAsia="sk-SK"/>
              </w:rPr>
              <w:t xml:space="preserve">  Nie</w:t>
            </w:r>
          </w:p>
        </w:tc>
      </w:tr>
      <w:tr w:rsidR="00B32768" w:rsidRPr="00B043B4" w14:paraId="44A87FF6" w14:textId="77777777" w:rsidTr="00DF7D27">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444FCE42" w14:textId="77777777" w:rsidR="00B32768" w:rsidRPr="00B043B4" w:rsidRDefault="00B32768" w:rsidP="00B32768">
            <w:pPr>
              <w:numPr>
                <w:ilvl w:val="0"/>
                <w:numId w:val="6"/>
              </w:numPr>
              <w:ind w:left="426"/>
              <w:contextualSpacing/>
              <w:rPr>
                <w:rFonts w:eastAsia="Calibri"/>
                <w:b/>
              </w:rPr>
            </w:pPr>
            <w:r w:rsidRPr="00B32768">
              <w:rPr>
                <w:rFonts w:eastAsia="Calibri"/>
                <w:b/>
                <w:sz w:val="22"/>
              </w:rPr>
              <w:t xml:space="preserve">Transpozícia práva EÚ </w:t>
            </w:r>
          </w:p>
        </w:tc>
      </w:tr>
      <w:tr w:rsidR="00B32768" w:rsidRPr="00B043B4" w14:paraId="6A5D4BF2" w14:textId="77777777" w:rsidTr="00DF7D27">
        <w:trPr>
          <w:trHeight w:val="157"/>
        </w:trPr>
        <w:tc>
          <w:tcPr>
            <w:tcW w:w="9180" w:type="dxa"/>
            <w:gridSpan w:val="11"/>
            <w:tcBorders>
              <w:top w:val="nil"/>
              <w:left w:val="single" w:sz="4" w:space="0" w:color="000000" w:themeColor="text1"/>
              <w:bottom w:val="nil"/>
              <w:right w:val="single" w:sz="4" w:space="0" w:color="auto"/>
            </w:tcBorders>
            <w:shd w:val="clear" w:color="auto" w:fill="FFFFFF" w:themeFill="background1"/>
          </w:tcPr>
          <w:p w14:paraId="0F41CCDF" w14:textId="77777777" w:rsidR="00B32768" w:rsidRPr="00085D1C" w:rsidRDefault="00B32768" w:rsidP="00DF7D27">
            <w:pPr>
              <w:spacing w:before="120"/>
              <w:jc w:val="both"/>
              <w:rPr>
                <w:rFonts w:eastAsia="Times New Roman"/>
                <w:sz w:val="20"/>
                <w:szCs w:val="20"/>
                <w:lang w:eastAsia="sk-SK"/>
              </w:rPr>
            </w:pPr>
            <w:r w:rsidRPr="00085D1C">
              <w:rPr>
                <w:rFonts w:eastAsia="Times New Roman"/>
                <w:sz w:val="20"/>
                <w:szCs w:val="20"/>
                <w:lang w:eastAsia="sk-SK"/>
              </w:rPr>
              <w:t>Národná právna úprava nejde nad rámec minimálnych požiadaviek EÚ.</w:t>
            </w:r>
          </w:p>
        </w:tc>
      </w:tr>
      <w:tr w:rsidR="00B32768" w:rsidRPr="00B043B4" w14:paraId="1F8F228C" w14:textId="77777777" w:rsidTr="00DF7D27">
        <w:trPr>
          <w:trHeight w:val="248"/>
        </w:trPr>
        <w:tc>
          <w:tcPr>
            <w:tcW w:w="9180" w:type="dxa"/>
            <w:gridSpan w:val="11"/>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83760F4" w14:textId="77777777" w:rsidR="00B32768" w:rsidRPr="00B043B4" w:rsidRDefault="00B32768" w:rsidP="00DF7D27">
            <w:pPr>
              <w:jc w:val="center"/>
              <w:rPr>
                <w:rFonts w:eastAsia="Times New Roman"/>
                <w:sz w:val="20"/>
                <w:szCs w:val="20"/>
                <w:lang w:eastAsia="sk-SK"/>
              </w:rPr>
            </w:pPr>
          </w:p>
        </w:tc>
      </w:tr>
      <w:tr w:rsidR="00B32768" w:rsidRPr="00B043B4" w14:paraId="477D5EB9" w14:textId="77777777" w:rsidTr="00DF7D27">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512D0749" w14:textId="77777777" w:rsidR="00B32768" w:rsidRPr="00B043B4" w:rsidRDefault="00B32768" w:rsidP="00B32768">
            <w:pPr>
              <w:numPr>
                <w:ilvl w:val="0"/>
                <w:numId w:val="6"/>
              </w:numPr>
              <w:ind w:left="426"/>
              <w:contextualSpacing/>
              <w:rPr>
                <w:rFonts w:eastAsia="Calibri"/>
                <w:b/>
              </w:rPr>
            </w:pPr>
            <w:r w:rsidRPr="00B32768">
              <w:rPr>
                <w:rFonts w:eastAsia="Calibri"/>
                <w:b/>
                <w:sz w:val="22"/>
              </w:rPr>
              <w:t>Preskúmanie účelnosti</w:t>
            </w:r>
          </w:p>
        </w:tc>
      </w:tr>
      <w:tr w:rsidR="00B32768" w:rsidRPr="00B043B4" w14:paraId="53473271" w14:textId="77777777" w:rsidTr="00DF7D27">
        <w:tc>
          <w:tcPr>
            <w:tcW w:w="9180" w:type="dxa"/>
            <w:gridSpan w:val="11"/>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FA7CBEE" w14:textId="77777777" w:rsidR="00B32768" w:rsidRPr="00085D1C" w:rsidRDefault="00B32768" w:rsidP="00DF7D27">
            <w:pPr>
              <w:spacing w:before="120" w:after="120"/>
              <w:jc w:val="both"/>
              <w:rPr>
                <w:rFonts w:eastAsia="Times New Roman"/>
                <w:sz w:val="20"/>
                <w:szCs w:val="20"/>
                <w:lang w:eastAsia="sk-SK"/>
              </w:rPr>
            </w:pPr>
            <w:r>
              <w:rPr>
                <w:rFonts w:eastAsia="Times New Roman"/>
                <w:sz w:val="20"/>
                <w:szCs w:val="20"/>
                <w:lang w:eastAsia="sk-SK"/>
              </w:rPr>
              <w:t>K preskúmaniu</w:t>
            </w:r>
            <w:r w:rsidRPr="003960AF">
              <w:rPr>
                <w:rFonts w:eastAsia="Times New Roman"/>
                <w:sz w:val="20"/>
                <w:szCs w:val="20"/>
                <w:lang w:eastAsia="sk-SK"/>
              </w:rPr>
              <w:t xml:space="preserve"> účelnosti predkladaného materiálu </w:t>
            </w:r>
            <w:r>
              <w:rPr>
                <w:rFonts w:eastAsia="Times New Roman"/>
                <w:sz w:val="20"/>
                <w:szCs w:val="20"/>
                <w:lang w:eastAsia="sk-SK"/>
              </w:rPr>
              <w:t>by malo dôjsť</w:t>
            </w:r>
            <w:r w:rsidRPr="003960AF">
              <w:rPr>
                <w:rFonts w:eastAsia="Times New Roman"/>
                <w:sz w:val="20"/>
                <w:szCs w:val="20"/>
                <w:lang w:eastAsia="sk-SK"/>
              </w:rPr>
              <w:t xml:space="preserve"> </w:t>
            </w:r>
            <w:r>
              <w:rPr>
                <w:rFonts w:eastAsia="Times New Roman"/>
                <w:sz w:val="20"/>
                <w:szCs w:val="20"/>
                <w:lang w:eastAsia="sk-SK"/>
              </w:rPr>
              <w:t xml:space="preserve">pri nasledujúcej novelizácii zákona o e-Governmente, najneskôr však </w:t>
            </w:r>
            <w:r w:rsidRPr="003960AF">
              <w:rPr>
                <w:rFonts w:eastAsia="Times New Roman"/>
                <w:sz w:val="20"/>
                <w:szCs w:val="20"/>
                <w:lang w:eastAsia="sk-SK"/>
              </w:rPr>
              <w:t xml:space="preserve">3 roky od účinnosti </w:t>
            </w:r>
            <w:r>
              <w:rPr>
                <w:rFonts w:eastAsia="Times New Roman"/>
                <w:sz w:val="20"/>
                <w:szCs w:val="20"/>
                <w:lang w:eastAsia="sk-SK"/>
              </w:rPr>
              <w:t>predkladaného návrhu. Vzhľadom na navrhovanú účinnosť 1. októbra 2022 by k preskúmaniu účelnosti malo dôjsť najneskôr v roku 2025</w:t>
            </w:r>
            <w:r w:rsidRPr="003960AF">
              <w:rPr>
                <w:rFonts w:eastAsia="Times New Roman"/>
                <w:sz w:val="20"/>
                <w:szCs w:val="20"/>
                <w:lang w:eastAsia="sk-SK"/>
              </w:rPr>
              <w:t xml:space="preserve"> na základe získaných poznatkov z aplikačnej praxe. </w:t>
            </w:r>
            <w:r>
              <w:rPr>
                <w:rFonts w:eastAsia="Times New Roman"/>
                <w:sz w:val="20"/>
                <w:szCs w:val="20"/>
                <w:lang w:eastAsia="sk-SK"/>
              </w:rPr>
              <w:t>Kritériom preskúmania účelnosti budú výsledky kontrol dodržiavania povinností ustanovených zákonom o e-Governmente a doručené podnety k aplikácii zákona v praxi.</w:t>
            </w:r>
          </w:p>
        </w:tc>
      </w:tr>
      <w:tr w:rsidR="00B32768" w:rsidRPr="00B043B4" w14:paraId="518A367B" w14:textId="77777777" w:rsidTr="00DF7D27">
        <w:tc>
          <w:tcPr>
            <w:tcW w:w="9180" w:type="dxa"/>
            <w:gridSpan w:val="11"/>
            <w:tcBorders>
              <w:top w:val="nil"/>
              <w:left w:val="nil"/>
              <w:bottom w:val="single" w:sz="4" w:space="0" w:color="auto"/>
              <w:right w:val="nil"/>
            </w:tcBorders>
            <w:shd w:val="clear" w:color="auto" w:fill="FFFFFF" w:themeFill="background1"/>
          </w:tcPr>
          <w:p w14:paraId="6D66EFBE" w14:textId="77777777" w:rsidR="00B32768" w:rsidRDefault="00B32768" w:rsidP="00DF7D27">
            <w:pPr>
              <w:rPr>
                <w:rFonts w:eastAsia="Times New Roman"/>
                <w:sz w:val="20"/>
                <w:szCs w:val="20"/>
                <w:lang w:eastAsia="sk-SK"/>
              </w:rPr>
            </w:pPr>
            <w:r w:rsidRPr="00B043B4">
              <w:rPr>
                <w:rFonts w:eastAsia="Times New Roman"/>
                <w:sz w:val="20"/>
                <w:szCs w:val="20"/>
                <w:lang w:eastAsia="sk-SK"/>
              </w:rPr>
              <w:t xml:space="preserve">* vyplniť iba v prípade, ak materiál nie je zahrnutý do Plánu práce vlády Slovenskej republiky alebo Plánu        legislatívnych úloh vlády Slovenskej republiky. </w:t>
            </w:r>
          </w:p>
          <w:p w14:paraId="21082BEF" w14:textId="77777777" w:rsidR="00B32768" w:rsidRPr="00FA3274" w:rsidRDefault="00B32768" w:rsidP="00DF7D27">
            <w:pPr>
              <w:spacing w:after="120"/>
              <w:rPr>
                <w:rFonts w:eastAsia="Times New Roman"/>
                <w:sz w:val="20"/>
                <w:szCs w:val="20"/>
                <w:lang w:eastAsia="sk-SK"/>
              </w:rPr>
            </w:pPr>
            <w:r w:rsidRPr="00B043B4">
              <w:rPr>
                <w:rFonts w:eastAsia="Times New Roman"/>
                <w:sz w:val="20"/>
                <w:szCs w:val="20"/>
                <w:lang w:eastAsia="sk-SK"/>
              </w:rPr>
              <w:t>** vyplniť iba v prípade, ak sa záverečné posúdenie</w:t>
            </w:r>
            <w:r>
              <w:rPr>
                <w:rFonts w:eastAsia="Times New Roman"/>
                <w:sz w:val="20"/>
                <w:szCs w:val="20"/>
                <w:lang w:eastAsia="sk-SK"/>
              </w:rPr>
              <w:t xml:space="preserve"> vybraných vplyvov</w:t>
            </w:r>
            <w:r w:rsidRPr="00B043B4">
              <w:rPr>
                <w:rFonts w:eastAsia="Times New Roman"/>
                <w:sz w:val="20"/>
                <w:szCs w:val="20"/>
                <w:lang w:eastAsia="sk-SK"/>
              </w:rPr>
              <w:t xml:space="preserve"> uskutočnilo v zmysle bodu 9.1. </w:t>
            </w:r>
            <w:r>
              <w:rPr>
                <w:rFonts w:eastAsia="Times New Roman"/>
                <w:sz w:val="20"/>
                <w:szCs w:val="20"/>
                <w:lang w:eastAsia="sk-SK"/>
              </w:rPr>
              <w:t>j</w:t>
            </w:r>
            <w:r w:rsidRPr="00B043B4">
              <w:rPr>
                <w:rFonts w:eastAsia="Times New Roman"/>
                <w:sz w:val="20"/>
                <w:szCs w:val="20"/>
                <w:lang w:eastAsia="sk-SK"/>
              </w:rPr>
              <w:t>ednotnej metodiky</w:t>
            </w:r>
            <w:r>
              <w:rPr>
                <w:rFonts w:eastAsia="Times New Roman"/>
                <w:sz w:val="20"/>
                <w:szCs w:val="20"/>
                <w:lang w:eastAsia="sk-SK"/>
              </w:rPr>
              <w:t>.</w:t>
            </w:r>
          </w:p>
        </w:tc>
      </w:tr>
      <w:tr w:rsidR="00B32768" w:rsidRPr="00B043B4" w14:paraId="75370156" w14:textId="77777777" w:rsidTr="00DF7D27">
        <w:trPr>
          <w:trHeight w:val="283"/>
        </w:trPr>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14:paraId="3E58F18A" w14:textId="77777777" w:rsidR="00B32768" w:rsidRPr="00B32768" w:rsidRDefault="00B32768" w:rsidP="00B32768">
            <w:pPr>
              <w:numPr>
                <w:ilvl w:val="0"/>
                <w:numId w:val="6"/>
              </w:numPr>
              <w:ind w:left="426"/>
              <w:contextualSpacing/>
              <w:rPr>
                <w:rFonts w:eastAsia="Calibri"/>
                <w:b/>
                <w:sz w:val="22"/>
              </w:rPr>
            </w:pPr>
            <w:r w:rsidRPr="00B32768">
              <w:rPr>
                <w:rFonts w:eastAsia="Calibri"/>
                <w:b/>
                <w:sz w:val="22"/>
              </w:rPr>
              <w:t>Vybrané vplyvy  materiálu</w:t>
            </w:r>
          </w:p>
        </w:tc>
      </w:tr>
      <w:tr w:rsidR="00B32768" w:rsidRPr="00B043B4" w14:paraId="21DEDDFE" w14:textId="77777777" w:rsidTr="00DF7D27">
        <w:tc>
          <w:tcPr>
            <w:tcW w:w="3812" w:type="dxa"/>
            <w:tcBorders>
              <w:top w:val="single" w:sz="4" w:space="0" w:color="auto"/>
              <w:left w:val="single" w:sz="4" w:space="0" w:color="auto"/>
              <w:bottom w:val="nil"/>
              <w:right w:val="single" w:sz="4" w:space="0" w:color="auto"/>
            </w:tcBorders>
            <w:shd w:val="clear" w:color="auto" w:fill="E2E2E2"/>
          </w:tcPr>
          <w:p w14:paraId="5A3B4803"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Vplyvy na rozpočet verejnej správy</w:t>
            </w:r>
          </w:p>
        </w:tc>
        <w:sdt>
          <w:sdtPr>
            <w:rPr>
              <w:rFonts w:eastAsia="Times New Roman"/>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2F467A06"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DC41757"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26C0324F"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3656C20A"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395EBC18" w14:textId="77777777" w:rsidR="00B32768" w:rsidRPr="00B043B4" w:rsidRDefault="00B32768" w:rsidP="00DF7D27">
                <w:pPr>
                  <w:ind w:left="-107" w:right="-108"/>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0262C2FC" w14:textId="77777777" w:rsidR="00B32768" w:rsidRPr="00B043B4" w:rsidRDefault="00B32768" w:rsidP="00DF7D27">
            <w:pPr>
              <w:ind w:left="34"/>
              <w:rPr>
                <w:rFonts w:eastAsia="Times New Roman"/>
                <w:b/>
                <w:sz w:val="20"/>
                <w:szCs w:val="20"/>
                <w:lang w:eastAsia="sk-SK"/>
              </w:rPr>
            </w:pPr>
            <w:r w:rsidRPr="00B043B4">
              <w:rPr>
                <w:rFonts w:eastAsia="Times New Roman"/>
                <w:b/>
                <w:sz w:val="20"/>
                <w:szCs w:val="20"/>
                <w:lang w:eastAsia="sk-SK"/>
              </w:rPr>
              <w:t>Negatívne</w:t>
            </w:r>
          </w:p>
        </w:tc>
      </w:tr>
      <w:tr w:rsidR="00B32768" w:rsidRPr="00B043B4" w14:paraId="1C47E069" w14:textId="77777777" w:rsidTr="00DF7D27">
        <w:tc>
          <w:tcPr>
            <w:tcW w:w="3812" w:type="dxa"/>
            <w:tcBorders>
              <w:top w:val="nil"/>
              <w:left w:val="single" w:sz="4" w:space="0" w:color="auto"/>
              <w:bottom w:val="single" w:sz="4" w:space="0" w:color="000000" w:themeColor="text1"/>
              <w:right w:val="single" w:sz="4" w:space="0" w:color="auto"/>
            </w:tcBorders>
            <w:shd w:val="clear" w:color="auto" w:fill="E2E2E2"/>
          </w:tcPr>
          <w:p w14:paraId="7DF725B3" w14:textId="77777777" w:rsidR="00B32768" w:rsidRDefault="00B32768" w:rsidP="00DF7D27">
            <w:pPr>
              <w:rPr>
                <w:rFonts w:eastAsia="Times New Roman"/>
                <w:sz w:val="20"/>
                <w:szCs w:val="20"/>
                <w:lang w:eastAsia="sk-SK"/>
              </w:rPr>
            </w:pPr>
            <w:r>
              <w:rPr>
                <w:rFonts w:eastAsia="Times New Roman"/>
                <w:sz w:val="20"/>
                <w:szCs w:val="20"/>
                <w:lang w:eastAsia="sk-SK"/>
              </w:rPr>
              <w:t xml:space="preserve">    </w:t>
            </w:r>
            <w:r w:rsidRPr="00A340BB">
              <w:rPr>
                <w:rFonts w:eastAsia="Times New Roman"/>
                <w:sz w:val="20"/>
                <w:szCs w:val="20"/>
                <w:lang w:eastAsia="sk-SK"/>
              </w:rPr>
              <w:t xml:space="preserve">z toho rozpočtovo zabezpečené vplyvy,     </w:t>
            </w:r>
            <w:r>
              <w:rPr>
                <w:rFonts w:eastAsia="Times New Roman"/>
                <w:sz w:val="20"/>
                <w:szCs w:val="20"/>
                <w:lang w:eastAsia="sk-SK"/>
              </w:rPr>
              <w:t xml:space="preserve">    </w:t>
            </w:r>
          </w:p>
          <w:p w14:paraId="0D6E3F5D" w14:textId="77777777" w:rsidR="00B32768" w:rsidRDefault="00B32768" w:rsidP="00DF7D27">
            <w:pPr>
              <w:rPr>
                <w:rFonts w:eastAsia="Times New Roman"/>
                <w:sz w:val="20"/>
                <w:szCs w:val="20"/>
                <w:lang w:eastAsia="sk-SK"/>
              </w:rPr>
            </w:pPr>
            <w:r>
              <w:rPr>
                <w:rFonts w:eastAsia="Times New Roman"/>
                <w:sz w:val="20"/>
                <w:szCs w:val="20"/>
                <w:lang w:eastAsia="sk-SK"/>
              </w:rPr>
              <w:t xml:space="preserve">    </w:t>
            </w:r>
            <w:r w:rsidRPr="00A340BB">
              <w:rPr>
                <w:rFonts w:eastAsia="Times New Roman"/>
                <w:sz w:val="20"/>
                <w:szCs w:val="20"/>
                <w:lang w:eastAsia="sk-SK"/>
              </w:rPr>
              <w:t xml:space="preserve">v prípade identifikovaného negatívneho </w:t>
            </w:r>
          </w:p>
          <w:p w14:paraId="598185A9" w14:textId="77777777" w:rsidR="00B32768" w:rsidRPr="00A340BB" w:rsidRDefault="00B32768" w:rsidP="00DF7D27">
            <w:pPr>
              <w:rPr>
                <w:rFonts w:eastAsia="Times New Roman"/>
                <w:sz w:val="20"/>
                <w:szCs w:val="20"/>
                <w:lang w:eastAsia="sk-SK"/>
              </w:rPr>
            </w:pPr>
            <w:r>
              <w:rPr>
                <w:rFonts w:eastAsia="Times New Roman"/>
                <w:sz w:val="20"/>
                <w:szCs w:val="20"/>
                <w:lang w:eastAsia="sk-SK"/>
              </w:rPr>
              <w:t xml:space="preserve">    </w:t>
            </w:r>
            <w:r w:rsidRPr="00A340BB">
              <w:rPr>
                <w:rFonts w:eastAsia="Times New Roman"/>
                <w:sz w:val="20"/>
                <w:szCs w:val="20"/>
                <w:lang w:eastAsia="sk-SK"/>
              </w:rPr>
              <w:t>vplyvu</w:t>
            </w:r>
          </w:p>
        </w:tc>
        <w:sdt>
          <w:sdtPr>
            <w:rPr>
              <w:rFonts w:eastAsia="Times New Roman"/>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58F18B0C" w14:textId="77777777" w:rsidR="00B32768" w:rsidRPr="00B043B4" w:rsidRDefault="00B32768" w:rsidP="00DF7D2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5701F5B" w14:textId="77777777" w:rsidR="00B32768" w:rsidRPr="00B043B4" w:rsidRDefault="00B32768" w:rsidP="00DF7D27">
            <w:pPr>
              <w:rPr>
                <w:rFonts w:eastAsia="Times New Roman"/>
                <w:sz w:val="20"/>
                <w:szCs w:val="20"/>
                <w:lang w:eastAsia="sk-SK"/>
              </w:rPr>
            </w:pPr>
            <w:r w:rsidRPr="00B043B4">
              <w:rPr>
                <w:rFonts w:eastAsia="Times New Roman"/>
                <w:sz w:val="20"/>
                <w:szCs w:val="20"/>
                <w:lang w:eastAsia="sk-SK"/>
              </w:rPr>
              <w:t>Áno</w:t>
            </w:r>
          </w:p>
        </w:tc>
        <w:sdt>
          <w:sdtPr>
            <w:rPr>
              <w:rFonts w:eastAsia="Times New Roman"/>
              <w:sz w:val="20"/>
              <w:szCs w:val="20"/>
              <w:lang w:eastAsia="sk-SK"/>
            </w:rPr>
            <w:id w:val="405798427"/>
            <w14:checkbox>
              <w14:checked w14:val="1"/>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796FB149" w14:textId="77777777" w:rsidR="00B32768" w:rsidRPr="00B043B4" w:rsidRDefault="00B32768" w:rsidP="00DF7D2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4CF12572" w14:textId="77777777" w:rsidR="00B32768" w:rsidRPr="00B043B4" w:rsidRDefault="00B32768" w:rsidP="00DF7D27">
            <w:pPr>
              <w:rPr>
                <w:rFonts w:eastAsia="Times New Roman"/>
                <w:sz w:val="20"/>
                <w:szCs w:val="20"/>
                <w:lang w:eastAsia="sk-SK"/>
              </w:rPr>
            </w:pPr>
            <w:r w:rsidRPr="00B043B4">
              <w:rPr>
                <w:rFonts w:eastAsia="Times New Roman"/>
                <w:sz w:val="20"/>
                <w:szCs w:val="20"/>
                <w:lang w:eastAsia="sk-SK"/>
              </w:rPr>
              <w:t>Nie</w:t>
            </w:r>
          </w:p>
        </w:tc>
        <w:sdt>
          <w:sdtPr>
            <w:rPr>
              <w:rFonts w:eastAsia="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5A365DDB" w14:textId="77777777" w:rsidR="00B32768" w:rsidRPr="00B043B4" w:rsidRDefault="00B32768" w:rsidP="00DF7D27">
                <w:pPr>
                  <w:ind w:left="-107" w:right="-108"/>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2BB736C" w14:textId="77777777" w:rsidR="00B32768" w:rsidRPr="00B043B4" w:rsidRDefault="00B32768" w:rsidP="00DF7D27">
            <w:pPr>
              <w:ind w:left="34"/>
              <w:rPr>
                <w:rFonts w:eastAsia="Times New Roman"/>
                <w:sz w:val="20"/>
                <w:szCs w:val="20"/>
                <w:lang w:eastAsia="sk-SK"/>
              </w:rPr>
            </w:pPr>
            <w:r w:rsidRPr="00B043B4">
              <w:rPr>
                <w:rFonts w:eastAsia="Times New Roman"/>
                <w:sz w:val="20"/>
                <w:szCs w:val="20"/>
                <w:lang w:eastAsia="sk-SK"/>
              </w:rPr>
              <w:t>Čiastočne</w:t>
            </w:r>
          </w:p>
        </w:tc>
      </w:tr>
      <w:tr w:rsidR="00B32768" w:rsidRPr="00B043B4" w14:paraId="7C8B0538" w14:textId="77777777" w:rsidTr="00DF7D27">
        <w:tc>
          <w:tcPr>
            <w:tcW w:w="3812" w:type="dxa"/>
            <w:tcBorders>
              <w:top w:val="single" w:sz="4" w:space="0" w:color="000000" w:themeColor="text1"/>
              <w:left w:val="single" w:sz="4" w:space="0" w:color="auto"/>
              <w:bottom w:val="nil"/>
              <w:right w:val="single" w:sz="4" w:space="0" w:color="auto"/>
            </w:tcBorders>
            <w:shd w:val="clear" w:color="auto" w:fill="E2E2E2"/>
          </w:tcPr>
          <w:p w14:paraId="0C78DE76"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Vplyvy na podnikateľské prostredie</w:t>
            </w:r>
          </w:p>
        </w:tc>
        <w:sdt>
          <w:sdtPr>
            <w:rPr>
              <w:rFonts w:eastAsia="Times New Roman"/>
              <w:b/>
              <w:sz w:val="20"/>
              <w:szCs w:val="20"/>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13FAFED4"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F0EDA11" w14:textId="77777777" w:rsidR="00B32768" w:rsidRPr="00B043B4" w:rsidRDefault="00B32768" w:rsidP="00DF7D27">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17D089DB"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6455B92"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1DD6AEAE"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FF81D5B" w14:textId="77777777" w:rsidR="00B32768" w:rsidRPr="00B043B4" w:rsidRDefault="00B32768" w:rsidP="00DF7D27">
            <w:pPr>
              <w:ind w:left="54"/>
              <w:rPr>
                <w:rFonts w:eastAsia="Times New Roman"/>
                <w:b/>
                <w:sz w:val="20"/>
                <w:szCs w:val="20"/>
                <w:lang w:eastAsia="sk-SK"/>
              </w:rPr>
            </w:pPr>
            <w:r w:rsidRPr="00B043B4">
              <w:rPr>
                <w:rFonts w:eastAsia="Times New Roman"/>
                <w:b/>
                <w:sz w:val="20"/>
                <w:szCs w:val="20"/>
                <w:lang w:eastAsia="sk-SK"/>
              </w:rPr>
              <w:t>Negatívne</w:t>
            </w:r>
          </w:p>
        </w:tc>
      </w:tr>
      <w:tr w:rsidR="00B32768" w:rsidRPr="00B043B4" w14:paraId="704D02C7" w14:textId="77777777" w:rsidTr="00DF7D27">
        <w:tc>
          <w:tcPr>
            <w:tcW w:w="3812" w:type="dxa"/>
            <w:tcBorders>
              <w:top w:val="nil"/>
              <w:left w:val="single" w:sz="4" w:space="0" w:color="000000" w:themeColor="text1"/>
              <w:bottom w:val="nil"/>
              <w:right w:val="single" w:sz="4" w:space="0" w:color="000000" w:themeColor="text1"/>
            </w:tcBorders>
            <w:shd w:val="clear" w:color="auto" w:fill="E2E2E2"/>
          </w:tcPr>
          <w:p w14:paraId="7C543B63" w14:textId="77777777" w:rsidR="00B32768" w:rsidRPr="00B043B4" w:rsidRDefault="00B32768" w:rsidP="00DF7D27">
            <w:pPr>
              <w:rPr>
                <w:rFonts w:eastAsia="Times New Roman"/>
                <w:sz w:val="20"/>
                <w:szCs w:val="20"/>
                <w:lang w:eastAsia="sk-SK"/>
              </w:rPr>
            </w:pPr>
            <w:r w:rsidRPr="00B043B4">
              <w:rPr>
                <w:rFonts w:eastAsia="Times New Roman"/>
                <w:sz w:val="20"/>
                <w:szCs w:val="20"/>
                <w:lang w:eastAsia="sk-SK"/>
              </w:rPr>
              <w:t xml:space="preserve"> </w:t>
            </w:r>
            <w:r>
              <w:rPr>
                <w:rFonts w:eastAsia="Times New Roman"/>
                <w:sz w:val="20"/>
                <w:szCs w:val="20"/>
                <w:lang w:eastAsia="sk-SK"/>
              </w:rPr>
              <w:t xml:space="preserve">   </w:t>
            </w:r>
            <w:r w:rsidRPr="00B043B4">
              <w:rPr>
                <w:rFonts w:eastAsia="Times New Roman"/>
                <w:sz w:val="20"/>
                <w:szCs w:val="20"/>
                <w:lang w:eastAsia="sk-SK"/>
              </w:rPr>
              <w:t>z toho vplyvy na MSP</w:t>
            </w:r>
          </w:p>
          <w:p w14:paraId="46774385" w14:textId="77777777" w:rsidR="00B32768" w:rsidRPr="00B043B4" w:rsidRDefault="00B32768" w:rsidP="00DF7D27">
            <w:pPr>
              <w:rPr>
                <w:rFonts w:eastAsia="Times New Roman"/>
                <w:sz w:val="20"/>
                <w:szCs w:val="20"/>
                <w:lang w:eastAsia="sk-SK"/>
              </w:rPr>
            </w:pPr>
          </w:p>
        </w:tc>
        <w:sdt>
          <w:sdtPr>
            <w:rPr>
              <w:rFonts w:eastAsia="Times New Roman"/>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68661736" w14:textId="77777777" w:rsidR="00B32768" w:rsidRPr="00B043B4" w:rsidRDefault="00B32768" w:rsidP="00DF7D2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F9560EA" w14:textId="77777777" w:rsidR="00B32768" w:rsidRPr="00B043B4" w:rsidRDefault="00B32768" w:rsidP="00DF7D27">
            <w:pPr>
              <w:ind w:right="-108"/>
              <w:rPr>
                <w:rFonts w:eastAsia="Times New Roman"/>
                <w:sz w:val="20"/>
                <w:szCs w:val="20"/>
                <w:lang w:eastAsia="sk-SK"/>
              </w:rPr>
            </w:pPr>
            <w:r w:rsidRPr="00B043B4">
              <w:rPr>
                <w:rFonts w:eastAsia="Times New Roman"/>
                <w:sz w:val="20"/>
                <w:szCs w:val="20"/>
                <w:lang w:eastAsia="sk-SK"/>
              </w:rPr>
              <w:t>Pozitívne</w:t>
            </w:r>
          </w:p>
        </w:tc>
        <w:sdt>
          <w:sdtPr>
            <w:rPr>
              <w:rFonts w:eastAsia="Times New Roman"/>
              <w:sz w:val="20"/>
              <w:szCs w:val="20"/>
              <w:lang w:eastAsia="sk-SK"/>
            </w:rPr>
            <w:id w:val="994611021"/>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10B3B2DF" w14:textId="77777777" w:rsidR="00B32768" w:rsidRPr="00B043B4" w:rsidRDefault="00B32768" w:rsidP="00DF7D2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8E1E1E3" w14:textId="77777777" w:rsidR="00B32768" w:rsidRPr="00B043B4" w:rsidRDefault="00B32768" w:rsidP="00DF7D27">
            <w:pPr>
              <w:rPr>
                <w:rFonts w:eastAsia="Times New Roman"/>
                <w:sz w:val="20"/>
                <w:szCs w:val="20"/>
                <w:lang w:eastAsia="sk-SK"/>
              </w:rPr>
            </w:pPr>
            <w:r w:rsidRPr="00B043B4">
              <w:rPr>
                <w:rFonts w:eastAsia="Times New Roman"/>
                <w:sz w:val="20"/>
                <w:szCs w:val="20"/>
                <w:lang w:eastAsia="sk-SK"/>
              </w:rPr>
              <w:t>Žiadne</w:t>
            </w:r>
          </w:p>
        </w:tc>
        <w:sdt>
          <w:sdtPr>
            <w:rPr>
              <w:rFonts w:eastAsia="Times New Roman"/>
              <w:sz w:val="20"/>
              <w:szCs w:val="20"/>
              <w:lang w:eastAsia="sk-SK"/>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6CA3A93D" w14:textId="77777777" w:rsidR="00B32768" w:rsidRPr="00B043B4" w:rsidRDefault="00B32768" w:rsidP="00DF7D2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DA078F4" w14:textId="77777777" w:rsidR="00B32768" w:rsidRPr="00B043B4" w:rsidRDefault="00B32768" w:rsidP="00DF7D27">
            <w:pPr>
              <w:ind w:left="54"/>
              <w:rPr>
                <w:rFonts w:eastAsia="Times New Roman"/>
                <w:sz w:val="20"/>
                <w:szCs w:val="20"/>
                <w:lang w:eastAsia="sk-SK"/>
              </w:rPr>
            </w:pPr>
            <w:r w:rsidRPr="00B043B4">
              <w:rPr>
                <w:rFonts w:eastAsia="Times New Roman"/>
                <w:sz w:val="20"/>
                <w:szCs w:val="20"/>
                <w:lang w:eastAsia="sk-SK"/>
              </w:rPr>
              <w:t>Negatívne</w:t>
            </w:r>
          </w:p>
        </w:tc>
      </w:tr>
      <w:tr w:rsidR="00B32768" w:rsidRPr="00B043B4" w14:paraId="2B92683F" w14:textId="77777777" w:rsidTr="00DF7D27">
        <w:tc>
          <w:tcPr>
            <w:tcW w:w="3812" w:type="dxa"/>
            <w:tcBorders>
              <w:top w:val="nil"/>
              <w:left w:val="single" w:sz="4" w:space="0" w:color="auto"/>
              <w:bottom w:val="single" w:sz="4" w:space="0" w:color="auto"/>
              <w:right w:val="single" w:sz="4" w:space="0" w:color="auto"/>
            </w:tcBorders>
            <w:shd w:val="clear" w:color="auto" w:fill="E2E2E2"/>
          </w:tcPr>
          <w:p w14:paraId="557079D6" w14:textId="77777777" w:rsidR="00B32768" w:rsidRDefault="00B32768" w:rsidP="00DF7D27">
            <w:pPr>
              <w:rPr>
                <w:rFonts w:eastAsia="Times New Roman"/>
                <w:sz w:val="20"/>
                <w:szCs w:val="20"/>
                <w:lang w:eastAsia="sk-SK"/>
              </w:rPr>
            </w:pPr>
            <w:r>
              <w:rPr>
                <w:rFonts w:eastAsia="Times New Roman"/>
                <w:sz w:val="20"/>
                <w:szCs w:val="20"/>
                <w:lang w:eastAsia="sk-SK"/>
              </w:rPr>
              <w:t xml:space="preserve">    </w:t>
            </w:r>
            <w:r w:rsidRPr="00B043B4">
              <w:rPr>
                <w:rFonts w:eastAsia="Times New Roman"/>
                <w:sz w:val="20"/>
                <w:szCs w:val="20"/>
                <w:lang w:eastAsia="sk-SK"/>
              </w:rPr>
              <w:t xml:space="preserve">Mechanizmus znižovania byrokracie </w:t>
            </w:r>
            <w:r>
              <w:rPr>
                <w:rFonts w:eastAsia="Times New Roman"/>
                <w:sz w:val="20"/>
                <w:szCs w:val="20"/>
                <w:lang w:eastAsia="sk-SK"/>
              </w:rPr>
              <w:t xml:space="preserve">   </w:t>
            </w:r>
          </w:p>
          <w:p w14:paraId="56FEF629" w14:textId="77777777" w:rsidR="00B32768" w:rsidRPr="00B043B4" w:rsidRDefault="00B32768" w:rsidP="00DF7D27">
            <w:pPr>
              <w:rPr>
                <w:rFonts w:eastAsia="Times New Roman"/>
                <w:b/>
                <w:sz w:val="20"/>
                <w:szCs w:val="20"/>
                <w:lang w:eastAsia="sk-SK"/>
              </w:rPr>
            </w:pPr>
            <w:r>
              <w:rPr>
                <w:rFonts w:eastAsia="Times New Roman"/>
                <w:sz w:val="20"/>
                <w:szCs w:val="20"/>
                <w:lang w:eastAsia="sk-SK"/>
              </w:rPr>
              <w:t xml:space="preserve">    </w:t>
            </w:r>
            <w:r w:rsidRPr="00B043B4">
              <w:rPr>
                <w:rFonts w:eastAsia="Times New Roman"/>
                <w:sz w:val="20"/>
                <w:szCs w:val="20"/>
                <w:lang w:eastAsia="sk-SK"/>
              </w:rPr>
              <w:t>a nákladov sa uplatňuje:</w:t>
            </w:r>
          </w:p>
        </w:tc>
        <w:sdt>
          <w:sdtPr>
            <w:rPr>
              <w:rFonts w:eastAsia="Times New Roman"/>
              <w:b/>
              <w:sz w:val="20"/>
              <w:szCs w:val="20"/>
              <w:lang w:eastAsia="sk-SK"/>
            </w:rPr>
            <w:id w:val="-817577505"/>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0E36608F"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723035F" w14:textId="77777777" w:rsidR="00B32768" w:rsidRPr="00B043B4" w:rsidRDefault="00B32768" w:rsidP="00DF7D27">
            <w:pPr>
              <w:ind w:right="-108"/>
              <w:rPr>
                <w:rFonts w:eastAsia="Times New Roman"/>
                <w:b/>
                <w:sz w:val="20"/>
                <w:szCs w:val="20"/>
                <w:lang w:eastAsia="sk-SK"/>
              </w:rPr>
            </w:pPr>
            <w:r w:rsidRPr="00B043B4">
              <w:rPr>
                <w:rFonts w:eastAsia="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54540E7" w14:textId="77777777" w:rsidR="00B32768" w:rsidRPr="00B043B4" w:rsidRDefault="00B32768" w:rsidP="00DF7D27">
            <w:pPr>
              <w:jc w:val="center"/>
              <w:rPr>
                <w:rFonts w:eastAsia="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CD7E59C" w14:textId="77777777" w:rsidR="00B32768" w:rsidRPr="00B043B4" w:rsidRDefault="00B32768" w:rsidP="00DF7D27">
            <w:pPr>
              <w:jc w:val="center"/>
              <w:rPr>
                <w:rFonts w:eastAsia="Times New Roman"/>
                <w:b/>
                <w:sz w:val="20"/>
                <w:szCs w:val="20"/>
                <w:lang w:eastAsia="sk-SK"/>
              </w:rPr>
            </w:pPr>
          </w:p>
        </w:tc>
        <w:sdt>
          <w:sdtPr>
            <w:rPr>
              <w:rFonts w:eastAsia="Times New Roman"/>
              <w:b/>
              <w:sz w:val="20"/>
              <w:szCs w:val="20"/>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01909014"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1F4133A" w14:textId="77777777" w:rsidR="00B32768" w:rsidRPr="00B043B4" w:rsidRDefault="00B32768" w:rsidP="00DF7D27">
            <w:pPr>
              <w:ind w:left="54"/>
              <w:rPr>
                <w:rFonts w:eastAsia="Times New Roman"/>
                <w:b/>
                <w:sz w:val="20"/>
                <w:szCs w:val="20"/>
                <w:lang w:eastAsia="sk-SK"/>
              </w:rPr>
            </w:pPr>
            <w:r w:rsidRPr="00B043B4">
              <w:rPr>
                <w:rFonts w:eastAsia="Times New Roman"/>
                <w:sz w:val="20"/>
                <w:szCs w:val="20"/>
                <w:lang w:eastAsia="sk-SK"/>
              </w:rPr>
              <w:t>Nie</w:t>
            </w:r>
          </w:p>
        </w:tc>
      </w:tr>
      <w:tr w:rsidR="00B32768" w:rsidRPr="00B043B4" w14:paraId="6FB23BA2" w14:textId="77777777" w:rsidTr="00DF7D27">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14:paraId="2AB60581"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Sociálne vplyvy</w:t>
            </w:r>
          </w:p>
        </w:tc>
        <w:sdt>
          <w:sdtPr>
            <w:rPr>
              <w:rFonts w:eastAsia="Times New Roman"/>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3FDE212"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DD69136" w14:textId="77777777" w:rsidR="00B32768" w:rsidRPr="00B043B4" w:rsidRDefault="00B32768" w:rsidP="00DF7D27">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B8D9D73"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2DDF1E2"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7955248"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6824C34" w14:textId="77777777" w:rsidR="00B32768" w:rsidRPr="00B043B4" w:rsidRDefault="00B32768" w:rsidP="00DF7D27">
            <w:pPr>
              <w:ind w:left="54"/>
              <w:rPr>
                <w:rFonts w:eastAsia="Times New Roman"/>
                <w:b/>
                <w:sz w:val="20"/>
                <w:szCs w:val="20"/>
                <w:lang w:eastAsia="sk-SK"/>
              </w:rPr>
            </w:pPr>
            <w:r w:rsidRPr="00B043B4">
              <w:rPr>
                <w:rFonts w:eastAsia="Times New Roman"/>
                <w:b/>
                <w:sz w:val="20"/>
                <w:szCs w:val="20"/>
                <w:lang w:eastAsia="sk-SK"/>
              </w:rPr>
              <w:t>Negatívne</w:t>
            </w:r>
          </w:p>
        </w:tc>
      </w:tr>
      <w:tr w:rsidR="00B32768" w:rsidRPr="00B043B4" w14:paraId="374597F5" w14:textId="77777777" w:rsidTr="00DF7D27">
        <w:tc>
          <w:tcPr>
            <w:tcW w:w="3812" w:type="dxa"/>
            <w:tcBorders>
              <w:top w:val="single" w:sz="4" w:space="0" w:color="auto"/>
              <w:left w:val="single" w:sz="4" w:space="0" w:color="auto"/>
              <w:bottom w:val="single" w:sz="4" w:space="0" w:color="auto"/>
              <w:right w:val="single" w:sz="4" w:space="0" w:color="auto"/>
            </w:tcBorders>
            <w:shd w:val="clear" w:color="auto" w:fill="E2E2E2"/>
          </w:tcPr>
          <w:p w14:paraId="23A6A067"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Vplyvy na životné prostredie</w:t>
            </w:r>
          </w:p>
        </w:tc>
        <w:sdt>
          <w:sdtPr>
            <w:rPr>
              <w:rFonts w:eastAsia="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4A644E48"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51C0936" w14:textId="77777777" w:rsidR="00B32768" w:rsidRPr="00B043B4" w:rsidRDefault="00B32768" w:rsidP="00DF7D27">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F9A030F"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27410E4"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69B8EEBD"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6ABC8DC" w14:textId="77777777" w:rsidR="00B32768" w:rsidRPr="00B043B4" w:rsidRDefault="00B32768" w:rsidP="00DF7D27">
            <w:pPr>
              <w:ind w:left="54"/>
              <w:rPr>
                <w:rFonts w:eastAsia="Times New Roman"/>
                <w:b/>
                <w:sz w:val="20"/>
                <w:szCs w:val="20"/>
                <w:lang w:eastAsia="sk-SK"/>
              </w:rPr>
            </w:pPr>
            <w:r w:rsidRPr="00B043B4">
              <w:rPr>
                <w:rFonts w:eastAsia="Times New Roman"/>
                <w:b/>
                <w:sz w:val="20"/>
                <w:szCs w:val="20"/>
                <w:lang w:eastAsia="sk-SK"/>
              </w:rPr>
              <w:t>Negatívne</w:t>
            </w:r>
          </w:p>
        </w:tc>
      </w:tr>
      <w:tr w:rsidR="00B32768" w:rsidRPr="00B043B4" w14:paraId="31A0FA82" w14:textId="77777777" w:rsidTr="00DF7D27">
        <w:tc>
          <w:tcPr>
            <w:tcW w:w="3812" w:type="dxa"/>
            <w:tcBorders>
              <w:top w:val="single" w:sz="4" w:space="0" w:color="auto"/>
              <w:left w:val="single" w:sz="4" w:space="0" w:color="auto"/>
              <w:bottom w:val="single" w:sz="4" w:space="0" w:color="auto"/>
              <w:right w:val="single" w:sz="4" w:space="0" w:color="auto"/>
            </w:tcBorders>
            <w:shd w:val="clear" w:color="auto" w:fill="E2E2E2"/>
          </w:tcPr>
          <w:p w14:paraId="03E36B8C"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Vplyvy na informatizáciu</w:t>
            </w:r>
            <w:r>
              <w:rPr>
                <w:rFonts w:eastAsia="Times New Roman"/>
                <w:b/>
                <w:sz w:val="20"/>
                <w:szCs w:val="20"/>
                <w:lang w:eastAsia="sk-SK"/>
              </w:rPr>
              <w:t xml:space="preserve"> spoločnosti</w:t>
            </w:r>
          </w:p>
        </w:tc>
        <w:sdt>
          <w:sdtPr>
            <w:rPr>
              <w:rFonts w:eastAsia="Times New Roman"/>
              <w:b/>
              <w:sz w:val="20"/>
              <w:szCs w:val="20"/>
              <w:lang w:eastAsia="sk-SK"/>
            </w:rPr>
            <w:id w:val="-15734213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46A18FA8"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F1109E8" w14:textId="77777777" w:rsidR="00B32768" w:rsidRPr="00B043B4" w:rsidRDefault="00B32768" w:rsidP="00DF7D27">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BB5D603"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9DFE490"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169528927"/>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D506058"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F8D0FBA" w14:textId="77777777" w:rsidR="00B32768" w:rsidRPr="00B043B4" w:rsidRDefault="00B32768" w:rsidP="00DF7D27">
            <w:pPr>
              <w:ind w:left="54"/>
              <w:rPr>
                <w:rFonts w:eastAsia="Times New Roman"/>
                <w:b/>
                <w:sz w:val="20"/>
                <w:szCs w:val="20"/>
                <w:lang w:eastAsia="sk-SK"/>
              </w:rPr>
            </w:pPr>
            <w:r w:rsidRPr="00B043B4">
              <w:rPr>
                <w:rFonts w:eastAsia="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32768" w:rsidRPr="00B043B4" w14:paraId="67B3751B" w14:textId="77777777" w:rsidTr="00DF7D27">
        <w:tc>
          <w:tcPr>
            <w:tcW w:w="3812" w:type="dxa"/>
            <w:tcBorders>
              <w:top w:val="single" w:sz="4" w:space="0" w:color="auto"/>
              <w:left w:val="single" w:sz="4" w:space="0" w:color="auto"/>
              <w:bottom w:val="nil"/>
              <w:right w:val="single" w:sz="4" w:space="0" w:color="auto"/>
            </w:tcBorders>
            <w:shd w:val="clear" w:color="auto" w:fill="E2E2E2"/>
          </w:tcPr>
          <w:p w14:paraId="07B71FF3" w14:textId="77777777" w:rsidR="00B32768" w:rsidRPr="00B043B4" w:rsidRDefault="00B32768" w:rsidP="00DF7D27">
            <w:pPr>
              <w:rPr>
                <w:b/>
                <w:sz w:val="20"/>
                <w:szCs w:val="20"/>
                <w:lang w:eastAsia="sk-SK"/>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14:paraId="17517523" w14:textId="77777777" w:rsidR="00B32768" w:rsidRPr="00B043B4" w:rsidRDefault="00B32768" w:rsidP="00DF7D27">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2B077A9C" w14:textId="77777777" w:rsidR="00B32768" w:rsidRPr="00B043B4" w:rsidRDefault="00B32768" w:rsidP="00DF7D27">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58F783AB" w14:textId="77777777" w:rsidR="00B32768" w:rsidRPr="00B043B4" w:rsidRDefault="00B32768" w:rsidP="00DF7D27">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2A831E86" w14:textId="77777777" w:rsidR="00B32768" w:rsidRPr="00B043B4" w:rsidRDefault="00B32768" w:rsidP="00DF7D27">
            <w:pPr>
              <w:rPr>
                <w:b/>
                <w:sz w:val="20"/>
                <w:szCs w:val="20"/>
                <w:lang w:eastAsia="sk-SK"/>
              </w:rPr>
            </w:pPr>
          </w:p>
        </w:tc>
        <w:tc>
          <w:tcPr>
            <w:tcW w:w="547" w:type="dxa"/>
            <w:tcBorders>
              <w:top w:val="single" w:sz="4" w:space="0" w:color="auto"/>
              <w:left w:val="nil"/>
              <w:bottom w:val="nil"/>
              <w:right w:val="nil"/>
            </w:tcBorders>
            <w:shd w:val="clear" w:color="auto" w:fill="auto"/>
          </w:tcPr>
          <w:p w14:paraId="0336C7A3" w14:textId="77777777" w:rsidR="00B32768" w:rsidRPr="00B043B4" w:rsidRDefault="00B32768" w:rsidP="00DF7D27">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7955A3B" w14:textId="77777777" w:rsidR="00B32768" w:rsidRPr="00B043B4" w:rsidRDefault="00B32768" w:rsidP="00DF7D27">
            <w:pPr>
              <w:ind w:left="54"/>
              <w:rPr>
                <w:b/>
                <w:sz w:val="20"/>
                <w:szCs w:val="20"/>
                <w:lang w:eastAsia="sk-SK"/>
              </w:rPr>
            </w:pPr>
          </w:p>
        </w:tc>
      </w:tr>
      <w:tr w:rsidR="00B32768" w:rsidRPr="00B043B4" w14:paraId="291F46BA" w14:textId="77777777" w:rsidTr="00DF7D27">
        <w:tc>
          <w:tcPr>
            <w:tcW w:w="3812" w:type="dxa"/>
            <w:tcBorders>
              <w:top w:val="nil"/>
              <w:left w:val="single" w:sz="4" w:space="0" w:color="auto"/>
              <w:bottom w:val="nil"/>
              <w:right w:val="single" w:sz="4" w:space="0" w:color="auto"/>
            </w:tcBorders>
            <w:shd w:val="clear" w:color="auto" w:fill="E2E2E2"/>
          </w:tcPr>
          <w:p w14:paraId="6AA07E53" w14:textId="77777777" w:rsidR="00B32768" w:rsidRPr="00B043B4" w:rsidRDefault="00B32768" w:rsidP="00DF7D27">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2A1B171C" w14:textId="77777777" w:rsidR="00B32768" w:rsidRPr="00B043B4" w:rsidRDefault="00B32768" w:rsidP="00DF7D27">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6C5268A8" w14:textId="77777777" w:rsidR="00B32768" w:rsidRPr="00B043B4" w:rsidRDefault="00B32768" w:rsidP="00DF7D27">
            <w:pPr>
              <w:ind w:right="-108"/>
              <w:rPr>
                <w:b/>
                <w:sz w:val="20"/>
                <w:szCs w:val="20"/>
                <w:lang w:eastAsia="sk-SK"/>
              </w:rPr>
            </w:pPr>
            <w:r w:rsidRPr="00B043B4">
              <w:rPr>
                <w:b/>
                <w:sz w:val="20"/>
                <w:szCs w:val="20"/>
                <w:lang w:eastAsia="sk-SK"/>
              </w:rPr>
              <w:t>Pozitívne</w:t>
            </w:r>
          </w:p>
        </w:tc>
        <w:sdt>
          <w:sdtPr>
            <w:rPr>
              <w:b/>
              <w:sz w:val="20"/>
              <w:szCs w:val="20"/>
              <w:lang w:eastAsia="sk-SK"/>
            </w:rPr>
            <w:id w:val="-1752193863"/>
            <w14:checkbox>
              <w14:checked w14:val="0"/>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3085ECEB" w14:textId="77777777" w:rsidR="00B32768" w:rsidRPr="00B043B4" w:rsidRDefault="00B32768" w:rsidP="00DF7D27">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1CDEBED4" w14:textId="77777777" w:rsidR="00B32768" w:rsidRPr="00B043B4" w:rsidRDefault="00B32768" w:rsidP="00DF7D27">
            <w:pPr>
              <w:rPr>
                <w:b/>
                <w:sz w:val="20"/>
                <w:szCs w:val="20"/>
                <w:lang w:eastAsia="sk-SK"/>
              </w:rPr>
            </w:pPr>
            <w:r w:rsidRPr="00B043B4">
              <w:rPr>
                <w:b/>
                <w:sz w:val="20"/>
                <w:szCs w:val="20"/>
                <w:lang w:eastAsia="sk-SK"/>
              </w:rPr>
              <w:t>Žiadne</w:t>
            </w:r>
          </w:p>
        </w:tc>
        <w:sdt>
          <w:sdtPr>
            <w:rPr>
              <w:b/>
              <w:sz w:val="20"/>
              <w:szCs w:val="20"/>
              <w:lang w:eastAsia="sk-SK"/>
            </w:rPr>
            <w:id w:val="-1282867047"/>
            <w14:checkbox>
              <w14:checked w14:val="1"/>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284B7B1F" w14:textId="77777777" w:rsidR="00B32768" w:rsidRPr="00B043B4" w:rsidRDefault="00B32768" w:rsidP="00DF7D27">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72BF1F43" w14:textId="77777777" w:rsidR="00B32768" w:rsidRPr="00B043B4" w:rsidRDefault="00B32768" w:rsidP="00DF7D27">
            <w:pPr>
              <w:ind w:left="54"/>
              <w:rPr>
                <w:b/>
                <w:sz w:val="20"/>
                <w:szCs w:val="20"/>
                <w:lang w:eastAsia="sk-SK"/>
              </w:rPr>
            </w:pPr>
            <w:r w:rsidRPr="00B043B4">
              <w:rPr>
                <w:b/>
                <w:sz w:val="20"/>
                <w:szCs w:val="20"/>
                <w:lang w:eastAsia="sk-SK"/>
              </w:rPr>
              <w:t>Negatívne</w:t>
            </w:r>
          </w:p>
        </w:tc>
      </w:tr>
      <w:tr w:rsidR="00B32768" w:rsidRPr="00B043B4" w14:paraId="43BB8B48" w14:textId="77777777" w:rsidTr="00DF7D27">
        <w:tc>
          <w:tcPr>
            <w:tcW w:w="3812" w:type="dxa"/>
            <w:tcBorders>
              <w:top w:val="nil"/>
              <w:left w:val="single" w:sz="4" w:space="0" w:color="auto"/>
              <w:bottom w:val="nil"/>
              <w:right w:val="single" w:sz="4" w:space="0" w:color="auto"/>
            </w:tcBorders>
            <w:shd w:val="clear" w:color="auto" w:fill="E2E2E2"/>
          </w:tcPr>
          <w:p w14:paraId="2FE90AF0" w14:textId="77777777" w:rsidR="00B32768" w:rsidRPr="00B043B4" w:rsidRDefault="00B32768" w:rsidP="00DF7D27">
            <w:pPr>
              <w:ind w:left="168" w:hanging="168"/>
              <w:rPr>
                <w:rFonts w:eastAsia="Calibri"/>
                <w:b/>
                <w:sz w:val="20"/>
                <w:szCs w:val="20"/>
              </w:rPr>
            </w:pPr>
            <w:r w:rsidRPr="00B043B4">
              <w:rPr>
                <w:rFonts w:eastAsia="Calibri"/>
                <w:b/>
                <w:sz w:val="20"/>
                <w:szCs w:val="20"/>
              </w:rPr>
              <w:lastRenderedPageBreak/>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A5569F6" w14:textId="77777777" w:rsidR="00B32768" w:rsidRPr="00B043B4" w:rsidRDefault="00B32768" w:rsidP="00DF7D27">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9CED4DD" w14:textId="77777777" w:rsidR="00B32768" w:rsidRPr="00B043B4" w:rsidRDefault="00B32768" w:rsidP="00DF7D27">
            <w:pPr>
              <w:ind w:right="-108"/>
              <w:rPr>
                <w:b/>
                <w:sz w:val="20"/>
                <w:szCs w:val="20"/>
                <w:lang w:eastAsia="sk-SK"/>
              </w:rPr>
            </w:pPr>
            <w:r w:rsidRPr="00B043B4">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6EC8FB99" w14:textId="77777777" w:rsidR="00B32768" w:rsidRPr="00B043B4" w:rsidRDefault="00B32768" w:rsidP="00DF7D27">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F690A34" w14:textId="77777777" w:rsidR="00B32768" w:rsidRPr="00B043B4" w:rsidRDefault="00B32768" w:rsidP="00DF7D27">
            <w:pPr>
              <w:rPr>
                <w:b/>
                <w:sz w:val="20"/>
                <w:szCs w:val="20"/>
                <w:lang w:eastAsia="sk-SK"/>
              </w:rPr>
            </w:pPr>
            <w:r w:rsidRPr="00B043B4">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6BB93CD6" w14:textId="77777777" w:rsidR="00B32768" w:rsidRPr="00B043B4" w:rsidRDefault="00B32768" w:rsidP="00DF7D27">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C5FD6AD" w14:textId="77777777" w:rsidR="00B32768" w:rsidRPr="00B043B4" w:rsidRDefault="00B32768" w:rsidP="00DF7D27">
            <w:pPr>
              <w:ind w:left="54"/>
              <w:rPr>
                <w:b/>
                <w:sz w:val="20"/>
                <w:szCs w:val="20"/>
                <w:lang w:eastAsia="sk-SK"/>
              </w:rPr>
            </w:pPr>
            <w:r w:rsidRPr="00B043B4">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32768" w:rsidRPr="00B043B4" w14:paraId="100CB553" w14:textId="77777777" w:rsidTr="00DF7D27">
        <w:tc>
          <w:tcPr>
            <w:tcW w:w="3812" w:type="dxa"/>
            <w:tcBorders>
              <w:top w:val="single" w:sz="4" w:space="0" w:color="000000"/>
              <w:left w:val="single" w:sz="4" w:space="0" w:color="auto"/>
              <w:bottom w:val="single" w:sz="4" w:space="0" w:color="auto"/>
              <w:right w:val="single" w:sz="4" w:space="0" w:color="auto"/>
            </w:tcBorders>
            <w:shd w:val="clear" w:color="auto" w:fill="E2E2E2"/>
          </w:tcPr>
          <w:p w14:paraId="0CDB1A3B" w14:textId="77777777" w:rsidR="00B32768" w:rsidRPr="00B043B4" w:rsidRDefault="00B32768" w:rsidP="00DF7D27">
            <w:pPr>
              <w:rPr>
                <w:rFonts w:eastAsia="Times New Roman"/>
                <w:b/>
                <w:sz w:val="20"/>
                <w:szCs w:val="20"/>
                <w:lang w:eastAsia="sk-SK"/>
              </w:rPr>
            </w:pPr>
            <w:r w:rsidRPr="00F87681">
              <w:rPr>
                <w:rFonts w:eastAsia="Times New Roman"/>
                <w:b/>
                <w:sz w:val="20"/>
                <w:szCs w:val="20"/>
              </w:rPr>
              <w:t>Vplyvy na manželstvo</w:t>
            </w:r>
            <w:r>
              <w:rPr>
                <w:rFonts w:eastAsia="Times New Roman"/>
                <w:b/>
                <w:sz w:val="20"/>
                <w:szCs w:val="20"/>
              </w:rPr>
              <w:t>,</w:t>
            </w:r>
            <w:r w:rsidRPr="00F87681">
              <w:rPr>
                <w:rFonts w:eastAsia="Times New Roman"/>
                <w:b/>
                <w:sz w:val="20"/>
                <w:szCs w:val="20"/>
              </w:rPr>
              <w:t xml:space="preserve"> rodičovstvo a</w:t>
            </w:r>
            <w:r>
              <w:rPr>
                <w:rFonts w:eastAsia="Times New Roman"/>
                <w:b/>
                <w:sz w:val="20"/>
                <w:szCs w:val="20"/>
              </w:rPr>
              <w:t> </w:t>
            </w:r>
            <w:r w:rsidRPr="00F87681">
              <w:rPr>
                <w:rFonts w:eastAsia="Times New Roman"/>
                <w:b/>
                <w:sz w:val="20"/>
                <w:szCs w:val="20"/>
              </w:rPr>
              <w:t>rodinu</w:t>
            </w:r>
          </w:p>
        </w:tc>
        <w:sdt>
          <w:sdtPr>
            <w:rPr>
              <w:rFonts w:eastAsia="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4C8A1170"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7CBE4E1" w14:textId="77777777" w:rsidR="00B32768" w:rsidRPr="00B043B4" w:rsidRDefault="00B32768" w:rsidP="00DF7D27">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14187ADC"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A2E0BB6" w14:textId="77777777" w:rsidR="00B32768" w:rsidRPr="00B043B4" w:rsidRDefault="00B32768" w:rsidP="00DF7D27">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23840B07" w14:textId="77777777" w:rsidR="00B32768" w:rsidRPr="00B043B4" w:rsidRDefault="00B32768" w:rsidP="00DF7D27">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BA7D114" w14:textId="77777777" w:rsidR="00B32768" w:rsidRPr="00B043B4" w:rsidRDefault="00B32768" w:rsidP="00DF7D27">
            <w:pPr>
              <w:ind w:left="54"/>
              <w:rPr>
                <w:rFonts w:eastAsia="Times New Roman"/>
                <w:b/>
                <w:sz w:val="20"/>
                <w:szCs w:val="20"/>
                <w:lang w:eastAsia="sk-SK"/>
              </w:rPr>
            </w:pPr>
            <w:r w:rsidRPr="00B043B4">
              <w:rPr>
                <w:rFonts w:eastAsia="Times New Roman"/>
                <w:b/>
                <w:sz w:val="20"/>
                <w:szCs w:val="20"/>
                <w:lang w:eastAsia="sk-SK"/>
              </w:rPr>
              <w:t>Negatívne</w:t>
            </w:r>
          </w:p>
        </w:tc>
      </w:tr>
    </w:tbl>
    <w:p w14:paraId="5294E873" w14:textId="77777777" w:rsidR="00B32768" w:rsidRPr="00B043B4" w:rsidRDefault="00B32768" w:rsidP="00B32768">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B32768" w:rsidRPr="00B043B4" w14:paraId="4AAD04B5" w14:textId="77777777" w:rsidTr="00DF7D27">
        <w:tc>
          <w:tcPr>
            <w:tcW w:w="9176" w:type="dxa"/>
            <w:tcBorders>
              <w:top w:val="single" w:sz="4" w:space="0" w:color="auto"/>
              <w:left w:val="single" w:sz="4" w:space="0" w:color="auto"/>
              <w:bottom w:val="nil"/>
              <w:right w:val="single" w:sz="4" w:space="0" w:color="auto"/>
            </w:tcBorders>
            <w:shd w:val="clear" w:color="auto" w:fill="E2E2E2"/>
          </w:tcPr>
          <w:p w14:paraId="35A65F91" w14:textId="77777777" w:rsidR="00B32768" w:rsidRPr="00B043B4" w:rsidRDefault="00B32768" w:rsidP="00B32768">
            <w:pPr>
              <w:numPr>
                <w:ilvl w:val="0"/>
                <w:numId w:val="6"/>
              </w:numPr>
              <w:ind w:left="426"/>
              <w:contextualSpacing/>
              <w:rPr>
                <w:rFonts w:eastAsia="Calibri"/>
                <w:b/>
              </w:rPr>
            </w:pPr>
            <w:r w:rsidRPr="00B32768">
              <w:rPr>
                <w:rFonts w:eastAsia="Calibri"/>
                <w:b/>
                <w:sz w:val="22"/>
              </w:rPr>
              <w:t>Poznámky</w:t>
            </w:r>
          </w:p>
        </w:tc>
      </w:tr>
      <w:tr w:rsidR="00B32768" w:rsidRPr="00B043B4" w14:paraId="4152360C" w14:textId="77777777" w:rsidTr="00DF7D27">
        <w:trPr>
          <w:trHeight w:val="713"/>
        </w:trPr>
        <w:tc>
          <w:tcPr>
            <w:tcW w:w="9176" w:type="dxa"/>
            <w:tcBorders>
              <w:top w:val="nil"/>
              <w:left w:val="single" w:sz="4" w:space="0" w:color="auto"/>
              <w:bottom w:val="single" w:sz="4" w:space="0" w:color="FFFFFF"/>
              <w:right w:val="single" w:sz="4" w:space="0" w:color="auto"/>
            </w:tcBorders>
            <w:shd w:val="clear" w:color="auto" w:fill="auto"/>
          </w:tcPr>
          <w:p w14:paraId="6A9A7515" w14:textId="77777777" w:rsidR="00B32768" w:rsidRDefault="00B32768" w:rsidP="00DF7D27">
            <w:pPr>
              <w:spacing w:before="120" w:after="120"/>
              <w:jc w:val="both"/>
              <w:rPr>
                <w:rFonts w:ascii="Times" w:hAnsi="Times" w:cs="Times"/>
                <w:b/>
                <w:bCs/>
                <w:sz w:val="20"/>
                <w:szCs w:val="20"/>
                <w:u w:val="single"/>
              </w:rPr>
            </w:pPr>
            <w:r w:rsidRPr="00165F39">
              <w:rPr>
                <w:rFonts w:ascii="Times" w:hAnsi="Times" w:cs="Times"/>
                <w:b/>
                <w:bCs/>
                <w:sz w:val="20"/>
                <w:szCs w:val="20"/>
                <w:u w:val="single"/>
              </w:rPr>
              <w:t xml:space="preserve">K vplyvom na rozpočet verejnej správy: </w:t>
            </w:r>
          </w:p>
          <w:p w14:paraId="428AA4F5" w14:textId="77777777" w:rsidR="00B32768" w:rsidRPr="00BA67E8" w:rsidRDefault="00B32768" w:rsidP="00DF7D27">
            <w:pPr>
              <w:spacing w:before="120" w:after="120"/>
              <w:jc w:val="both"/>
              <w:rPr>
                <w:rFonts w:eastAsia="Times New Roman"/>
                <w:sz w:val="20"/>
                <w:szCs w:val="20"/>
                <w:lang w:eastAsia="sk-SK"/>
              </w:rPr>
            </w:pPr>
            <w:r w:rsidRPr="003A33A4">
              <w:rPr>
                <w:rFonts w:ascii="Times" w:hAnsi="Times" w:cs="Times"/>
                <w:bCs/>
                <w:sz w:val="20"/>
                <w:szCs w:val="20"/>
              </w:rPr>
              <w:t>Materiálom</w:t>
            </w:r>
            <w:r w:rsidRPr="008B349E">
              <w:rPr>
                <w:rFonts w:ascii="Times" w:hAnsi="Times" w:cs="Times"/>
                <w:sz w:val="20"/>
                <w:szCs w:val="20"/>
              </w:rPr>
              <w:t xml:space="preserve"> sa navrhujú zmeny</w:t>
            </w:r>
            <w:r>
              <w:rPr>
                <w:rFonts w:ascii="Times" w:hAnsi="Times" w:cs="Times"/>
                <w:sz w:val="20"/>
                <w:szCs w:val="20"/>
              </w:rPr>
              <w:t xml:space="preserve"> popísané v bode 2</w:t>
            </w:r>
            <w:r w:rsidRPr="008B349E">
              <w:rPr>
                <w:rFonts w:ascii="Times" w:hAnsi="Times" w:cs="Times"/>
                <w:sz w:val="20"/>
                <w:szCs w:val="20"/>
              </w:rPr>
              <w:t xml:space="preserve">, </w:t>
            </w:r>
            <w:r>
              <w:rPr>
                <w:rFonts w:ascii="Times" w:hAnsi="Times" w:cs="Times"/>
                <w:sz w:val="20"/>
                <w:szCs w:val="20"/>
              </w:rPr>
              <w:t>ktoré súvisia najmä s úpravou ÚPVS a jeho spoločných modulov. I</w:t>
            </w:r>
            <w:r w:rsidRPr="008B349E">
              <w:rPr>
                <w:rFonts w:ascii="Times" w:hAnsi="Times" w:cs="Times"/>
                <w:sz w:val="20"/>
                <w:szCs w:val="20"/>
              </w:rPr>
              <w:t xml:space="preserve">mplementácia </w:t>
            </w:r>
            <w:r>
              <w:rPr>
                <w:rFonts w:ascii="Times" w:hAnsi="Times" w:cs="Times"/>
                <w:sz w:val="20"/>
                <w:szCs w:val="20"/>
              </w:rPr>
              <w:t xml:space="preserve">navrhovaných opatrení v informačných systémoch </w:t>
            </w:r>
            <w:r w:rsidRPr="008B349E">
              <w:rPr>
                <w:rFonts w:ascii="Times" w:hAnsi="Times" w:cs="Times"/>
                <w:sz w:val="20"/>
                <w:szCs w:val="20"/>
              </w:rPr>
              <w:t xml:space="preserve">bude financovaná z rozpočtovej kapitoly </w:t>
            </w:r>
            <w:r>
              <w:rPr>
                <w:rFonts w:ascii="Times" w:hAnsi="Times" w:cs="Times"/>
                <w:sz w:val="20"/>
                <w:szCs w:val="20"/>
              </w:rPr>
              <w:t xml:space="preserve">MIRRI SR </w:t>
            </w:r>
            <w:r w:rsidRPr="00462DC2">
              <w:rPr>
                <w:rFonts w:ascii="Times" w:hAnsi="Times" w:cs="Times"/>
                <w:sz w:val="20"/>
                <w:szCs w:val="20"/>
              </w:rPr>
              <w:t>v rámci schváleného limitu výdavkov pre príslušné rozpočtové roky</w:t>
            </w:r>
            <w:r w:rsidRPr="006321C1">
              <w:rPr>
                <w:rFonts w:ascii="Times" w:hAnsi="Times" w:cs="Times"/>
                <w:sz w:val="20"/>
                <w:szCs w:val="20"/>
              </w:rPr>
              <w:t xml:space="preserve">. </w:t>
            </w:r>
            <w:r w:rsidRPr="006321C1">
              <w:rPr>
                <w:rFonts w:eastAsia="Times New Roman"/>
                <w:sz w:val="20"/>
                <w:szCs w:val="20"/>
                <w:lang w:eastAsia="sk-SK"/>
              </w:rPr>
              <w:t>Ide predovšetkým o navrhované zmeny v oblasti týkajúcej sa revízie elektronických schránok a elektronického</w:t>
            </w:r>
            <w:r>
              <w:rPr>
                <w:rFonts w:eastAsia="Times New Roman"/>
                <w:sz w:val="20"/>
                <w:szCs w:val="20"/>
                <w:lang w:eastAsia="sk-SK"/>
              </w:rPr>
              <w:t xml:space="preserve"> doručovania, úpravy súvisiace s funkcionalitou autorizácie klikom podľa § 23 ods. 1 písm. a) bodu 2 zákona o e-Governmente, ako aj úpravy vo vzťahu k dobrovoľnosti </w:t>
            </w:r>
            <w:r w:rsidRPr="00491F91">
              <w:rPr>
                <w:rFonts w:eastAsia="Times New Roman"/>
                <w:sz w:val="20"/>
                <w:szCs w:val="20"/>
                <w:lang w:eastAsia="sk-SK"/>
              </w:rPr>
              <w:t>vytvárania elektronického formulára pre elektronické úradné dokumenty</w:t>
            </w:r>
            <w:r>
              <w:rPr>
                <w:rFonts w:eastAsia="Times New Roman"/>
                <w:sz w:val="20"/>
                <w:szCs w:val="20"/>
                <w:lang w:eastAsia="sk-SK"/>
              </w:rPr>
              <w:t>. Vplyv na rozpočet verejnej správy sa očakáva v súvislosti s novou povinnosťou MIRRI SR zabezpečiť posudzovanie splnenie podmienok pre zápis autentifikačných prostriedkov do evidencie vedenej MIRRI SR.</w:t>
            </w:r>
            <w:r>
              <w:rPr>
                <w:rFonts w:ascii="Times" w:hAnsi="Times" w:cs="Times"/>
                <w:sz w:val="20"/>
                <w:szCs w:val="20"/>
              </w:rPr>
              <w:t xml:space="preserve"> </w:t>
            </w:r>
            <w:r w:rsidRPr="00771B7B">
              <w:rPr>
                <w:rFonts w:ascii="Times" w:hAnsi="Times" w:cs="Times"/>
                <w:sz w:val="20"/>
                <w:szCs w:val="20"/>
              </w:rPr>
              <w:t>Vplyvy súvisiace s úpravou uznaných spôsobov autorizácie budú detailne posúdené a vyčíslené v rámci legislatívneho procesu pripravovanej vyhlášky o uznaných spôsoboch autorizácie (predpoklad PPK v treťom kvartáli roka 2022, predpokladaná účinnosť najneskôr 1. január 2023). Vplyvy súvisiace s úp</w:t>
            </w:r>
            <w:r>
              <w:rPr>
                <w:rFonts w:ascii="Times" w:hAnsi="Times" w:cs="Times"/>
                <w:sz w:val="20"/>
                <w:szCs w:val="20"/>
              </w:rPr>
              <w:t xml:space="preserve">ravami v oblasti zaručenej konverzie bude možné bližšie identifikovať až pri predkladaní novely </w:t>
            </w:r>
            <w:r>
              <w:rPr>
                <w:rFonts w:eastAsia="Times New Roman"/>
                <w:sz w:val="20"/>
                <w:szCs w:val="20"/>
                <w:lang w:eastAsia="sk-SK"/>
              </w:rPr>
              <w:t xml:space="preserve">vyhlášky </w:t>
            </w:r>
            <w:r>
              <w:rPr>
                <w:rFonts w:ascii="Times" w:hAnsi="Times" w:cs="Times"/>
                <w:sz w:val="20"/>
                <w:szCs w:val="20"/>
              </w:rPr>
              <w:t xml:space="preserve">Ministerstva investícií </w:t>
            </w:r>
            <w:r w:rsidRPr="00BA67E8">
              <w:rPr>
                <w:rFonts w:ascii="Times" w:hAnsi="Times" w:cs="Times"/>
                <w:sz w:val="20"/>
                <w:szCs w:val="20"/>
              </w:rPr>
              <w:t>regionálneho rozvoja a informatizácie Slovenskej republiky</w:t>
            </w:r>
            <w:r w:rsidRPr="00BA67E8">
              <w:rPr>
                <w:rFonts w:eastAsia="Times New Roman"/>
                <w:sz w:val="20"/>
                <w:szCs w:val="20"/>
                <w:lang w:eastAsia="sk-SK"/>
              </w:rPr>
              <w:t xml:space="preserve"> č. 70/2021 Z. z. o zaručenej konverzii. </w:t>
            </w:r>
          </w:p>
          <w:p w14:paraId="5BE72E48" w14:textId="77777777" w:rsidR="00B32768" w:rsidRPr="003A33A4" w:rsidRDefault="00B32768" w:rsidP="00DF7D27">
            <w:pPr>
              <w:spacing w:before="120" w:after="120"/>
              <w:jc w:val="both"/>
              <w:rPr>
                <w:rFonts w:ascii="Times" w:hAnsi="Times" w:cs="Times"/>
                <w:b/>
                <w:bCs/>
                <w:sz w:val="20"/>
                <w:szCs w:val="20"/>
                <w:u w:val="single"/>
              </w:rPr>
            </w:pPr>
            <w:r w:rsidRPr="00BA67E8">
              <w:rPr>
                <w:rFonts w:eastAsia="Times New Roman"/>
                <w:sz w:val="20"/>
                <w:szCs w:val="20"/>
                <w:lang w:eastAsia="sk-SK"/>
              </w:rPr>
              <w:t>Finančné krytie identifikovaných vplyvov na rozpočet verejnej správy bude predmetom rokovaní s Ministerstvom financií Slovenskej republiky pri tvorbe rozpočtu na roky 2023 – 2025.</w:t>
            </w:r>
            <w:r>
              <w:rPr>
                <w:rFonts w:eastAsia="Times New Roman"/>
                <w:sz w:val="20"/>
                <w:szCs w:val="20"/>
                <w:lang w:eastAsia="sk-SK"/>
              </w:rPr>
              <w:t xml:space="preserve">  </w:t>
            </w:r>
          </w:p>
          <w:p w14:paraId="4EE773D8" w14:textId="77777777" w:rsidR="00B32768" w:rsidRPr="00462DC2" w:rsidRDefault="00B32768" w:rsidP="00DF7D27">
            <w:pPr>
              <w:jc w:val="both"/>
              <w:rPr>
                <w:rFonts w:ascii="Times" w:hAnsi="Times" w:cs="Times"/>
                <w:sz w:val="20"/>
                <w:szCs w:val="20"/>
              </w:rPr>
            </w:pPr>
            <w:r>
              <w:rPr>
                <w:rFonts w:ascii="Times" w:hAnsi="Times" w:cs="Times"/>
                <w:sz w:val="20"/>
                <w:szCs w:val="20"/>
              </w:rPr>
              <w:t>Predkladateľ neidentifikoval dopad legislatívnych zmien na iné orgány verejnej moci</w:t>
            </w:r>
            <w:r w:rsidRPr="00FA3274">
              <w:rPr>
                <w:rFonts w:eastAsia="Calibri"/>
                <w:sz w:val="20"/>
                <w:szCs w:val="20"/>
              </w:rPr>
              <w:t>.</w:t>
            </w:r>
          </w:p>
          <w:p w14:paraId="205410B2" w14:textId="77777777" w:rsidR="00B32768" w:rsidRDefault="00B32768" w:rsidP="00DF7D27">
            <w:pPr>
              <w:spacing w:after="120"/>
              <w:jc w:val="both"/>
              <w:rPr>
                <w:rFonts w:ascii="Times" w:hAnsi="Times" w:cs="Times"/>
                <w:sz w:val="20"/>
                <w:szCs w:val="20"/>
              </w:rPr>
            </w:pPr>
            <w:r>
              <w:rPr>
                <w:rFonts w:ascii="Times" w:hAnsi="Times" w:cs="Times"/>
                <w:sz w:val="20"/>
                <w:szCs w:val="20"/>
              </w:rPr>
              <w:t xml:space="preserve">Bližšia špecifikácia zmien a povinností a vyčíslenie nákladov sú rozpracované </w:t>
            </w:r>
            <w:r w:rsidRPr="00C72ED4">
              <w:rPr>
                <w:rFonts w:ascii="Times" w:hAnsi="Times" w:cs="Times"/>
                <w:b/>
                <w:sz w:val="20"/>
                <w:szCs w:val="20"/>
              </w:rPr>
              <w:t>v prílohe č. 1 - Analýza vplyvov na rozpočet verejnej správy</w:t>
            </w:r>
            <w:r w:rsidRPr="00462DC2">
              <w:rPr>
                <w:rFonts w:ascii="Times" w:hAnsi="Times" w:cs="Times"/>
                <w:sz w:val="20"/>
                <w:szCs w:val="20"/>
              </w:rPr>
              <w:t>,</w:t>
            </w:r>
            <w:r>
              <w:rPr>
                <w:rFonts w:ascii="Times" w:hAnsi="Times" w:cs="Times"/>
                <w:sz w:val="20"/>
                <w:szCs w:val="20"/>
              </w:rPr>
              <w:t xml:space="preserve"> ako aj v dôvodovej správe k návrhu materiálu.</w:t>
            </w:r>
          </w:p>
          <w:p w14:paraId="54112D5E" w14:textId="77777777" w:rsidR="00B32768" w:rsidRPr="008B4C20" w:rsidRDefault="00B32768" w:rsidP="00DF7D27">
            <w:pPr>
              <w:spacing w:after="120"/>
              <w:jc w:val="both"/>
              <w:rPr>
                <w:rFonts w:ascii="Times" w:hAnsi="Times" w:cs="Times"/>
                <w:sz w:val="20"/>
                <w:szCs w:val="20"/>
                <w:u w:val="single"/>
              </w:rPr>
            </w:pPr>
            <w:r w:rsidRPr="008B4C20">
              <w:rPr>
                <w:rFonts w:ascii="Times" w:hAnsi="Times" w:cs="Times"/>
                <w:b/>
                <w:sz w:val="20"/>
                <w:szCs w:val="20"/>
                <w:u w:val="single"/>
              </w:rPr>
              <w:t>K vplyvom na podnikateľské prostredie</w:t>
            </w:r>
            <w:r w:rsidRPr="008B4C20">
              <w:rPr>
                <w:rFonts w:ascii="Times" w:hAnsi="Times" w:cs="Times"/>
                <w:sz w:val="20"/>
                <w:szCs w:val="20"/>
                <w:u w:val="single"/>
              </w:rPr>
              <w:t>:</w:t>
            </w:r>
          </w:p>
          <w:p w14:paraId="32064B89" w14:textId="77777777" w:rsidR="00B32768" w:rsidRPr="008B4C20" w:rsidRDefault="00B32768" w:rsidP="00DF7D27">
            <w:pPr>
              <w:spacing w:after="120"/>
              <w:jc w:val="both"/>
              <w:rPr>
                <w:rFonts w:ascii="Times" w:hAnsi="Times" w:cs="Times"/>
                <w:sz w:val="20"/>
                <w:szCs w:val="20"/>
              </w:rPr>
            </w:pPr>
            <w:r w:rsidRPr="004E6673">
              <w:rPr>
                <w:rFonts w:ascii="Times" w:hAnsi="Times" w:cs="Times"/>
                <w:sz w:val="20"/>
                <w:szCs w:val="20"/>
              </w:rPr>
              <w:t>Rozšírenie okruhu osôb oprávnených vykonávať zaručenú konverziu bude mať pozitívny vplyv na podnikateľské prostredie. Vzhľadom na to, že ide o oprávnenie, nie je dnes možné určiť počet pobočiek, ktoré reálne budú využívať oprávnenie vykonávať zaručenú konverziu v praxi, a z toho dôvodu nie je možné presnejšie kvantifikovať dopady na podnikateľské prostredie. Vplyvy sú vyznačené v rámci prílohy č. 2 - Analýza vplyvov na podnikateľské prostredie a v priloženej kalkulačke.</w:t>
            </w:r>
            <w:r>
              <w:rPr>
                <w:rFonts w:ascii="Times" w:hAnsi="Times" w:cs="Times"/>
                <w:sz w:val="20"/>
                <w:szCs w:val="20"/>
              </w:rPr>
              <w:t xml:space="preserve"> </w:t>
            </w:r>
          </w:p>
          <w:p w14:paraId="368C9F30" w14:textId="77777777" w:rsidR="00B32768" w:rsidRPr="00AB20C6" w:rsidRDefault="00B32768" w:rsidP="00DF7D27">
            <w:pPr>
              <w:contextualSpacing/>
              <w:jc w:val="both"/>
              <w:rPr>
                <w:rFonts w:eastAsia="Calibri"/>
                <w:b/>
                <w:bCs/>
                <w:sz w:val="20"/>
                <w:szCs w:val="20"/>
                <w:u w:val="single"/>
              </w:rPr>
            </w:pPr>
            <w:r w:rsidRPr="00AB20C6">
              <w:rPr>
                <w:rFonts w:eastAsia="Calibri"/>
                <w:b/>
                <w:bCs/>
                <w:sz w:val="20"/>
                <w:szCs w:val="20"/>
                <w:u w:val="single"/>
              </w:rPr>
              <w:t>K vplyvom na informatizáciu:</w:t>
            </w:r>
          </w:p>
          <w:p w14:paraId="4BC3B4CD" w14:textId="77777777" w:rsidR="00B32768" w:rsidRDefault="00B32768" w:rsidP="00DF7D27">
            <w:pPr>
              <w:spacing w:after="120"/>
              <w:jc w:val="both"/>
              <w:rPr>
                <w:rFonts w:ascii="Times" w:hAnsi="Times" w:cs="Times"/>
                <w:sz w:val="20"/>
                <w:szCs w:val="20"/>
              </w:rPr>
            </w:pPr>
            <w:r>
              <w:rPr>
                <w:rFonts w:eastAsia="Calibri"/>
                <w:sz w:val="20"/>
                <w:szCs w:val="20"/>
              </w:rPr>
              <w:t>Navrhované zmeny si vyžadujú úpravu ÚPVS, resp. spoločných modulov v súvislosti s novými povinnosťami správcu ÚPVS, ktorým je MIRRI SR, a to najmä v oblasti autorizácie (viď bližšie okruh 3 analýzy vplyvov na rozpočet verejnej správy). V nadväznosti na vypustenie konceptu integrovaných obslužných miest zo zákona o e-Governmente dochádza k zrušeniu informačného systému</w:t>
            </w:r>
            <w:r w:rsidDel="003812F5">
              <w:rPr>
                <w:rFonts w:eastAsia="Calibri"/>
                <w:sz w:val="20"/>
                <w:szCs w:val="20"/>
              </w:rPr>
              <w:t xml:space="preserve"> </w:t>
            </w:r>
            <w:r>
              <w:rPr>
                <w:rFonts w:eastAsia="Calibri"/>
                <w:sz w:val="20"/>
                <w:szCs w:val="20"/>
              </w:rPr>
              <w:t xml:space="preserve">Integrované obslužné miesto, ktorého správcom je MIRRI SR, a to bez náhrady. Zároveň dochádza k zrušeniu existujúcich služieb poskytovaných v rámci tohto  informačného systému. Táto zmena bude mať negatívny vplyv na informatizáciu. </w:t>
            </w:r>
            <w:r>
              <w:rPr>
                <w:rFonts w:ascii="Times" w:hAnsi="Times" w:cs="Times"/>
                <w:sz w:val="20"/>
                <w:szCs w:val="20"/>
              </w:rPr>
              <w:t>Bližšia špecifikácia vplyvov je rozpracovaná v </w:t>
            </w:r>
            <w:r>
              <w:rPr>
                <w:rFonts w:ascii="Times" w:hAnsi="Times" w:cs="Times"/>
                <w:b/>
                <w:bCs/>
                <w:sz w:val="20"/>
                <w:szCs w:val="20"/>
              </w:rPr>
              <w:t>prílohe č. 3</w:t>
            </w:r>
            <w:r w:rsidRPr="00AB20C6">
              <w:rPr>
                <w:rFonts w:ascii="Times" w:hAnsi="Times" w:cs="Times"/>
                <w:b/>
                <w:bCs/>
                <w:sz w:val="20"/>
                <w:szCs w:val="20"/>
              </w:rPr>
              <w:t xml:space="preserve"> - Analýza vplyvov na informatizáciu spoločnosti</w:t>
            </w:r>
            <w:r>
              <w:rPr>
                <w:rFonts w:ascii="Times" w:hAnsi="Times" w:cs="Times"/>
                <w:sz w:val="20"/>
                <w:szCs w:val="20"/>
              </w:rPr>
              <w:t>.</w:t>
            </w:r>
          </w:p>
          <w:p w14:paraId="2DFBF770" w14:textId="77777777" w:rsidR="00B32768" w:rsidRPr="00165F39" w:rsidRDefault="00B32768" w:rsidP="00DF7D27">
            <w:pPr>
              <w:jc w:val="both"/>
              <w:rPr>
                <w:rFonts w:ascii="Times" w:hAnsi="Times" w:cs="Times"/>
                <w:b/>
                <w:bCs/>
                <w:sz w:val="20"/>
                <w:szCs w:val="20"/>
              </w:rPr>
            </w:pPr>
            <w:r w:rsidRPr="006321C1">
              <w:rPr>
                <w:rFonts w:ascii="Times" w:hAnsi="Times" w:cs="Times"/>
                <w:b/>
                <w:bCs/>
                <w:sz w:val="20"/>
                <w:szCs w:val="20"/>
                <w:u w:val="single"/>
              </w:rPr>
              <w:t>K vplyvom na služby verejnej správy pre občana</w:t>
            </w:r>
            <w:r w:rsidRPr="006321C1">
              <w:rPr>
                <w:rFonts w:ascii="Times" w:hAnsi="Times" w:cs="Times"/>
                <w:b/>
                <w:bCs/>
                <w:sz w:val="20"/>
                <w:szCs w:val="20"/>
              </w:rPr>
              <w:t>:</w:t>
            </w:r>
            <w:r w:rsidRPr="00165F39">
              <w:rPr>
                <w:rFonts w:ascii="Times" w:hAnsi="Times" w:cs="Times"/>
                <w:b/>
                <w:bCs/>
                <w:sz w:val="20"/>
                <w:szCs w:val="20"/>
              </w:rPr>
              <w:t xml:space="preserve"> </w:t>
            </w:r>
          </w:p>
          <w:p w14:paraId="36504ACC" w14:textId="77777777" w:rsidR="00B32768" w:rsidRPr="00B662D1" w:rsidRDefault="00B32768" w:rsidP="00DF7D27">
            <w:pPr>
              <w:spacing w:after="120"/>
              <w:jc w:val="both"/>
              <w:rPr>
                <w:rFonts w:ascii="Times" w:hAnsi="Times" w:cs="Times"/>
                <w:sz w:val="20"/>
                <w:szCs w:val="20"/>
              </w:rPr>
            </w:pPr>
            <w:r>
              <w:rPr>
                <w:rFonts w:ascii="Times" w:hAnsi="Times" w:cs="Times"/>
                <w:sz w:val="20"/>
                <w:szCs w:val="20"/>
              </w:rPr>
              <w:t xml:space="preserve">Negatívny dopad bol identifikovaný v súvislosti s vypustením konceptu IOM, vzhľadom na to, že asistovaný výkon verejnej moci nebude garantovaný na úrovni zákona. Prílohou č. 4 tejto doložky je vypracovaná </w:t>
            </w:r>
            <w:r w:rsidRPr="00165F39">
              <w:rPr>
                <w:rFonts w:ascii="Times" w:hAnsi="Times" w:cs="Times"/>
                <w:b/>
                <w:bCs/>
                <w:sz w:val="20"/>
                <w:szCs w:val="20"/>
              </w:rPr>
              <w:t>Analýza vplyvov na služby verejnej správy pre občana</w:t>
            </w:r>
            <w:r>
              <w:rPr>
                <w:rFonts w:ascii="Times" w:hAnsi="Times" w:cs="Times"/>
                <w:sz w:val="20"/>
                <w:szCs w:val="20"/>
              </w:rPr>
              <w:t>.</w:t>
            </w:r>
          </w:p>
        </w:tc>
      </w:tr>
      <w:tr w:rsidR="00B32768" w:rsidRPr="00B043B4" w14:paraId="608F348B" w14:textId="77777777" w:rsidTr="00DF7D27">
        <w:tc>
          <w:tcPr>
            <w:tcW w:w="9176" w:type="dxa"/>
            <w:tcBorders>
              <w:top w:val="single" w:sz="4" w:space="0" w:color="auto"/>
              <w:left w:val="single" w:sz="4" w:space="0" w:color="auto"/>
              <w:bottom w:val="single" w:sz="4" w:space="0" w:color="FFFFFF"/>
              <w:right w:val="single" w:sz="4" w:space="0" w:color="auto"/>
            </w:tcBorders>
            <w:shd w:val="clear" w:color="auto" w:fill="E2E2E2"/>
          </w:tcPr>
          <w:p w14:paraId="09F03E35" w14:textId="77777777" w:rsidR="00B32768" w:rsidRPr="00B043B4" w:rsidRDefault="00B32768" w:rsidP="00B32768">
            <w:pPr>
              <w:numPr>
                <w:ilvl w:val="0"/>
                <w:numId w:val="6"/>
              </w:numPr>
              <w:ind w:left="426"/>
              <w:contextualSpacing/>
              <w:rPr>
                <w:rFonts w:eastAsia="Calibri"/>
                <w:b/>
              </w:rPr>
            </w:pPr>
            <w:r w:rsidRPr="00B32768">
              <w:rPr>
                <w:rFonts w:eastAsia="Calibri"/>
                <w:b/>
                <w:sz w:val="22"/>
              </w:rPr>
              <w:t>Kontakt na spracovateľa</w:t>
            </w:r>
          </w:p>
        </w:tc>
      </w:tr>
      <w:tr w:rsidR="00B32768" w:rsidRPr="00B043B4" w14:paraId="4F565860" w14:textId="77777777" w:rsidTr="00DF7D27">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0DFA8A9" w14:textId="77777777" w:rsidR="00B32768" w:rsidRPr="00B043B4" w:rsidRDefault="00B32768" w:rsidP="00DF7D27">
            <w:pPr>
              <w:spacing w:before="120"/>
              <w:rPr>
                <w:rFonts w:eastAsia="Times New Roman"/>
                <w:i/>
                <w:sz w:val="20"/>
                <w:szCs w:val="20"/>
                <w:lang w:eastAsia="sk-SK"/>
              </w:rPr>
            </w:pPr>
            <w:r>
              <w:rPr>
                <w:rFonts w:eastAsia="Times New Roman"/>
                <w:i/>
                <w:sz w:val="20"/>
                <w:szCs w:val="20"/>
                <w:lang w:eastAsia="sk-SK"/>
              </w:rPr>
              <w:t xml:space="preserve">Ľubica Kašíková, </w:t>
            </w:r>
            <w:hyperlink r:id="rId11" w:history="1">
              <w:r w:rsidRPr="00B74A7B">
                <w:rPr>
                  <w:rStyle w:val="Hypertextovprepojenie"/>
                  <w:rFonts w:eastAsia="Times New Roman"/>
                  <w:i/>
                  <w:sz w:val="20"/>
                  <w:szCs w:val="20"/>
                  <w:lang w:eastAsia="sk-SK"/>
                </w:rPr>
                <w:t>lubica.kasikova@mirri.gov.sk</w:t>
              </w:r>
            </w:hyperlink>
            <w:r>
              <w:rPr>
                <w:rFonts w:eastAsia="Times New Roman"/>
                <w:i/>
                <w:sz w:val="20"/>
                <w:szCs w:val="20"/>
                <w:lang w:eastAsia="sk-SK"/>
              </w:rPr>
              <w:t>, 02/20928318</w:t>
            </w:r>
          </w:p>
        </w:tc>
      </w:tr>
      <w:tr w:rsidR="00B32768" w:rsidRPr="00B043B4" w14:paraId="3095A3B5" w14:textId="77777777" w:rsidTr="00DF7D27">
        <w:tc>
          <w:tcPr>
            <w:tcW w:w="9176" w:type="dxa"/>
            <w:tcBorders>
              <w:top w:val="single" w:sz="4" w:space="0" w:color="auto"/>
              <w:left w:val="single" w:sz="4" w:space="0" w:color="auto"/>
              <w:bottom w:val="single" w:sz="4" w:space="0" w:color="FFFFFF"/>
              <w:right w:val="single" w:sz="4" w:space="0" w:color="auto"/>
            </w:tcBorders>
            <w:shd w:val="clear" w:color="auto" w:fill="E2E2E2"/>
          </w:tcPr>
          <w:p w14:paraId="3E8933D1" w14:textId="77777777" w:rsidR="00B32768" w:rsidRPr="00B043B4" w:rsidRDefault="00B32768" w:rsidP="00B32768">
            <w:pPr>
              <w:numPr>
                <w:ilvl w:val="0"/>
                <w:numId w:val="6"/>
              </w:numPr>
              <w:ind w:left="426"/>
              <w:contextualSpacing/>
              <w:rPr>
                <w:rFonts w:eastAsia="Calibri"/>
                <w:b/>
              </w:rPr>
            </w:pPr>
            <w:r w:rsidRPr="00B32768">
              <w:rPr>
                <w:rFonts w:eastAsia="Calibri"/>
                <w:b/>
                <w:sz w:val="22"/>
              </w:rPr>
              <w:t>Zdroje</w:t>
            </w:r>
          </w:p>
        </w:tc>
      </w:tr>
      <w:tr w:rsidR="00B32768" w:rsidRPr="00B043B4" w14:paraId="2D63E0AC" w14:textId="77777777" w:rsidTr="00DF7D27">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7B614DE" w14:textId="77777777" w:rsidR="00B32768" w:rsidRPr="00AC3F54" w:rsidRDefault="00B32768" w:rsidP="00DF7D27">
            <w:pPr>
              <w:spacing w:before="120"/>
              <w:rPr>
                <w:rFonts w:eastAsia="Times New Roman"/>
                <w:sz w:val="20"/>
                <w:szCs w:val="20"/>
                <w:lang w:eastAsia="sk-SK"/>
              </w:rPr>
            </w:pPr>
            <w:r>
              <w:rPr>
                <w:rFonts w:eastAsia="Times New Roman"/>
                <w:sz w:val="20"/>
                <w:szCs w:val="20"/>
                <w:lang w:eastAsia="sk-SK"/>
              </w:rPr>
              <w:t xml:space="preserve">Interné kapacity predkladateľa a podriadených organizácií, výstupy a odporúčania z pracovných skupín pod vedením MIRRI SR, výstupy a odporúčania z auditu povinností, iné podnety odbornej verejnosti a orgánov verejnej moci a výstupy z vykonaných kontrol podľa § 56a zákona o e-Governmentu. </w:t>
            </w:r>
          </w:p>
          <w:p w14:paraId="1F4B78BE" w14:textId="77777777" w:rsidR="00B32768" w:rsidRPr="00B043B4" w:rsidRDefault="00B32768" w:rsidP="00DF7D27">
            <w:pPr>
              <w:rPr>
                <w:rFonts w:eastAsia="Times New Roman"/>
                <w:b/>
                <w:sz w:val="20"/>
                <w:szCs w:val="20"/>
                <w:lang w:eastAsia="sk-SK"/>
              </w:rPr>
            </w:pPr>
          </w:p>
        </w:tc>
      </w:tr>
      <w:tr w:rsidR="00B32768" w:rsidRPr="00B043B4" w14:paraId="7839DE6A" w14:textId="77777777" w:rsidTr="00DF7D27">
        <w:tc>
          <w:tcPr>
            <w:tcW w:w="9176" w:type="dxa"/>
            <w:tcBorders>
              <w:top w:val="single" w:sz="4" w:space="0" w:color="auto"/>
              <w:left w:val="single" w:sz="4" w:space="0" w:color="auto"/>
              <w:bottom w:val="single" w:sz="4" w:space="0" w:color="FFFFFF"/>
              <w:right w:val="single" w:sz="4" w:space="0" w:color="auto"/>
            </w:tcBorders>
            <w:shd w:val="clear" w:color="auto" w:fill="E2E2E2"/>
          </w:tcPr>
          <w:p w14:paraId="6BAF038B" w14:textId="77777777" w:rsidR="00B32768" w:rsidRPr="00742921" w:rsidRDefault="00B32768" w:rsidP="00B32768">
            <w:pPr>
              <w:numPr>
                <w:ilvl w:val="0"/>
                <w:numId w:val="6"/>
              </w:numPr>
              <w:ind w:left="426"/>
              <w:contextualSpacing/>
              <w:rPr>
                <w:rFonts w:eastAsia="Calibri"/>
                <w:b/>
              </w:rPr>
            </w:pPr>
            <w:r w:rsidRPr="00B32768">
              <w:rPr>
                <w:rFonts w:eastAsia="Calibri"/>
                <w:b/>
                <w:sz w:val="22"/>
              </w:rPr>
              <w:t>Stanovisko Komisie na posudzovanie vybraných vplyvov z PPK č. 183/2021</w:t>
            </w:r>
            <w:r w:rsidRPr="00B32768">
              <w:rPr>
                <w:rFonts w:ascii="Calibri" w:eastAsia="Calibri" w:hAnsi="Calibri"/>
                <w:sz w:val="22"/>
              </w:rPr>
              <w:t xml:space="preserve"> </w:t>
            </w:r>
          </w:p>
          <w:p w14:paraId="3427DC44" w14:textId="77777777" w:rsidR="00B32768" w:rsidRPr="00742921" w:rsidRDefault="00B32768" w:rsidP="00DF7D27">
            <w:pPr>
              <w:ind w:left="502"/>
              <w:rPr>
                <w:rFonts w:eastAsia="Times New Roman"/>
                <w:b/>
                <w:sz w:val="20"/>
                <w:szCs w:val="20"/>
                <w:lang w:eastAsia="sk-SK"/>
              </w:rPr>
            </w:pPr>
            <w:r w:rsidRPr="00742921">
              <w:rPr>
                <w:rFonts w:eastAsia="Calibri"/>
                <w:sz w:val="20"/>
                <w:szCs w:val="20"/>
              </w:rPr>
              <w:t>(v prípade, ak sa uskutočnilo v zmysle bodu 8.1 Jednotnej metodiky)</w:t>
            </w:r>
          </w:p>
        </w:tc>
      </w:tr>
      <w:tr w:rsidR="00B32768" w:rsidRPr="00B043B4" w14:paraId="4FAAD8FA" w14:textId="77777777" w:rsidTr="00DF7D27">
        <w:trPr>
          <w:trHeight w:val="41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F166DCF" w14:textId="77777777" w:rsidR="00B32768" w:rsidRPr="003960AF" w:rsidRDefault="00B32768" w:rsidP="00DF7D27">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32768" w:rsidRPr="003960AF" w14:paraId="08F2DF8F" w14:textId="77777777" w:rsidTr="00DF7D27">
              <w:trPr>
                <w:trHeight w:val="396"/>
              </w:trPr>
              <w:tc>
                <w:tcPr>
                  <w:tcW w:w="2552" w:type="dxa"/>
                </w:tcPr>
                <w:p w14:paraId="7A7F8E37" w14:textId="77777777" w:rsidR="00B32768" w:rsidRPr="003960AF" w:rsidRDefault="00B32768" w:rsidP="00DF7D27">
                  <w:pPr>
                    <w:rPr>
                      <w:rFonts w:eastAsia="Times New Roman"/>
                      <w:b/>
                      <w:sz w:val="20"/>
                      <w:szCs w:val="20"/>
                      <w:lang w:eastAsia="sk-SK"/>
                    </w:rPr>
                  </w:pPr>
                  <w:sdt>
                    <w:sdtPr>
                      <w:rPr>
                        <w:rFonts w:eastAsia="Times New Roman"/>
                        <w:b/>
                        <w:sz w:val="20"/>
                        <w:szCs w:val="20"/>
                        <w:lang w:eastAsia="sk-SK"/>
                      </w:rPr>
                      <w:id w:val="-1874910888"/>
                      <w14:checkbox>
                        <w14:checked w14:val="0"/>
                        <w14:checkedState w14:val="2612" w14:font="MS Gothic"/>
                        <w14:uncheckedState w14:val="2610" w14:font="MS Gothic"/>
                      </w14:checkbox>
                    </w:sdtPr>
                    <w:sdtContent>
                      <w:r w:rsidRPr="003960AF">
                        <w:rPr>
                          <w:rFonts w:ascii="Segoe UI Symbol" w:eastAsia="MS Gothic" w:hAnsi="Segoe UI Symbol" w:cs="Segoe UI Symbol"/>
                          <w:b/>
                          <w:sz w:val="20"/>
                          <w:szCs w:val="20"/>
                          <w:lang w:eastAsia="sk-SK"/>
                        </w:rPr>
                        <w:t>☐</w:t>
                      </w:r>
                    </w:sdtContent>
                  </w:sdt>
                  <w:r w:rsidRPr="003960AF">
                    <w:rPr>
                      <w:rFonts w:eastAsia="Times New Roman"/>
                      <w:b/>
                      <w:sz w:val="20"/>
                      <w:szCs w:val="20"/>
                      <w:lang w:eastAsia="sk-SK"/>
                    </w:rPr>
                    <w:t xml:space="preserve">  Súhlasné </w:t>
                  </w:r>
                </w:p>
              </w:tc>
              <w:tc>
                <w:tcPr>
                  <w:tcW w:w="3827" w:type="dxa"/>
                </w:tcPr>
                <w:p w14:paraId="0A7FC307" w14:textId="77777777" w:rsidR="00B32768" w:rsidRPr="003960AF" w:rsidRDefault="00B32768" w:rsidP="00DF7D27">
                  <w:pPr>
                    <w:rPr>
                      <w:rFonts w:eastAsia="Times New Roman"/>
                      <w:b/>
                      <w:sz w:val="20"/>
                      <w:szCs w:val="20"/>
                      <w:lang w:eastAsia="sk-SK"/>
                    </w:rPr>
                  </w:pPr>
                  <w:sdt>
                    <w:sdtPr>
                      <w:rPr>
                        <w:rFonts w:eastAsia="Times New Roman"/>
                        <w:b/>
                        <w:sz w:val="20"/>
                        <w:szCs w:val="20"/>
                        <w:lang w:eastAsia="sk-SK"/>
                      </w:rPr>
                      <w:id w:val="1697888127"/>
                      <w14:checkbox>
                        <w14:checked w14:val="0"/>
                        <w14:checkedState w14:val="2612" w14:font="MS Gothic"/>
                        <w14:uncheckedState w14:val="2610" w14:font="MS Gothic"/>
                      </w14:checkbox>
                    </w:sdtPr>
                    <w:sdtContent>
                      <w:r w:rsidRPr="003960AF">
                        <w:rPr>
                          <w:rFonts w:ascii="Segoe UI Symbol" w:eastAsia="MS Gothic" w:hAnsi="Segoe UI Symbol" w:cs="Segoe UI Symbol"/>
                          <w:b/>
                          <w:sz w:val="20"/>
                          <w:szCs w:val="20"/>
                          <w:lang w:eastAsia="sk-SK"/>
                        </w:rPr>
                        <w:t>☐</w:t>
                      </w:r>
                    </w:sdtContent>
                  </w:sdt>
                  <w:r w:rsidRPr="003960AF">
                    <w:rPr>
                      <w:rFonts w:eastAsia="Times New Roman"/>
                      <w:b/>
                      <w:sz w:val="20"/>
                      <w:szCs w:val="20"/>
                      <w:lang w:eastAsia="sk-SK"/>
                    </w:rPr>
                    <w:t xml:space="preserve">  Súhlasné s návrhom na dopracovanie</w:t>
                  </w:r>
                </w:p>
              </w:tc>
              <w:tc>
                <w:tcPr>
                  <w:tcW w:w="2534" w:type="dxa"/>
                </w:tcPr>
                <w:p w14:paraId="62699E82" w14:textId="77777777" w:rsidR="00B32768" w:rsidRPr="003960AF" w:rsidRDefault="00B32768" w:rsidP="00DF7D27">
                  <w:pPr>
                    <w:ind w:right="459"/>
                    <w:rPr>
                      <w:rFonts w:eastAsia="Times New Roman"/>
                      <w:b/>
                      <w:sz w:val="20"/>
                      <w:szCs w:val="20"/>
                      <w:lang w:eastAsia="sk-SK"/>
                    </w:rPr>
                  </w:pPr>
                  <w:sdt>
                    <w:sdtPr>
                      <w:rPr>
                        <w:rFonts w:eastAsia="Times New Roman"/>
                        <w:b/>
                        <w:sz w:val="20"/>
                        <w:szCs w:val="20"/>
                        <w:lang w:eastAsia="sk-SK"/>
                      </w:rPr>
                      <w:id w:val="-647822913"/>
                      <w14:checkbox>
                        <w14:checked w14:val="1"/>
                        <w14:checkedState w14:val="2612" w14:font="MS Gothic"/>
                        <w14:uncheckedState w14:val="2610" w14:font="MS Gothic"/>
                      </w14:checkbox>
                    </w:sdtPr>
                    <w:sdtContent>
                      <w:r w:rsidRPr="003960AF">
                        <w:rPr>
                          <w:rFonts w:ascii="Segoe UI Symbol" w:eastAsia="MS Gothic" w:hAnsi="Segoe UI Symbol" w:cs="Segoe UI Symbol"/>
                          <w:b/>
                          <w:sz w:val="20"/>
                          <w:szCs w:val="20"/>
                          <w:lang w:eastAsia="sk-SK"/>
                        </w:rPr>
                        <w:t>☒</w:t>
                      </w:r>
                    </w:sdtContent>
                  </w:sdt>
                  <w:r w:rsidRPr="003960AF">
                    <w:rPr>
                      <w:rFonts w:eastAsia="Times New Roman"/>
                      <w:b/>
                      <w:sz w:val="20"/>
                      <w:szCs w:val="20"/>
                      <w:lang w:eastAsia="sk-SK"/>
                    </w:rPr>
                    <w:t xml:space="preserve">  Nesúhlasné</w:t>
                  </w:r>
                </w:p>
              </w:tc>
            </w:tr>
          </w:tbl>
          <w:p w14:paraId="68772DDD" w14:textId="77777777" w:rsidR="00B32768" w:rsidRPr="003960AF" w:rsidRDefault="00B32768" w:rsidP="00DF7D27">
            <w:pPr>
              <w:jc w:val="both"/>
              <w:rPr>
                <w:rFonts w:eastAsia="Times New Roman"/>
                <w:b/>
                <w:sz w:val="20"/>
                <w:szCs w:val="20"/>
                <w:lang w:eastAsia="sk-SK"/>
              </w:rPr>
            </w:pPr>
            <w:r w:rsidRPr="003960AF">
              <w:rPr>
                <w:rFonts w:eastAsia="Times New Roman"/>
                <w:b/>
                <w:sz w:val="20"/>
                <w:szCs w:val="20"/>
                <w:lang w:eastAsia="sk-SK"/>
              </w:rPr>
              <w:t>Uveďte pripomienky zo stanoviska Komisie z časti II. spolu s Vaším vyhodnotením:</w:t>
            </w:r>
          </w:p>
          <w:p w14:paraId="3F276AFA" w14:textId="77777777" w:rsidR="00B32768" w:rsidRPr="003960AF" w:rsidRDefault="00B32768" w:rsidP="00DF7D27">
            <w:pPr>
              <w:jc w:val="both"/>
              <w:rPr>
                <w:rFonts w:eastAsia="Times New Roman"/>
                <w:b/>
                <w:sz w:val="20"/>
                <w:szCs w:val="20"/>
                <w:lang w:eastAsia="sk-SK"/>
              </w:rPr>
            </w:pPr>
          </w:p>
          <w:p w14:paraId="663FBDAD" w14:textId="77777777" w:rsidR="00B32768" w:rsidRPr="003960AF" w:rsidRDefault="00B32768" w:rsidP="00DF7D27">
            <w:pPr>
              <w:tabs>
                <w:tab w:val="center" w:pos="6379"/>
              </w:tabs>
              <w:suppressAutoHyphens/>
              <w:spacing w:line="100" w:lineRule="atLeast"/>
              <w:ind w:right="-2"/>
              <w:jc w:val="both"/>
              <w:rPr>
                <w:rFonts w:eastAsia="Times New Roman"/>
                <w:b/>
                <w:bCs/>
                <w:sz w:val="20"/>
                <w:szCs w:val="20"/>
                <w:lang w:eastAsia="ar-SA"/>
              </w:rPr>
            </w:pPr>
            <w:r w:rsidRPr="003960AF">
              <w:rPr>
                <w:rFonts w:eastAsia="Times New Roman"/>
                <w:b/>
                <w:bCs/>
                <w:sz w:val="20"/>
                <w:szCs w:val="20"/>
                <w:lang w:eastAsia="ar-SA"/>
              </w:rPr>
              <w:t>K doložke vybraných vplyvov</w:t>
            </w:r>
          </w:p>
          <w:p w14:paraId="365C9347" w14:textId="77777777" w:rsidR="00B32768" w:rsidRPr="003960AF" w:rsidRDefault="00B32768" w:rsidP="00DF7D27">
            <w:pPr>
              <w:suppressAutoHyphens/>
              <w:spacing w:line="100" w:lineRule="atLeast"/>
              <w:jc w:val="both"/>
              <w:rPr>
                <w:rFonts w:eastAsia="Times New Roman"/>
                <w:sz w:val="20"/>
                <w:szCs w:val="20"/>
                <w:lang w:eastAsia="ar-SA"/>
              </w:rPr>
            </w:pPr>
            <w:r w:rsidRPr="003960AF">
              <w:rPr>
                <w:rFonts w:eastAsia="Times New Roman"/>
                <w:sz w:val="20"/>
                <w:szCs w:val="20"/>
                <w:lang w:eastAsia="ar-SA"/>
              </w:rPr>
              <w:t>V </w:t>
            </w:r>
            <w:r w:rsidRPr="003960AF">
              <w:rPr>
                <w:rFonts w:eastAsia="Times New Roman"/>
                <w:bCs/>
                <w:sz w:val="20"/>
                <w:szCs w:val="20"/>
                <w:lang w:eastAsia="ar-SA"/>
              </w:rPr>
              <w:t>Doložke vybraných vplyvov</w:t>
            </w:r>
            <w:r w:rsidRPr="003960AF">
              <w:rPr>
                <w:rFonts w:eastAsia="Times New Roman"/>
                <w:sz w:val="20"/>
                <w:szCs w:val="20"/>
                <w:lang w:eastAsia="ar-SA"/>
              </w:rPr>
              <w:t xml:space="preserve"> žiada Komisia v bode 8. Preskúmanie účelnosti,  konkretizovať čas a kritériá preskúmania navrhovanej zmeny právnej úpravy.</w:t>
            </w:r>
          </w:p>
          <w:p w14:paraId="188AE72F" w14:textId="77777777" w:rsidR="00B32768" w:rsidRPr="003960AF" w:rsidRDefault="00B32768" w:rsidP="00DF7D27">
            <w:pPr>
              <w:suppressAutoHyphens/>
              <w:spacing w:line="100" w:lineRule="atLeast"/>
              <w:jc w:val="both"/>
              <w:rPr>
                <w:rFonts w:eastAsia="Times New Roman"/>
                <w:sz w:val="20"/>
                <w:szCs w:val="20"/>
              </w:rPr>
            </w:pPr>
            <w:r w:rsidRPr="003960AF">
              <w:rPr>
                <w:rFonts w:eastAsia="Times New Roman"/>
                <w:b/>
                <w:sz w:val="20"/>
                <w:szCs w:val="20"/>
                <w:u w:val="single"/>
                <w:lang w:eastAsia="ar-SA"/>
              </w:rPr>
              <w:t>Odôvodnenie:</w:t>
            </w:r>
            <w:r w:rsidRPr="003960AF">
              <w:rPr>
                <w:rFonts w:eastAsia="Times New Roman"/>
                <w:sz w:val="20"/>
                <w:szCs w:val="20"/>
                <w:lang w:eastAsia="ar-SA"/>
              </w:rPr>
              <w:t xml:space="preserve"> Predkladateľ v bode 8. uviedol veľmi všeobecne, že </w:t>
            </w:r>
            <w:r w:rsidRPr="003960AF">
              <w:rPr>
                <w:rFonts w:eastAsia="Times New Roman"/>
                <w:sz w:val="20"/>
                <w:szCs w:val="20"/>
                <w:lang w:eastAsia="sk-SK"/>
              </w:rPr>
              <w:t xml:space="preserve">preskúmanie účinnosti a účelnosti navrhovaného predpisu bude vykonávané priebežne po nadobudnutí účinnosti, </w:t>
            </w:r>
            <w:r w:rsidRPr="003960AF">
              <w:rPr>
                <w:rFonts w:eastAsia="Times New Roman"/>
                <w:sz w:val="20"/>
                <w:szCs w:val="20"/>
                <w:lang w:eastAsia="ar-SA"/>
              </w:rPr>
              <w:t>a preto Komisia žiada, aby doplnil  čas a na základe akých kritérií chce preskúmať účelnosť navrhovanej zmeny.</w:t>
            </w:r>
          </w:p>
          <w:p w14:paraId="23D3A821" w14:textId="77777777" w:rsidR="00B32768" w:rsidRPr="003960AF" w:rsidRDefault="00B32768" w:rsidP="00DF7D27">
            <w:pPr>
              <w:tabs>
                <w:tab w:val="center" w:pos="6379"/>
              </w:tabs>
              <w:suppressAutoHyphens/>
              <w:spacing w:line="100" w:lineRule="atLeast"/>
              <w:ind w:right="-2"/>
              <w:jc w:val="both"/>
              <w:rPr>
                <w:rFonts w:eastAsia="Times New Roman"/>
                <w:bCs/>
                <w:sz w:val="20"/>
                <w:szCs w:val="20"/>
                <w:lang w:eastAsia="ar-SA"/>
              </w:rPr>
            </w:pPr>
          </w:p>
          <w:p w14:paraId="09E5BA5B" w14:textId="77777777" w:rsidR="00B32768" w:rsidRDefault="00B32768" w:rsidP="00DF7D27">
            <w:pPr>
              <w:tabs>
                <w:tab w:val="center" w:pos="6379"/>
              </w:tabs>
              <w:suppressAutoHyphens/>
              <w:spacing w:line="100" w:lineRule="atLeast"/>
              <w:ind w:right="-2"/>
              <w:jc w:val="both"/>
              <w:rPr>
                <w:rFonts w:eastAsia="Times New Roman"/>
                <w:b/>
                <w:bCs/>
                <w:sz w:val="20"/>
                <w:szCs w:val="20"/>
                <w:lang w:eastAsia="ar-SA"/>
              </w:rPr>
            </w:pPr>
            <w:r>
              <w:rPr>
                <w:rFonts w:eastAsia="Times New Roman"/>
                <w:b/>
                <w:bCs/>
                <w:sz w:val="20"/>
                <w:szCs w:val="20"/>
                <w:lang w:eastAsia="ar-SA"/>
              </w:rPr>
              <w:t xml:space="preserve">Vyhodnotenie pripomienok zo strany predkladateľa: </w:t>
            </w:r>
          </w:p>
          <w:p w14:paraId="4D2AE9A8" w14:textId="77777777" w:rsidR="00B32768" w:rsidRDefault="00B32768" w:rsidP="00DF7D27">
            <w:pPr>
              <w:tabs>
                <w:tab w:val="center" w:pos="6379"/>
              </w:tabs>
              <w:suppressAutoHyphens/>
              <w:spacing w:line="100" w:lineRule="atLeast"/>
              <w:ind w:right="-2"/>
              <w:jc w:val="both"/>
              <w:rPr>
                <w:rFonts w:eastAsia="Times New Roman"/>
                <w:b/>
                <w:bCs/>
                <w:sz w:val="20"/>
                <w:szCs w:val="20"/>
                <w:lang w:eastAsia="ar-SA"/>
              </w:rPr>
            </w:pPr>
            <w:r>
              <w:rPr>
                <w:rFonts w:eastAsia="Times New Roman"/>
                <w:b/>
                <w:bCs/>
                <w:sz w:val="20"/>
                <w:szCs w:val="20"/>
                <w:lang w:eastAsia="ar-SA"/>
              </w:rPr>
              <w:t xml:space="preserve">Pripomienka zapracovaná, k preskúmaniu účelnosti by malo dôjsť pri ďalšej najbližšej novelizácii zákona č. 305/2013 Z. z. o e-Governmente, najneskôr však 3 roky po nadobudnutí účinnosti predkladaného zákona, t. j. v druhej polovici roku 2025. </w:t>
            </w:r>
          </w:p>
          <w:p w14:paraId="0252BF81" w14:textId="77777777" w:rsidR="00B32768" w:rsidRPr="003960AF" w:rsidRDefault="00B32768" w:rsidP="00DF7D27">
            <w:pPr>
              <w:tabs>
                <w:tab w:val="center" w:pos="6379"/>
              </w:tabs>
              <w:suppressAutoHyphens/>
              <w:spacing w:line="100" w:lineRule="atLeast"/>
              <w:ind w:right="-2"/>
              <w:jc w:val="both"/>
              <w:rPr>
                <w:rFonts w:eastAsia="Times New Roman"/>
                <w:b/>
                <w:bCs/>
                <w:sz w:val="20"/>
                <w:szCs w:val="20"/>
                <w:lang w:eastAsia="ar-SA"/>
              </w:rPr>
            </w:pPr>
          </w:p>
          <w:p w14:paraId="3B8979CD" w14:textId="77777777" w:rsidR="00B32768" w:rsidRPr="003960AF" w:rsidRDefault="00B32768" w:rsidP="00DF7D27">
            <w:pPr>
              <w:spacing w:line="240" w:lineRule="atLeast"/>
              <w:jc w:val="both"/>
              <w:rPr>
                <w:rFonts w:eastAsia="Times New Roman"/>
                <w:b/>
                <w:bCs/>
                <w:sz w:val="20"/>
                <w:szCs w:val="20"/>
                <w:lang w:eastAsia="ar-SA"/>
              </w:rPr>
            </w:pPr>
            <w:r w:rsidRPr="003960AF">
              <w:rPr>
                <w:rFonts w:eastAsia="Times New Roman"/>
                <w:b/>
                <w:bCs/>
                <w:sz w:val="20"/>
                <w:szCs w:val="20"/>
                <w:lang w:eastAsia="ar-SA"/>
              </w:rPr>
              <w:t>K vplyvom na rozpočet verejnej správy</w:t>
            </w:r>
          </w:p>
          <w:p w14:paraId="24128152" w14:textId="77777777" w:rsidR="00B32768" w:rsidRPr="003960AF" w:rsidRDefault="00B32768" w:rsidP="00DF7D27">
            <w:pPr>
              <w:suppressAutoHyphens/>
              <w:spacing w:line="100" w:lineRule="atLeast"/>
              <w:jc w:val="both"/>
              <w:rPr>
                <w:rFonts w:eastAsia="Times New Roman"/>
                <w:color w:val="000000"/>
                <w:sz w:val="20"/>
                <w:szCs w:val="20"/>
              </w:rPr>
            </w:pPr>
            <w:r w:rsidRPr="003960AF">
              <w:rPr>
                <w:rFonts w:eastAsia="Times New Roman"/>
                <w:color w:val="000000"/>
                <w:sz w:val="20"/>
                <w:szCs w:val="20"/>
                <w:lang w:eastAsia="ar-SA"/>
              </w:rPr>
              <w:t xml:space="preserve">V doložke vybraných vplyvov je uvedený negatívny vplyv na rozpočet verejnej správy ako rozpočtovo zabezpečený. V bode 10. Poznámky je k vplyvom na rozpočet verejnej správy uvedené, že implementácia opatrení v informačných systémoch bude financovaná z rozpočtovej kapitoly MIRRI SR, a to aj zo štátneho rozpočtu, ako aj zo zdrojov EÚ. V analýze vplyvov na rozpočet verejnej správy sú v tab. č. 1 kvantifikované negatívne vplyvy na rozpočet na rok 2022 v sume 700 tis. eur iba ako rozpočtové prostriedky. Uvedené je potrebné zosúladiť, resp. v prípade financovania zo zdrojov EÚ, je tieto prostriedky potrebné zohľadniť v relevantných tabuľkách analýzy vplyvov na rozpočet verejnej správy. </w:t>
            </w:r>
          </w:p>
          <w:p w14:paraId="74F7FB15" w14:textId="77777777" w:rsidR="00B32768" w:rsidRPr="003960AF" w:rsidRDefault="00B32768" w:rsidP="00DF7D27">
            <w:pPr>
              <w:suppressAutoHyphens/>
              <w:spacing w:line="100" w:lineRule="atLeast"/>
              <w:jc w:val="both"/>
              <w:rPr>
                <w:rFonts w:eastAsia="Times New Roman"/>
                <w:color w:val="000000"/>
                <w:sz w:val="20"/>
                <w:szCs w:val="20"/>
                <w:lang w:eastAsia="ar-SA"/>
              </w:rPr>
            </w:pPr>
          </w:p>
          <w:p w14:paraId="68683BBA" w14:textId="77777777" w:rsidR="00B32768" w:rsidRPr="00D96403" w:rsidRDefault="00B32768" w:rsidP="00DF7D27">
            <w:pPr>
              <w:suppressAutoHyphens/>
              <w:spacing w:line="100" w:lineRule="atLeast"/>
              <w:jc w:val="both"/>
              <w:rPr>
                <w:rFonts w:eastAsia="Times New Roman"/>
                <w:sz w:val="20"/>
                <w:szCs w:val="20"/>
                <w:lang w:eastAsia="ar-SA"/>
              </w:rPr>
            </w:pPr>
            <w:r w:rsidRPr="003960AF">
              <w:rPr>
                <w:rFonts w:eastAsia="Times New Roman"/>
                <w:color w:val="000000"/>
                <w:sz w:val="20"/>
                <w:szCs w:val="20"/>
                <w:lang w:eastAsia="ar-SA"/>
              </w:rPr>
              <w:t xml:space="preserve">V analýze vplyvov na rozpočet verejnej správy v tabuľke č. 1 žiada Komisia </w:t>
            </w:r>
            <w:r w:rsidRPr="00D96403">
              <w:rPr>
                <w:rFonts w:eastAsia="Times New Roman"/>
                <w:color w:val="000000"/>
                <w:sz w:val="20"/>
                <w:szCs w:val="20"/>
                <w:lang w:eastAsia="ar-SA"/>
              </w:rPr>
              <w:t xml:space="preserve">doplniť príslušný program v rámci programovej štruktúry MIRRI SR. V textovej časti analýzy </w:t>
            </w:r>
            <w:r w:rsidRPr="00D96403">
              <w:rPr>
                <w:rFonts w:eastAsia="Times New Roman"/>
                <w:sz w:val="20"/>
                <w:szCs w:val="20"/>
                <w:lang w:eastAsia="ar-SA"/>
              </w:rPr>
              <w:t>sa spomína iba dopad na Ústredný portál verejnej správy (ÚPVS). Na prvku 0EK130A – ÚPVS/CUD je momentálne v návrhu rozpočtu verejnej správy na roky 2022 až 2024 na rok 2022 rozpísaných celkovo 11 363 394 eur, avšak z toho kapitálové výdavky sú rozpísané iba v sume 540 394 eur. Uvedené žiada Komisia zosúladiť.</w:t>
            </w:r>
          </w:p>
          <w:p w14:paraId="01C84C61" w14:textId="77777777" w:rsidR="00B32768" w:rsidRPr="00D96403" w:rsidRDefault="00B32768" w:rsidP="00DF7D27">
            <w:pPr>
              <w:suppressAutoHyphens/>
              <w:spacing w:line="100" w:lineRule="atLeast"/>
              <w:jc w:val="both"/>
              <w:rPr>
                <w:rFonts w:eastAsia="Times New Roman"/>
                <w:color w:val="000000"/>
                <w:sz w:val="20"/>
                <w:szCs w:val="20"/>
                <w:lang w:eastAsia="ar-SA"/>
              </w:rPr>
            </w:pPr>
          </w:p>
          <w:p w14:paraId="7C26D7BD" w14:textId="77777777" w:rsidR="00B32768" w:rsidRPr="003960AF" w:rsidRDefault="00B32768" w:rsidP="00DF7D27">
            <w:pPr>
              <w:suppressAutoHyphens/>
              <w:spacing w:line="100" w:lineRule="atLeast"/>
              <w:jc w:val="both"/>
              <w:rPr>
                <w:rFonts w:eastAsia="Times New Roman"/>
                <w:color w:val="000000"/>
                <w:sz w:val="20"/>
                <w:szCs w:val="20"/>
                <w:lang w:eastAsia="ar-SA"/>
              </w:rPr>
            </w:pPr>
            <w:r w:rsidRPr="00D96403">
              <w:rPr>
                <w:rFonts w:eastAsia="Times New Roman"/>
                <w:color w:val="000000"/>
                <w:sz w:val="20"/>
                <w:szCs w:val="20"/>
                <w:lang w:eastAsia="ar-SA"/>
              </w:rPr>
              <w:t>V tabuľke č. 1 v časti týkajúcej sa financovania zabezpečeného v rozpočte žiada Komisia uviesť kapitolu štátneho rozpočtu, v ktorej sú finančné prostriedky zabezpečené a sumu výdavkov. Zároveň je potrebné aj v bode 2.1.1. Financovanie návrhu uviesť konkrétnu kapitolu štátneho rozpočtu.</w:t>
            </w:r>
            <w:r w:rsidRPr="003960AF">
              <w:rPr>
                <w:rFonts w:eastAsia="Times New Roman"/>
                <w:color w:val="000000"/>
                <w:sz w:val="20"/>
                <w:szCs w:val="20"/>
                <w:lang w:eastAsia="ar-SA"/>
              </w:rPr>
              <w:t xml:space="preserve"> </w:t>
            </w:r>
          </w:p>
          <w:p w14:paraId="792F57D5" w14:textId="77777777" w:rsidR="00B32768" w:rsidRPr="003960AF" w:rsidRDefault="00B32768" w:rsidP="00DF7D27">
            <w:pPr>
              <w:suppressAutoHyphens/>
              <w:spacing w:line="100" w:lineRule="atLeast"/>
              <w:jc w:val="both"/>
              <w:rPr>
                <w:rFonts w:eastAsia="Times New Roman"/>
                <w:color w:val="000000"/>
                <w:sz w:val="20"/>
                <w:szCs w:val="20"/>
                <w:lang w:eastAsia="ar-SA"/>
              </w:rPr>
            </w:pPr>
          </w:p>
          <w:p w14:paraId="284985FC" w14:textId="77777777" w:rsidR="00B32768" w:rsidRPr="00EB1B37" w:rsidRDefault="00B32768" w:rsidP="00DF7D27">
            <w:pPr>
              <w:suppressAutoHyphens/>
              <w:spacing w:line="100" w:lineRule="atLeast"/>
              <w:jc w:val="both"/>
              <w:rPr>
                <w:rFonts w:eastAsia="Times New Roman"/>
                <w:i/>
                <w:iCs/>
                <w:color w:val="000000"/>
                <w:sz w:val="20"/>
                <w:szCs w:val="20"/>
                <w:lang w:eastAsia="ar-SA"/>
              </w:rPr>
            </w:pPr>
            <w:r w:rsidRPr="00EB1B37">
              <w:rPr>
                <w:rFonts w:eastAsia="Times New Roman"/>
                <w:color w:val="000000"/>
                <w:sz w:val="20"/>
                <w:szCs w:val="20"/>
                <w:lang w:eastAsia="ar-SA"/>
              </w:rPr>
              <w:t>V tabuľke č. 4 je potrebné rozpísať kvantifikované kapitálové výdavky aj na príslušnú kategóriu výdavkov podľa ekonomickej klasifikácie rozpočtovej klasifikácie.</w:t>
            </w:r>
          </w:p>
          <w:p w14:paraId="27A5D4E9" w14:textId="77777777" w:rsidR="00B32768" w:rsidRPr="00EB1B37" w:rsidRDefault="00B32768" w:rsidP="00DF7D27">
            <w:pPr>
              <w:suppressAutoHyphens/>
              <w:spacing w:line="100" w:lineRule="atLeast"/>
              <w:jc w:val="both"/>
              <w:rPr>
                <w:rFonts w:eastAsia="Times New Roman"/>
                <w:sz w:val="20"/>
                <w:szCs w:val="20"/>
                <w:lang w:eastAsia="ar-SA"/>
              </w:rPr>
            </w:pPr>
          </w:p>
          <w:p w14:paraId="1FE5C99C" w14:textId="77777777" w:rsidR="00B32768" w:rsidRPr="00054F88" w:rsidRDefault="00B32768" w:rsidP="00DF7D27">
            <w:pPr>
              <w:suppressAutoHyphens/>
              <w:spacing w:line="100" w:lineRule="atLeast"/>
              <w:jc w:val="both"/>
              <w:rPr>
                <w:rFonts w:eastAsia="Times New Roman"/>
                <w:sz w:val="20"/>
                <w:szCs w:val="20"/>
                <w:lang w:eastAsia="sk-SK"/>
              </w:rPr>
            </w:pPr>
            <w:r w:rsidRPr="00EA1A46">
              <w:rPr>
                <w:rFonts w:eastAsia="Times New Roman"/>
                <w:sz w:val="20"/>
                <w:szCs w:val="20"/>
                <w:lang w:eastAsia="ar-SA"/>
              </w:rPr>
              <w:t xml:space="preserve">V doložke vybraných vplyvov v bode 10. Poznámky je k vplyvom na informatizáciu uvedené, že vplyvy vyvolané úpravami v informačných systémoch iných rezortov bezprostredne súvisiacich s legislatívnymi zmenami vyplývajúcich z tohto návrhu zákona „majú možnosť jednotlivé orgány verejnej moci (správcovia kapitol) vyčísliť a uplatniť k tomuto materiálu v rámci medzirezortného pripomienkového konania, inak si ich dotknuté kapitoly zabezpečia v rámci schváleného limitu výdavkov na príslušný rozpočtový rok, bez dodatočných požiadaviek na rozpočet verejnej správy“. </w:t>
            </w:r>
            <w:r w:rsidRPr="00054F88">
              <w:rPr>
                <w:rFonts w:eastAsia="Times New Roman"/>
                <w:sz w:val="20"/>
                <w:szCs w:val="20"/>
                <w:lang w:eastAsia="ar-SA"/>
              </w:rPr>
              <w:t>Vplyvy materiálu na rozpočet verejnej správy majú byť kvantifikované už pri predkladaní materiálu na predbežné pripomienkové konanie v zmysle Jednotnej metodiky na posudzovanie vybraných vplyvov, aby bolo možné ich posúdenie zo strany MF SR. V nadväznosti na uvedené žiada Komisia dopracovať analýzu vplyvov na rozpočet o všetky predpokladané vplyvy na rozpočet verejnej správy v členení podľa jednotlivých rokov, subjektov vrátane obcí a VÚC atď., pričom je potrebné vyhodnotiť a validovať oprávnenosť a výšku vyvolaných nákladov na úpravu informačných systémov, avizovaných zo strany jednotlivých orgánov verejnej moci v rámci prebiehajúceho PPK.</w:t>
            </w:r>
          </w:p>
          <w:p w14:paraId="4D742CC7" w14:textId="77777777" w:rsidR="00B32768" w:rsidRPr="003960AF" w:rsidRDefault="00B32768" w:rsidP="00DF7D27">
            <w:pPr>
              <w:suppressAutoHyphens/>
              <w:spacing w:line="100" w:lineRule="atLeast"/>
              <w:jc w:val="both"/>
              <w:rPr>
                <w:rFonts w:eastAsia="Times New Roman"/>
                <w:sz w:val="20"/>
                <w:szCs w:val="20"/>
                <w:lang w:eastAsia="ar-SA"/>
              </w:rPr>
            </w:pPr>
            <w:r w:rsidRPr="00A050B9">
              <w:rPr>
                <w:rFonts w:eastAsia="Times New Roman"/>
                <w:sz w:val="20"/>
                <w:szCs w:val="20"/>
                <w:lang w:eastAsia="ar-SA"/>
              </w:rPr>
              <w:t>Zároveň Komisia žiada všetky vplyvy súvisiace s realizáciou návrhu zákona zabezpečiť v rámci schválených limitov dotknutých kapitol štátneho rozpočtu, resp. subjektov verejnej správy na príslušný rozpočtový rok.</w:t>
            </w:r>
            <w:r w:rsidRPr="003960AF">
              <w:rPr>
                <w:rFonts w:eastAsia="Times New Roman"/>
                <w:sz w:val="20"/>
                <w:szCs w:val="20"/>
                <w:lang w:eastAsia="ar-SA"/>
              </w:rPr>
              <w:t xml:space="preserve"> </w:t>
            </w:r>
          </w:p>
          <w:p w14:paraId="7CE6B697" w14:textId="77777777" w:rsidR="00B32768" w:rsidRDefault="00B32768" w:rsidP="00DF7D27">
            <w:pPr>
              <w:spacing w:line="240" w:lineRule="atLeast"/>
              <w:jc w:val="both"/>
              <w:rPr>
                <w:rFonts w:eastAsia="Times New Roman"/>
                <w:b/>
                <w:bCs/>
                <w:sz w:val="20"/>
                <w:szCs w:val="20"/>
                <w:lang w:eastAsia="ar-SA"/>
              </w:rPr>
            </w:pPr>
          </w:p>
          <w:p w14:paraId="39F7B910" w14:textId="77777777" w:rsidR="00B32768" w:rsidRDefault="00B32768" w:rsidP="00DF7D27">
            <w:pPr>
              <w:spacing w:line="240" w:lineRule="atLeast"/>
              <w:jc w:val="both"/>
              <w:rPr>
                <w:rFonts w:eastAsia="Times New Roman"/>
                <w:b/>
                <w:bCs/>
                <w:sz w:val="20"/>
                <w:szCs w:val="20"/>
                <w:lang w:eastAsia="ar-SA"/>
              </w:rPr>
            </w:pPr>
            <w:r>
              <w:rPr>
                <w:rFonts w:eastAsia="Times New Roman"/>
                <w:b/>
                <w:bCs/>
                <w:sz w:val="20"/>
                <w:szCs w:val="20"/>
                <w:lang w:eastAsia="ar-SA"/>
              </w:rPr>
              <w:t xml:space="preserve">Vyhodnotenie pripomienok zo strany predkladateľa: </w:t>
            </w:r>
          </w:p>
          <w:p w14:paraId="6F837E8A" w14:textId="77777777" w:rsidR="00B32768" w:rsidRDefault="00B32768" w:rsidP="00DF7D27">
            <w:pPr>
              <w:spacing w:line="240" w:lineRule="atLeast"/>
              <w:jc w:val="both"/>
              <w:rPr>
                <w:rFonts w:eastAsia="Times New Roman"/>
                <w:b/>
                <w:bCs/>
                <w:sz w:val="20"/>
                <w:szCs w:val="20"/>
                <w:lang w:eastAsia="ar-SA"/>
              </w:rPr>
            </w:pPr>
            <w:r w:rsidRPr="00D9176B">
              <w:rPr>
                <w:rFonts w:eastAsia="Times New Roman"/>
                <w:b/>
                <w:bCs/>
                <w:sz w:val="20"/>
                <w:szCs w:val="20"/>
                <w:lang w:eastAsia="ar-SA"/>
              </w:rPr>
              <w:t xml:space="preserve">Vzhľadom na to, že materiál bol po PPK na základe doručených pripomienok </w:t>
            </w:r>
            <w:r>
              <w:rPr>
                <w:rFonts w:eastAsia="Times New Roman"/>
                <w:b/>
                <w:bCs/>
                <w:sz w:val="20"/>
                <w:szCs w:val="20"/>
                <w:lang w:eastAsia="ar-SA"/>
              </w:rPr>
              <w:t xml:space="preserve">v MPK </w:t>
            </w:r>
            <w:r w:rsidRPr="00D9176B">
              <w:rPr>
                <w:rFonts w:eastAsia="Times New Roman"/>
                <w:b/>
                <w:bCs/>
                <w:sz w:val="20"/>
                <w:szCs w:val="20"/>
                <w:lang w:eastAsia="ar-SA"/>
              </w:rPr>
              <w:t>upravený a niektoré pôvodne navrhované úpravy boli z návrhu vypustené</w:t>
            </w:r>
            <w:r>
              <w:rPr>
                <w:rFonts w:eastAsia="Times New Roman"/>
                <w:b/>
                <w:bCs/>
                <w:sz w:val="20"/>
                <w:szCs w:val="20"/>
                <w:lang w:eastAsia="ar-SA"/>
              </w:rPr>
              <w:t>, resp. rozšírené alebo doplnené nové, bola upravená aj pôvodná analýza vplyvov na rozpočet verejnej správy.</w:t>
            </w:r>
          </w:p>
          <w:p w14:paraId="229A6B45" w14:textId="77777777" w:rsidR="00B32768" w:rsidRDefault="00B32768" w:rsidP="00DF7D27">
            <w:pPr>
              <w:spacing w:line="240" w:lineRule="atLeast"/>
              <w:jc w:val="both"/>
              <w:rPr>
                <w:rFonts w:eastAsia="Times New Roman"/>
                <w:b/>
                <w:bCs/>
                <w:sz w:val="20"/>
                <w:szCs w:val="20"/>
                <w:lang w:eastAsia="ar-SA"/>
              </w:rPr>
            </w:pPr>
            <w:r w:rsidRPr="009F0D68">
              <w:rPr>
                <w:rFonts w:eastAsia="Times New Roman"/>
                <w:b/>
                <w:bCs/>
                <w:sz w:val="20"/>
                <w:szCs w:val="20"/>
                <w:lang w:eastAsia="ar-SA"/>
              </w:rPr>
              <w:t>Navrhované zmeny si budú vyžadovať úpravy informačných systémov v rámci ÚPVS</w:t>
            </w:r>
            <w:r>
              <w:rPr>
                <w:rFonts w:eastAsia="Times New Roman"/>
                <w:b/>
                <w:bCs/>
                <w:sz w:val="20"/>
                <w:szCs w:val="20"/>
                <w:lang w:eastAsia="ar-SA"/>
              </w:rPr>
              <w:t xml:space="preserve"> v správe MIRRI SR</w:t>
            </w:r>
            <w:r w:rsidRPr="009F0D68">
              <w:rPr>
                <w:rFonts w:eastAsia="Times New Roman"/>
                <w:b/>
                <w:bCs/>
                <w:sz w:val="20"/>
                <w:szCs w:val="20"/>
                <w:lang w:eastAsia="ar-SA"/>
              </w:rPr>
              <w:t xml:space="preserve">. </w:t>
            </w:r>
            <w:r>
              <w:rPr>
                <w:rFonts w:eastAsia="Times New Roman"/>
                <w:b/>
                <w:bCs/>
                <w:sz w:val="20"/>
                <w:szCs w:val="20"/>
                <w:lang w:eastAsia="ar-SA"/>
              </w:rPr>
              <w:t xml:space="preserve">Náklady súvisiace so zabezpečením povinnosti MIRRI SR v oblasti autentifikácie budú mať vplyv na </w:t>
            </w:r>
            <w:r>
              <w:rPr>
                <w:rFonts w:eastAsia="Times New Roman"/>
                <w:b/>
                <w:bCs/>
                <w:sz w:val="20"/>
                <w:szCs w:val="20"/>
                <w:lang w:eastAsia="ar-SA"/>
              </w:rPr>
              <w:lastRenderedPageBreak/>
              <w:t xml:space="preserve">personálne kapacity MIRRI SR – predkladateľ vyplnil tabuľku č. 5 (zamestnanosť) analýzy a uvedené zohľadnil aj v tabuľke č. 1 a tabuľke č. 4 analýzy. </w:t>
            </w:r>
          </w:p>
          <w:p w14:paraId="191208B7" w14:textId="77777777" w:rsidR="00B32768" w:rsidRDefault="00B32768" w:rsidP="00DF7D27">
            <w:pPr>
              <w:spacing w:line="240" w:lineRule="atLeast"/>
              <w:jc w:val="both"/>
              <w:rPr>
                <w:rFonts w:eastAsia="Times New Roman"/>
                <w:b/>
                <w:bCs/>
                <w:sz w:val="20"/>
                <w:szCs w:val="20"/>
                <w:lang w:eastAsia="ar-SA"/>
              </w:rPr>
            </w:pPr>
            <w:r w:rsidRPr="009F0D68">
              <w:rPr>
                <w:rFonts w:eastAsia="Times New Roman"/>
                <w:b/>
                <w:bCs/>
                <w:sz w:val="20"/>
                <w:szCs w:val="20"/>
                <w:lang w:eastAsia="ar-SA"/>
              </w:rPr>
              <w:t>Náklady vyplývajúce z</w:t>
            </w:r>
            <w:r>
              <w:rPr>
                <w:rFonts w:eastAsia="Times New Roman"/>
                <w:b/>
                <w:bCs/>
                <w:sz w:val="20"/>
                <w:szCs w:val="20"/>
                <w:lang w:eastAsia="ar-SA"/>
              </w:rPr>
              <w:t xml:space="preserve"> navrhovaných legislatívnych zmien</w:t>
            </w:r>
            <w:r w:rsidRPr="009F0D68">
              <w:rPr>
                <w:rFonts w:eastAsia="Times New Roman"/>
                <w:b/>
                <w:bCs/>
                <w:sz w:val="20"/>
                <w:szCs w:val="20"/>
                <w:lang w:eastAsia="ar-SA"/>
              </w:rPr>
              <w:t xml:space="preserve"> budú financované z kapitoly MIRRI SR, medzirezortný podprogram 0EK13 Informačné technológie financované zo štátneho rozpočtu – Ministerstvo investícií, regionálneho rozvoja a informatizácie SR, prvok podprogramu 0EK130A – ÚPVS/CUD (kapitálové výdavky)</w:t>
            </w:r>
            <w:r>
              <w:rPr>
                <w:rFonts w:eastAsia="Times New Roman"/>
                <w:b/>
                <w:bCs/>
                <w:sz w:val="20"/>
                <w:szCs w:val="20"/>
                <w:lang w:eastAsia="ar-SA"/>
              </w:rPr>
              <w:t xml:space="preserve"> a identifikované na rok 2023 – ako je špecifikované v analýze vplyvov na rozpočet verejnej správy,  podľa jednotlivých okruhov</w:t>
            </w:r>
            <w:r w:rsidRPr="009F0D68">
              <w:rPr>
                <w:rFonts w:eastAsia="Times New Roman"/>
                <w:b/>
                <w:bCs/>
                <w:sz w:val="20"/>
                <w:szCs w:val="20"/>
                <w:lang w:eastAsia="ar-SA"/>
              </w:rPr>
              <w:t xml:space="preserve">. </w:t>
            </w:r>
          </w:p>
          <w:p w14:paraId="63E5155E" w14:textId="77777777" w:rsidR="00B32768" w:rsidRDefault="00B32768" w:rsidP="00DF7D27">
            <w:pPr>
              <w:spacing w:line="240" w:lineRule="atLeast"/>
              <w:jc w:val="both"/>
              <w:rPr>
                <w:rFonts w:eastAsia="Times New Roman"/>
                <w:b/>
                <w:bCs/>
                <w:sz w:val="20"/>
                <w:szCs w:val="20"/>
                <w:lang w:eastAsia="ar-SA"/>
              </w:rPr>
            </w:pPr>
            <w:r w:rsidRPr="009F0D68">
              <w:rPr>
                <w:rFonts w:eastAsia="Times New Roman"/>
                <w:b/>
                <w:bCs/>
                <w:sz w:val="20"/>
                <w:szCs w:val="20"/>
                <w:lang w:eastAsia="ar-SA"/>
              </w:rPr>
              <w:t xml:space="preserve">Predkladateľ zapracoval aj pripomienku k tabuľke č. 4 analýzy. K pripomienke k bodu 10 doložky vplyvov predkladateľ spresňuje, že návrh novely zákona o e-Governmente (upravený </w:t>
            </w:r>
            <w:r>
              <w:rPr>
                <w:rFonts w:eastAsia="Times New Roman"/>
                <w:b/>
                <w:bCs/>
                <w:sz w:val="20"/>
                <w:szCs w:val="20"/>
                <w:lang w:eastAsia="ar-SA"/>
              </w:rPr>
              <w:t xml:space="preserve">na základe doručených vecných pripomienok </w:t>
            </w:r>
            <w:r w:rsidRPr="009F0D68">
              <w:rPr>
                <w:rFonts w:eastAsia="Times New Roman"/>
                <w:b/>
                <w:bCs/>
                <w:sz w:val="20"/>
                <w:szCs w:val="20"/>
                <w:lang w:eastAsia="ar-SA"/>
              </w:rPr>
              <w:t>po ukončení PPK</w:t>
            </w:r>
            <w:r>
              <w:rPr>
                <w:rFonts w:eastAsia="Times New Roman"/>
                <w:b/>
                <w:bCs/>
                <w:sz w:val="20"/>
                <w:szCs w:val="20"/>
                <w:lang w:eastAsia="ar-SA"/>
              </w:rPr>
              <w:t xml:space="preserve"> a MPK</w:t>
            </w:r>
            <w:r w:rsidRPr="009F0D68">
              <w:rPr>
                <w:rFonts w:eastAsia="Times New Roman"/>
                <w:b/>
                <w:bCs/>
                <w:sz w:val="20"/>
                <w:szCs w:val="20"/>
                <w:lang w:eastAsia="ar-SA"/>
              </w:rPr>
              <w:t>) bude mať dopad len na centrálne riešenia (t.j. zmeny ÚPVS a spoločných modulov), ktorých financovanie spadá do pôsobnosti kapitoly MIRRI SR a</w:t>
            </w:r>
            <w:r>
              <w:rPr>
                <w:rFonts w:eastAsia="Times New Roman"/>
                <w:b/>
                <w:bCs/>
                <w:sz w:val="20"/>
                <w:szCs w:val="20"/>
                <w:lang w:eastAsia="ar-SA"/>
              </w:rPr>
              <w:t> implementácia nastane v roku</w:t>
            </w:r>
            <w:r w:rsidRPr="009F0D68">
              <w:rPr>
                <w:rFonts w:eastAsia="Times New Roman"/>
                <w:b/>
                <w:bCs/>
                <w:sz w:val="20"/>
                <w:szCs w:val="20"/>
                <w:lang w:eastAsia="ar-SA"/>
              </w:rPr>
              <w:t xml:space="preserve"> 2023</w:t>
            </w:r>
            <w:r>
              <w:rPr>
                <w:rFonts w:eastAsia="Times New Roman"/>
                <w:b/>
                <w:bCs/>
                <w:sz w:val="20"/>
                <w:szCs w:val="20"/>
                <w:lang w:eastAsia="ar-SA"/>
              </w:rPr>
              <w:t xml:space="preserve"> a v oblasti autentifikácie aj v nasledujúcich rokoch (mzdové náklady v súvislosti s 2 zamestnancami na vedenie evidencie autentifikačných prostriedkov)</w:t>
            </w:r>
            <w:r w:rsidRPr="009F0D68">
              <w:rPr>
                <w:rFonts w:eastAsia="Times New Roman"/>
                <w:b/>
                <w:bCs/>
                <w:sz w:val="20"/>
                <w:szCs w:val="20"/>
                <w:lang w:eastAsia="ar-SA"/>
              </w:rPr>
              <w:t xml:space="preserve">. </w:t>
            </w:r>
          </w:p>
          <w:p w14:paraId="66719C86" w14:textId="77777777" w:rsidR="00B32768" w:rsidRDefault="00B32768" w:rsidP="00DF7D27">
            <w:pPr>
              <w:spacing w:line="240" w:lineRule="atLeast"/>
              <w:jc w:val="both"/>
              <w:rPr>
                <w:rFonts w:eastAsia="Times New Roman"/>
                <w:b/>
                <w:bCs/>
                <w:sz w:val="20"/>
                <w:szCs w:val="20"/>
                <w:lang w:eastAsia="ar-SA"/>
              </w:rPr>
            </w:pPr>
            <w:r>
              <w:rPr>
                <w:rFonts w:eastAsia="Times New Roman"/>
                <w:b/>
                <w:bCs/>
                <w:sz w:val="20"/>
                <w:szCs w:val="20"/>
                <w:lang w:eastAsia="ar-SA"/>
              </w:rPr>
              <w:t xml:space="preserve">Zároveň predkladateľ uvádza, že vplyvy súvisiace s návrhom zmien v oblasti zaručenej konverzie (najmä s úpravou IS EZZK) dnes nie je možné vyčísliť, tieto budú preto posudzované pri predkladaní novely </w:t>
            </w:r>
            <w:r w:rsidRPr="00F35D99">
              <w:rPr>
                <w:rFonts w:eastAsia="Times New Roman"/>
                <w:b/>
                <w:bCs/>
                <w:sz w:val="20"/>
                <w:szCs w:val="20"/>
                <w:lang w:eastAsia="ar-SA"/>
              </w:rPr>
              <w:t xml:space="preserve">vyhlášky MIRRI SR č. 70/2021 Z. z. o zaručenej konverzii </w:t>
            </w:r>
            <w:r>
              <w:rPr>
                <w:rFonts w:eastAsia="Times New Roman"/>
                <w:b/>
                <w:bCs/>
                <w:sz w:val="20"/>
                <w:szCs w:val="20"/>
                <w:lang w:eastAsia="ar-SA"/>
              </w:rPr>
              <w:t xml:space="preserve">na PPK osobitným legislatívnym procesom. </w:t>
            </w:r>
          </w:p>
          <w:p w14:paraId="2F8EB7AB" w14:textId="77777777" w:rsidR="00B32768" w:rsidRDefault="00B32768" w:rsidP="00DF7D27">
            <w:pPr>
              <w:spacing w:line="240" w:lineRule="atLeast"/>
              <w:jc w:val="both"/>
              <w:rPr>
                <w:rFonts w:eastAsia="Times New Roman"/>
                <w:b/>
                <w:bCs/>
                <w:sz w:val="20"/>
                <w:szCs w:val="20"/>
                <w:lang w:eastAsia="ar-SA"/>
              </w:rPr>
            </w:pPr>
            <w:r w:rsidRPr="009F0D68">
              <w:rPr>
                <w:rFonts w:eastAsia="Times New Roman"/>
                <w:b/>
                <w:bCs/>
                <w:sz w:val="20"/>
                <w:szCs w:val="20"/>
                <w:lang w:eastAsia="ar-SA"/>
              </w:rPr>
              <w:t xml:space="preserve">Návrh nebude mať dopad na iné orgány verejnej moci. </w:t>
            </w:r>
          </w:p>
          <w:p w14:paraId="1128DFAF" w14:textId="77777777" w:rsidR="00B32768" w:rsidRPr="009973F7" w:rsidRDefault="00B32768" w:rsidP="00DF7D27">
            <w:pPr>
              <w:spacing w:line="240" w:lineRule="atLeast"/>
              <w:jc w:val="both"/>
              <w:rPr>
                <w:rFonts w:eastAsia="Times New Roman"/>
                <w:b/>
                <w:bCs/>
                <w:sz w:val="20"/>
                <w:szCs w:val="20"/>
                <w:lang w:eastAsia="ar-SA"/>
              </w:rPr>
            </w:pPr>
            <w:r w:rsidRPr="00771B7B">
              <w:rPr>
                <w:rFonts w:eastAsia="Times New Roman"/>
                <w:b/>
                <w:bCs/>
                <w:sz w:val="20"/>
                <w:szCs w:val="20"/>
                <w:lang w:eastAsia="ar-SA"/>
              </w:rPr>
              <w:t>Rovnako predkladateľ uvádza, že dopady úpravy v oblasti uznaných spôsobov autorizácie budú vyčíslené až v rámci legislatívneho procesu pripravovanej vyhlášky o uznaných spôsoboch autorizácie (predpoklad PPK v treťom kvartáli roka 2022, predpokladaná účinnosť najneskôr 1. január 2023). Uvedené je spresnené aj v bode 10 - Poznámky.</w:t>
            </w:r>
            <w:r>
              <w:rPr>
                <w:rFonts w:eastAsia="Times New Roman"/>
                <w:b/>
                <w:bCs/>
                <w:sz w:val="20"/>
                <w:szCs w:val="20"/>
                <w:lang w:eastAsia="ar-SA"/>
              </w:rPr>
              <w:t xml:space="preserve"> </w:t>
            </w:r>
          </w:p>
          <w:p w14:paraId="6819F7C4" w14:textId="77777777" w:rsidR="00B32768" w:rsidRPr="003960AF" w:rsidRDefault="00B32768" w:rsidP="00DF7D27">
            <w:pPr>
              <w:spacing w:line="240" w:lineRule="atLeast"/>
              <w:jc w:val="both"/>
              <w:rPr>
                <w:rFonts w:eastAsia="Times New Roman"/>
                <w:b/>
                <w:color w:val="000000"/>
                <w:sz w:val="20"/>
                <w:szCs w:val="20"/>
                <w:lang w:eastAsia="sk-SK"/>
              </w:rPr>
            </w:pPr>
          </w:p>
          <w:p w14:paraId="47430713" w14:textId="77777777" w:rsidR="00B32768" w:rsidRPr="003960AF" w:rsidRDefault="00B32768" w:rsidP="00DF7D27">
            <w:pPr>
              <w:spacing w:line="240" w:lineRule="atLeast"/>
              <w:jc w:val="both"/>
              <w:rPr>
                <w:rFonts w:eastAsia="Times New Roman"/>
                <w:b/>
                <w:color w:val="000000"/>
                <w:sz w:val="20"/>
                <w:szCs w:val="20"/>
                <w:lang w:eastAsia="sk-SK"/>
              </w:rPr>
            </w:pPr>
            <w:r w:rsidRPr="003960AF">
              <w:rPr>
                <w:rFonts w:eastAsia="Times New Roman"/>
                <w:b/>
                <w:color w:val="000000"/>
                <w:sz w:val="20"/>
                <w:szCs w:val="20"/>
                <w:lang w:eastAsia="sk-SK"/>
              </w:rPr>
              <w:t>K vplyvom na podnikateľské prostredie</w:t>
            </w:r>
          </w:p>
          <w:p w14:paraId="71733AD1" w14:textId="77777777" w:rsidR="00B32768" w:rsidRPr="003960AF" w:rsidRDefault="00B32768" w:rsidP="00DF7D27">
            <w:pPr>
              <w:suppressAutoHyphens/>
              <w:spacing w:line="100" w:lineRule="atLeast"/>
              <w:jc w:val="both"/>
              <w:rPr>
                <w:rFonts w:eastAsia="Times New Roman"/>
                <w:sz w:val="20"/>
                <w:szCs w:val="20"/>
                <w:lang w:eastAsia="ar-SA"/>
              </w:rPr>
            </w:pPr>
            <w:r w:rsidRPr="003960AF">
              <w:rPr>
                <w:rFonts w:eastAsia="Times New Roman"/>
                <w:sz w:val="20"/>
                <w:szCs w:val="20"/>
                <w:lang w:eastAsia="ar-SA"/>
              </w:rPr>
              <w:t>V </w:t>
            </w:r>
            <w:r w:rsidRPr="003960AF">
              <w:rPr>
                <w:rFonts w:eastAsia="Times New Roman"/>
                <w:bCs/>
                <w:sz w:val="20"/>
                <w:szCs w:val="20"/>
                <w:lang w:eastAsia="ar-SA"/>
              </w:rPr>
              <w:t>Analýze vplyvov na podnikateľské prostredie</w:t>
            </w:r>
            <w:r w:rsidRPr="003960AF">
              <w:rPr>
                <w:rFonts w:eastAsia="Times New Roman"/>
                <w:sz w:val="20"/>
                <w:szCs w:val="20"/>
                <w:lang w:eastAsia="ar-SA"/>
              </w:rPr>
              <w:t xml:space="preserve"> žiada Komisia vyčísliť náklady regulácie na základe expertného odhadu.</w:t>
            </w:r>
          </w:p>
          <w:p w14:paraId="6CA458BD" w14:textId="77777777" w:rsidR="00B32768" w:rsidRDefault="00B32768" w:rsidP="00DF7D27">
            <w:pPr>
              <w:rPr>
                <w:rFonts w:eastAsia="Times New Roman"/>
                <w:sz w:val="20"/>
                <w:szCs w:val="20"/>
                <w:lang w:eastAsia="ar-SA"/>
              </w:rPr>
            </w:pPr>
            <w:r w:rsidRPr="003960AF">
              <w:rPr>
                <w:rFonts w:eastAsia="Times New Roman"/>
                <w:b/>
                <w:sz w:val="20"/>
                <w:szCs w:val="20"/>
                <w:u w:val="single"/>
                <w:lang w:eastAsia="ar-SA"/>
              </w:rPr>
              <w:t>Odôvodnenie:</w:t>
            </w:r>
            <w:r w:rsidRPr="003960AF">
              <w:rPr>
                <w:rFonts w:eastAsia="Times New Roman"/>
                <w:sz w:val="20"/>
                <w:szCs w:val="20"/>
                <w:lang w:eastAsia="ar-SA"/>
              </w:rPr>
              <w:t xml:space="preserve"> Predkladateľ vyznačil, že na návrh sa vzťahuje Mechanizmus znižovania byrokracie a nákladov, ale v kalkulačke nevyčíslil náklady regulácie, a preto je potrebné náklady vyčísliť aj expertným odhadom.</w:t>
            </w:r>
          </w:p>
          <w:p w14:paraId="77ED2B64" w14:textId="77777777" w:rsidR="00B32768" w:rsidRDefault="00B32768" w:rsidP="00DF7D27">
            <w:pPr>
              <w:rPr>
                <w:rFonts w:eastAsia="Times New Roman"/>
                <w:sz w:val="20"/>
                <w:szCs w:val="20"/>
                <w:lang w:eastAsia="ar-SA"/>
              </w:rPr>
            </w:pPr>
          </w:p>
          <w:p w14:paraId="60A68859" w14:textId="77777777" w:rsidR="00B32768" w:rsidRDefault="00B32768" w:rsidP="00DF7D27">
            <w:pPr>
              <w:jc w:val="both"/>
              <w:rPr>
                <w:rFonts w:eastAsia="Times New Roman"/>
                <w:b/>
                <w:bCs/>
                <w:sz w:val="20"/>
                <w:szCs w:val="20"/>
                <w:lang w:eastAsia="ar-SA"/>
              </w:rPr>
            </w:pPr>
            <w:r>
              <w:rPr>
                <w:rFonts w:eastAsia="Times New Roman"/>
                <w:b/>
                <w:bCs/>
                <w:sz w:val="20"/>
                <w:szCs w:val="20"/>
                <w:lang w:eastAsia="ar-SA"/>
              </w:rPr>
              <w:t xml:space="preserve">Vyhodnotenie pripomienok zo strany predkladateľa: </w:t>
            </w:r>
          </w:p>
          <w:p w14:paraId="6FC9A342" w14:textId="77777777" w:rsidR="00B32768" w:rsidRPr="003960AF" w:rsidRDefault="00B32768" w:rsidP="00DF7D27">
            <w:pPr>
              <w:jc w:val="both"/>
              <w:rPr>
                <w:rFonts w:eastAsia="Times New Roman"/>
                <w:b/>
                <w:sz w:val="20"/>
                <w:szCs w:val="20"/>
                <w:lang w:eastAsia="sk-SK"/>
              </w:rPr>
            </w:pPr>
            <w:r>
              <w:rPr>
                <w:rFonts w:eastAsia="Times New Roman"/>
                <w:b/>
                <w:bCs/>
                <w:sz w:val="20"/>
                <w:szCs w:val="20"/>
                <w:lang w:eastAsia="ar-SA"/>
              </w:rPr>
              <w:t>Vzhľadom na úpravu materiálu v procese MPK sa na záverečné posúdenie predkladá upravená analýza vplyvov na podnikateľské prostredie, ako aj kalkulačka.</w:t>
            </w:r>
          </w:p>
          <w:p w14:paraId="25890E85" w14:textId="77777777" w:rsidR="00B32768" w:rsidRDefault="00B32768" w:rsidP="00DF7D27">
            <w:pPr>
              <w:jc w:val="both"/>
              <w:rPr>
                <w:rFonts w:eastAsia="Times New Roman"/>
                <w:b/>
                <w:sz w:val="20"/>
                <w:szCs w:val="20"/>
                <w:lang w:eastAsia="sk-SK"/>
              </w:rPr>
            </w:pPr>
          </w:p>
          <w:p w14:paraId="15FEBB64" w14:textId="77777777" w:rsidR="00B32768" w:rsidRPr="00CD5636" w:rsidRDefault="00B32768" w:rsidP="00DF7D27">
            <w:pPr>
              <w:jc w:val="both"/>
              <w:rPr>
                <w:rFonts w:eastAsia="Times New Roman"/>
                <w:b/>
                <w:sz w:val="20"/>
                <w:szCs w:val="20"/>
                <w:lang w:eastAsia="sk-SK"/>
              </w:rPr>
            </w:pPr>
            <w:r w:rsidRPr="00CD5636">
              <w:rPr>
                <w:rFonts w:eastAsia="Times New Roman"/>
                <w:b/>
                <w:bCs/>
                <w:sz w:val="20"/>
                <w:szCs w:val="20"/>
                <w:lang w:eastAsia="sk-SK"/>
              </w:rPr>
              <w:t xml:space="preserve">III. Záver: </w:t>
            </w:r>
            <w:r w:rsidRPr="00CD5636">
              <w:rPr>
                <w:rFonts w:eastAsia="Times New Roman"/>
                <w:sz w:val="20"/>
                <w:szCs w:val="20"/>
                <w:lang w:eastAsia="sk-SK"/>
              </w:rPr>
              <w:t>Stála pracovná komisia na posudzovanie vybraných vplyvov vyjadruje</w:t>
            </w:r>
            <w:r w:rsidRPr="00CD5636">
              <w:rPr>
                <w:rFonts w:eastAsia="Times New Roman"/>
                <w:b/>
                <w:sz w:val="20"/>
                <w:szCs w:val="20"/>
                <w:lang w:eastAsia="sk-SK"/>
              </w:rPr>
              <w:t xml:space="preserve"> </w:t>
            </w:r>
          </w:p>
          <w:p w14:paraId="6867B235" w14:textId="77777777" w:rsidR="00B32768" w:rsidRPr="00CD5636" w:rsidRDefault="00B32768" w:rsidP="00DF7D27">
            <w:pPr>
              <w:jc w:val="both"/>
              <w:rPr>
                <w:rFonts w:eastAsia="Times New Roman"/>
                <w:b/>
                <w:bCs/>
                <w:sz w:val="20"/>
                <w:szCs w:val="20"/>
                <w:lang w:eastAsia="sk-SK"/>
              </w:rPr>
            </w:pPr>
          </w:p>
          <w:p w14:paraId="6D2C9503" w14:textId="77777777" w:rsidR="00B32768" w:rsidRPr="00CD5636" w:rsidRDefault="00B32768" w:rsidP="00DF7D27">
            <w:pPr>
              <w:jc w:val="both"/>
              <w:rPr>
                <w:rFonts w:eastAsia="Times New Roman"/>
                <w:b/>
                <w:sz w:val="20"/>
                <w:szCs w:val="20"/>
                <w:lang w:eastAsia="sk-SK"/>
              </w:rPr>
            </w:pPr>
            <w:r w:rsidRPr="00CD5636">
              <w:rPr>
                <w:rFonts w:eastAsia="Times New Roman"/>
                <w:b/>
                <w:bCs/>
                <w:sz w:val="20"/>
                <w:szCs w:val="20"/>
                <w:lang w:eastAsia="sk-SK"/>
              </w:rPr>
              <w:t>nesúhlasné stanovisko</w:t>
            </w:r>
          </w:p>
          <w:p w14:paraId="625D744C" w14:textId="77777777" w:rsidR="00B32768" w:rsidRPr="00CD5636" w:rsidRDefault="00B32768" w:rsidP="00DF7D27">
            <w:pPr>
              <w:jc w:val="both"/>
              <w:rPr>
                <w:rFonts w:eastAsia="Times New Roman"/>
                <w:b/>
                <w:sz w:val="20"/>
                <w:szCs w:val="20"/>
                <w:lang w:eastAsia="sk-SK"/>
              </w:rPr>
            </w:pPr>
          </w:p>
          <w:p w14:paraId="36436A24" w14:textId="77777777" w:rsidR="00B32768" w:rsidRPr="00CD5636" w:rsidRDefault="00B32768" w:rsidP="00DF7D27">
            <w:pPr>
              <w:jc w:val="both"/>
              <w:rPr>
                <w:rFonts w:eastAsia="Times New Roman"/>
                <w:sz w:val="20"/>
                <w:szCs w:val="20"/>
                <w:lang w:eastAsia="sk-SK"/>
              </w:rPr>
            </w:pPr>
            <w:r w:rsidRPr="00CD5636">
              <w:rPr>
                <w:rFonts w:eastAsia="Times New Roman"/>
                <w:sz w:val="20"/>
                <w:szCs w:val="20"/>
                <w:lang w:eastAsia="sk-SK"/>
              </w:rPr>
              <w:t>s materiálom predloženým na predbežné pripomienkové konanie s odporúčaním na jeho dopracovanie podľa pripomienok v bode II.</w:t>
            </w:r>
          </w:p>
          <w:p w14:paraId="534BBB72" w14:textId="77777777" w:rsidR="00B32768" w:rsidRPr="00CD5636" w:rsidRDefault="00B32768" w:rsidP="00DF7D27">
            <w:pPr>
              <w:jc w:val="both"/>
              <w:rPr>
                <w:rFonts w:eastAsia="Times New Roman"/>
                <w:b/>
                <w:bCs/>
                <w:sz w:val="20"/>
                <w:szCs w:val="20"/>
                <w:lang w:eastAsia="sk-SK"/>
              </w:rPr>
            </w:pPr>
          </w:p>
          <w:p w14:paraId="1B62F27C" w14:textId="77777777" w:rsidR="00B32768" w:rsidRPr="00CD5636" w:rsidRDefault="00B32768" w:rsidP="00DF7D27">
            <w:pPr>
              <w:jc w:val="both"/>
              <w:rPr>
                <w:rFonts w:eastAsia="Times New Roman"/>
                <w:sz w:val="20"/>
                <w:szCs w:val="20"/>
                <w:lang w:eastAsia="sk-SK"/>
              </w:rPr>
            </w:pPr>
            <w:r w:rsidRPr="00CD5636">
              <w:rPr>
                <w:rFonts w:eastAsia="Times New Roman"/>
                <w:b/>
                <w:bCs/>
                <w:sz w:val="20"/>
                <w:szCs w:val="20"/>
                <w:lang w:eastAsia="sk-SK"/>
              </w:rPr>
              <w:t>IV. Poznámka:</w:t>
            </w:r>
            <w:r w:rsidRPr="00CD5636">
              <w:rPr>
                <w:rFonts w:eastAsia="Times New Roman"/>
                <w:b/>
                <w:sz w:val="20"/>
                <w:szCs w:val="20"/>
                <w:lang w:eastAsia="sk-SK"/>
              </w:rPr>
              <w:t xml:space="preserve"> </w:t>
            </w:r>
            <w:r w:rsidRPr="00CD5636">
              <w:rPr>
                <w:rFonts w:eastAsia="Times New Roman"/>
                <w:sz w:val="20"/>
                <w:szCs w:val="20"/>
                <w:lang w:eastAsia="sk-SK"/>
              </w:rPr>
              <w:t>Predkladateľ zapracuje pripomienky a odporúčania na úpravu uvedené v bode II a uvedie stanovisko Komisie do doložky vybraných vplyvov spolu s vyhodnotením pripomienok.</w:t>
            </w:r>
          </w:p>
          <w:p w14:paraId="3DFD525E" w14:textId="77777777" w:rsidR="00B32768" w:rsidRPr="00CD5636" w:rsidRDefault="00B32768" w:rsidP="00DF7D27">
            <w:pPr>
              <w:jc w:val="both"/>
              <w:rPr>
                <w:rFonts w:eastAsia="Times New Roman"/>
                <w:sz w:val="20"/>
                <w:szCs w:val="20"/>
                <w:lang w:eastAsia="sk-SK"/>
              </w:rPr>
            </w:pPr>
            <w:r w:rsidRPr="00CD5636">
              <w:rPr>
                <w:rFonts w:eastAsia="Times New Roman"/>
                <w:sz w:val="20"/>
                <w:szCs w:val="20"/>
                <w:lang w:eastAsia="sk-SK"/>
              </w:rPr>
              <w:t> </w:t>
            </w:r>
          </w:p>
          <w:p w14:paraId="3A4DB964" w14:textId="77777777" w:rsidR="00B32768" w:rsidRPr="00CD5636" w:rsidRDefault="00B32768" w:rsidP="00DF7D27">
            <w:pPr>
              <w:jc w:val="both"/>
              <w:rPr>
                <w:rFonts w:eastAsia="Times New Roman"/>
                <w:sz w:val="20"/>
                <w:szCs w:val="20"/>
                <w:lang w:eastAsia="sk-SK"/>
              </w:rPr>
            </w:pPr>
            <w:r w:rsidRPr="00CD5636">
              <w:rPr>
                <w:rFonts w:eastAsia="Times New Roman"/>
                <w:sz w:val="20"/>
                <w:szCs w:val="20"/>
                <w:lang w:eastAsia="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52CDF19E" w14:textId="77777777" w:rsidR="00B32768" w:rsidRPr="00CD5636" w:rsidRDefault="00B32768" w:rsidP="00DF7D27">
            <w:pPr>
              <w:jc w:val="both"/>
              <w:rPr>
                <w:rFonts w:eastAsia="Times New Roman"/>
                <w:bCs/>
                <w:sz w:val="20"/>
                <w:szCs w:val="20"/>
                <w:lang w:eastAsia="sk-SK"/>
              </w:rPr>
            </w:pPr>
          </w:p>
          <w:p w14:paraId="41BB0E65" w14:textId="77777777" w:rsidR="00B32768" w:rsidRPr="00CD5636" w:rsidRDefault="00B32768" w:rsidP="00DF7D27">
            <w:pPr>
              <w:jc w:val="both"/>
              <w:rPr>
                <w:rFonts w:eastAsia="Times New Roman"/>
                <w:sz w:val="20"/>
                <w:szCs w:val="20"/>
                <w:lang w:eastAsia="sk-SK"/>
              </w:rPr>
            </w:pPr>
            <w:r w:rsidRPr="00CD5636">
              <w:rPr>
                <w:rFonts w:eastAsia="Times New Roman"/>
                <w:bCs/>
                <w:sz w:val="20"/>
                <w:szCs w:val="20"/>
                <w:lang w:eastAsia="sk-SK"/>
              </w:rPr>
              <w:t>PhDr. Ján Oravec, CSc.</w:t>
            </w:r>
          </w:p>
          <w:p w14:paraId="402403EB" w14:textId="77777777" w:rsidR="00B32768" w:rsidRDefault="00B32768" w:rsidP="00DF7D27">
            <w:pPr>
              <w:jc w:val="both"/>
              <w:rPr>
                <w:rFonts w:eastAsia="Times New Roman"/>
                <w:bCs/>
                <w:sz w:val="20"/>
                <w:szCs w:val="20"/>
                <w:lang w:eastAsia="sk-SK"/>
              </w:rPr>
            </w:pPr>
            <w:r w:rsidRPr="00CD5636">
              <w:rPr>
                <w:rFonts w:eastAsia="Times New Roman"/>
                <w:bCs/>
                <w:sz w:val="20"/>
                <w:szCs w:val="20"/>
                <w:lang w:eastAsia="sk-SK"/>
              </w:rPr>
              <w:t>predseda Komisie</w:t>
            </w:r>
          </w:p>
          <w:p w14:paraId="40B7364C" w14:textId="77777777" w:rsidR="00B32768" w:rsidRPr="001644F6" w:rsidRDefault="00B32768" w:rsidP="00DF7D27">
            <w:pPr>
              <w:jc w:val="both"/>
              <w:rPr>
                <w:rFonts w:eastAsia="Times New Roman"/>
                <w:sz w:val="20"/>
                <w:szCs w:val="20"/>
                <w:lang w:eastAsia="sk-SK"/>
              </w:rPr>
            </w:pPr>
          </w:p>
        </w:tc>
      </w:tr>
      <w:tr w:rsidR="00B32768" w:rsidRPr="00B043B4" w14:paraId="49B81AC6" w14:textId="77777777" w:rsidTr="00DF7D27">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852C0B7" w14:textId="77777777" w:rsidR="00B32768" w:rsidRPr="00B043B4" w:rsidRDefault="00B32768" w:rsidP="00B32768">
            <w:pPr>
              <w:numPr>
                <w:ilvl w:val="0"/>
                <w:numId w:val="6"/>
              </w:numPr>
              <w:ind w:left="450" w:hanging="425"/>
              <w:contextualSpacing/>
              <w:jc w:val="both"/>
              <w:rPr>
                <w:rFonts w:eastAsia="Calibri"/>
                <w:b/>
              </w:rPr>
            </w:pPr>
            <w:r w:rsidRPr="00B32768">
              <w:rPr>
                <w:rFonts w:eastAsia="Calibri"/>
                <w:b/>
                <w:sz w:val="22"/>
              </w:rPr>
              <w:lastRenderedPageBreak/>
              <w:t>Stanovisko Komisie na posudzovanie vybraných vplyvov zo záverečného posúdenia č. ..........</w:t>
            </w:r>
            <w:r w:rsidRPr="00B32768">
              <w:rPr>
                <w:rFonts w:eastAsia="Calibri"/>
                <w:sz w:val="22"/>
              </w:rPr>
              <w:t xml:space="preserve"> (v prípade, ak sa uskutočnilo v zmysle bodu 9.1. Jednotnej metodiky) </w:t>
            </w:r>
          </w:p>
        </w:tc>
      </w:tr>
      <w:tr w:rsidR="00B32768" w:rsidRPr="00B043B4" w14:paraId="4438699B" w14:textId="77777777" w:rsidTr="00DF7D27">
        <w:tblPrEx>
          <w:tblBorders>
            <w:insideH w:val="single" w:sz="4" w:space="0" w:color="FFFFFF"/>
            <w:insideV w:val="single" w:sz="4" w:space="0" w:color="FFFFFF"/>
          </w:tblBorders>
        </w:tblPrEx>
        <w:tc>
          <w:tcPr>
            <w:tcW w:w="9176" w:type="dxa"/>
            <w:shd w:val="clear" w:color="auto" w:fill="FFFFFF"/>
          </w:tcPr>
          <w:p w14:paraId="36E80628" w14:textId="77777777" w:rsidR="00B32768" w:rsidRPr="00B043B4" w:rsidRDefault="00B32768" w:rsidP="00DF7D27">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32768" w:rsidRPr="00B043B4" w14:paraId="142A4040" w14:textId="77777777" w:rsidTr="00DF7D27">
              <w:trPr>
                <w:trHeight w:val="396"/>
              </w:trPr>
              <w:tc>
                <w:tcPr>
                  <w:tcW w:w="2552" w:type="dxa"/>
                </w:tcPr>
                <w:p w14:paraId="7E40F967" w14:textId="77777777" w:rsidR="00B32768" w:rsidRPr="00B043B4" w:rsidRDefault="00B32768" w:rsidP="00DF7D27">
                  <w:pPr>
                    <w:rPr>
                      <w:rFonts w:eastAsia="Times New Roman"/>
                      <w:b/>
                      <w:sz w:val="20"/>
                      <w:szCs w:val="20"/>
                      <w:lang w:eastAsia="sk-SK"/>
                    </w:rPr>
                  </w:pPr>
                  <w:sdt>
                    <w:sdtPr>
                      <w:rPr>
                        <w:rFonts w:eastAsia="Times New Roman"/>
                        <w:b/>
                        <w:sz w:val="20"/>
                        <w:szCs w:val="20"/>
                        <w:lang w:eastAsia="sk-SK"/>
                      </w:rPr>
                      <w:id w:val="888232876"/>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Pr>
                      <w:rFonts w:eastAsia="Times New Roman"/>
                      <w:b/>
                      <w:sz w:val="20"/>
                      <w:szCs w:val="20"/>
                      <w:lang w:eastAsia="sk-SK"/>
                    </w:rPr>
                    <w:t xml:space="preserve">   </w:t>
                  </w:r>
                  <w:r w:rsidRPr="00B043B4">
                    <w:rPr>
                      <w:rFonts w:eastAsia="Times New Roman"/>
                      <w:b/>
                      <w:sz w:val="20"/>
                      <w:szCs w:val="20"/>
                      <w:lang w:eastAsia="sk-SK"/>
                    </w:rPr>
                    <w:t xml:space="preserve">Súhlasné </w:t>
                  </w:r>
                </w:p>
              </w:tc>
              <w:tc>
                <w:tcPr>
                  <w:tcW w:w="3827" w:type="dxa"/>
                </w:tcPr>
                <w:p w14:paraId="1DACF28F" w14:textId="77777777" w:rsidR="00B32768" w:rsidRPr="00B043B4" w:rsidRDefault="00B32768" w:rsidP="00DF7D27">
                  <w:pPr>
                    <w:rPr>
                      <w:rFonts w:eastAsia="Times New Roman"/>
                      <w:b/>
                      <w:sz w:val="20"/>
                      <w:szCs w:val="20"/>
                      <w:lang w:eastAsia="sk-SK"/>
                    </w:rPr>
                  </w:pPr>
                  <w:sdt>
                    <w:sdtPr>
                      <w:rPr>
                        <w:rFonts w:eastAsia="Times New Roman"/>
                        <w:b/>
                        <w:sz w:val="20"/>
                        <w:szCs w:val="20"/>
                        <w:lang w:eastAsia="sk-SK"/>
                      </w:rPr>
                      <w:id w:val="953831761"/>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Pr>
                      <w:rFonts w:eastAsia="Times New Roman"/>
                      <w:b/>
                      <w:sz w:val="20"/>
                      <w:szCs w:val="20"/>
                      <w:lang w:eastAsia="sk-SK"/>
                    </w:rPr>
                    <w:t xml:space="preserve">  </w:t>
                  </w:r>
                  <w:r w:rsidRPr="00B043B4">
                    <w:rPr>
                      <w:rFonts w:eastAsia="Times New Roman"/>
                      <w:b/>
                      <w:sz w:val="20"/>
                      <w:szCs w:val="20"/>
                      <w:lang w:eastAsia="sk-SK"/>
                    </w:rPr>
                    <w:t>Súhlasné s  návrhom na dopracovanie</w:t>
                  </w:r>
                </w:p>
              </w:tc>
              <w:tc>
                <w:tcPr>
                  <w:tcW w:w="2534" w:type="dxa"/>
                </w:tcPr>
                <w:p w14:paraId="0EE22175" w14:textId="77777777" w:rsidR="00B32768" w:rsidRPr="00B043B4" w:rsidRDefault="00B32768" w:rsidP="00DF7D27">
                  <w:pPr>
                    <w:ind w:right="459"/>
                    <w:rPr>
                      <w:rFonts w:eastAsia="Times New Roman"/>
                      <w:b/>
                      <w:sz w:val="20"/>
                      <w:szCs w:val="20"/>
                      <w:lang w:eastAsia="sk-SK"/>
                    </w:rPr>
                  </w:pPr>
                  <w:sdt>
                    <w:sdtPr>
                      <w:rPr>
                        <w:rFonts w:eastAsia="Times New Roman"/>
                        <w:b/>
                        <w:sz w:val="20"/>
                        <w:szCs w:val="20"/>
                        <w:lang w:eastAsia="sk-SK"/>
                      </w:rPr>
                      <w:id w:val="-361740452"/>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Pr>
                      <w:rFonts w:eastAsia="Times New Roman"/>
                      <w:b/>
                      <w:sz w:val="20"/>
                      <w:szCs w:val="20"/>
                      <w:lang w:eastAsia="sk-SK"/>
                    </w:rPr>
                    <w:t xml:space="preserve">  </w:t>
                  </w:r>
                  <w:r w:rsidRPr="00B043B4">
                    <w:rPr>
                      <w:rFonts w:eastAsia="Times New Roman"/>
                      <w:b/>
                      <w:sz w:val="20"/>
                      <w:szCs w:val="20"/>
                      <w:lang w:eastAsia="sk-SK"/>
                    </w:rPr>
                    <w:t>Nesúhlasné</w:t>
                  </w:r>
                </w:p>
              </w:tc>
            </w:tr>
          </w:tbl>
          <w:p w14:paraId="33EF9A50" w14:textId="77777777" w:rsidR="00B32768" w:rsidRDefault="00B32768" w:rsidP="00DF7D27">
            <w:pPr>
              <w:jc w:val="both"/>
              <w:rPr>
                <w:rFonts w:eastAsia="Times New Roman"/>
                <w:b/>
                <w:sz w:val="20"/>
                <w:szCs w:val="20"/>
                <w:lang w:eastAsia="sk-SK"/>
              </w:rPr>
            </w:pPr>
            <w:r w:rsidRPr="00B043B4">
              <w:rPr>
                <w:rFonts w:eastAsia="Times New Roman"/>
                <w:b/>
                <w:sz w:val="20"/>
                <w:szCs w:val="20"/>
                <w:lang w:eastAsia="sk-SK"/>
              </w:rPr>
              <w:t>Uveďte pripomienky zo stanoviska Komisie z časti II. spolu s Vaším vyhodnotením:</w:t>
            </w:r>
          </w:p>
          <w:p w14:paraId="09FFB859" w14:textId="77777777" w:rsidR="00B32768" w:rsidRDefault="00B32768" w:rsidP="00DF7D27">
            <w:pPr>
              <w:jc w:val="both"/>
              <w:rPr>
                <w:rFonts w:eastAsia="Times New Roman"/>
                <w:b/>
                <w:sz w:val="20"/>
                <w:szCs w:val="20"/>
                <w:lang w:eastAsia="sk-SK"/>
              </w:rPr>
            </w:pPr>
          </w:p>
          <w:p w14:paraId="324FD42C" w14:textId="77777777" w:rsidR="00B32768" w:rsidRPr="009244C3" w:rsidRDefault="00B32768" w:rsidP="00B32768">
            <w:pPr>
              <w:pStyle w:val="Nadpis4"/>
              <w:outlineLvl w:val="3"/>
              <w:rPr>
                <w:sz w:val="20"/>
              </w:rPr>
            </w:pPr>
            <w:r w:rsidRPr="009244C3">
              <w:rPr>
                <w:spacing w:val="20"/>
                <w:sz w:val="20"/>
              </w:rPr>
              <w:lastRenderedPageBreak/>
              <w:t>stanovisko komisie</w:t>
            </w:r>
            <w:r w:rsidRPr="009244C3">
              <w:rPr>
                <w:sz w:val="20"/>
              </w:rPr>
              <w:t xml:space="preserve"> </w:t>
            </w:r>
          </w:p>
          <w:p w14:paraId="3B8B6B69" w14:textId="77777777" w:rsidR="00B32768" w:rsidRPr="009244C3" w:rsidRDefault="00B32768" w:rsidP="00DF7D27">
            <w:pPr>
              <w:ind w:right="-2"/>
              <w:jc w:val="center"/>
              <w:rPr>
                <w:b/>
                <w:smallCaps/>
                <w:sz w:val="20"/>
                <w:szCs w:val="20"/>
              </w:rPr>
            </w:pPr>
            <w:r w:rsidRPr="009244C3">
              <w:rPr>
                <w:b/>
                <w:smallCaps/>
                <w:sz w:val="20"/>
                <w:szCs w:val="20"/>
              </w:rPr>
              <w:t>(záverečné posúdenie)</w:t>
            </w:r>
          </w:p>
          <w:p w14:paraId="6EA4634C" w14:textId="77777777" w:rsidR="00B32768" w:rsidRPr="009244C3" w:rsidRDefault="00B32768" w:rsidP="00DF7D27">
            <w:pPr>
              <w:ind w:right="-2"/>
              <w:jc w:val="center"/>
              <w:rPr>
                <w:b/>
                <w:smallCaps/>
                <w:sz w:val="20"/>
                <w:szCs w:val="20"/>
              </w:rPr>
            </w:pPr>
            <w:r w:rsidRPr="009244C3">
              <w:rPr>
                <w:b/>
                <w:smallCaps/>
                <w:sz w:val="20"/>
                <w:szCs w:val="20"/>
              </w:rPr>
              <w:t>k materiálu</w:t>
            </w:r>
          </w:p>
          <w:p w14:paraId="338257BE" w14:textId="77777777" w:rsidR="00B32768" w:rsidRPr="009244C3" w:rsidRDefault="00B32768" w:rsidP="00DF7D27">
            <w:pPr>
              <w:ind w:right="-2"/>
              <w:jc w:val="both"/>
              <w:rPr>
                <w:b/>
                <w:smallCaps/>
                <w:sz w:val="20"/>
                <w:szCs w:val="20"/>
              </w:rPr>
            </w:pPr>
          </w:p>
          <w:p w14:paraId="2A6CD4B0" w14:textId="77777777" w:rsidR="00B32768" w:rsidRPr="00B32768" w:rsidRDefault="00B32768" w:rsidP="00DF7D27">
            <w:pPr>
              <w:pBdr>
                <w:bottom w:val="single" w:sz="4" w:space="1" w:color="auto"/>
              </w:pBdr>
              <w:jc w:val="center"/>
              <w:rPr>
                <w:rStyle w:val="Jemnodkaz"/>
                <w:b/>
                <w:color w:val="auto"/>
                <w:sz w:val="20"/>
              </w:rPr>
            </w:pPr>
            <w:r w:rsidRPr="00B32768">
              <w:rPr>
                <w:rStyle w:val="Jemnodkaz"/>
                <w:b/>
                <w:color w:val="auto"/>
                <w:sz w:val="20"/>
              </w:rPr>
              <w:t>Zákon, ktorým sa mení a dopĺňa zákon č. 305/2013 Z. z. o elektronickej podobe výkonu pôsobnosti orgánov verejnej moci a o zmene a doplnení niektorých zákonov (zákon o e-Governmente) v znení neskorších predpisov a ktorým sa menia a dopĺňajú niektoré zákony</w:t>
            </w:r>
          </w:p>
          <w:p w14:paraId="2C283469" w14:textId="77777777" w:rsidR="00B32768" w:rsidRPr="009244C3" w:rsidRDefault="00B32768" w:rsidP="00DF7D27">
            <w:pPr>
              <w:jc w:val="both"/>
              <w:rPr>
                <w:sz w:val="20"/>
                <w:szCs w:val="20"/>
                <w:lang w:eastAsia="sk-SK"/>
              </w:rPr>
            </w:pPr>
            <w:r w:rsidRPr="009244C3">
              <w:rPr>
                <w:b/>
                <w:bCs/>
                <w:sz w:val="20"/>
                <w:szCs w:val="20"/>
              </w:rPr>
              <w:t xml:space="preserve">I. Úvod: </w:t>
            </w:r>
            <w:r w:rsidRPr="009244C3">
              <w:rPr>
                <w:bCs/>
                <w:sz w:val="20"/>
                <w:szCs w:val="20"/>
              </w:rPr>
              <w:t>Ministerstvo investícií, regionálneho rozvoja a informatizácie Slovenskej republiky predložilo dňa 03. mája 2022 Stálej pracovnej komisii na posudzovanie vybraných vplyvov (ďalej len „Komisia“) na záverečné posúdenie materiál: „</w:t>
            </w:r>
            <w:r w:rsidRPr="009244C3">
              <w:rPr>
                <w:i/>
                <w:sz w:val="20"/>
                <w:szCs w:val="20"/>
              </w:rPr>
              <w:t>Zákon, ktorým sa mení a dopĺňa zákon č. 305/2013 Z. z. o elektronickej podobe výkonu pôsobnosti orgánov verejnej moci a o zmene a doplnení niektorých zákonov (zákon o e-Governmente) v znení neskorších predpisov a ktorým sa menia a dopĺňajú niektoré zákony</w:t>
            </w:r>
            <w:r w:rsidRPr="009244C3">
              <w:rPr>
                <w:i/>
                <w:sz w:val="20"/>
                <w:szCs w:val="20"/>
                <w:lang w:eastAsia="sk-SK"/>
              </w:rPr>
              <w:t>“</w:t>
            </w:r>
            <w:r w:rsidRPr="009244C3">
              <w:rPr>
                <w:iCs/>
                <w:sz w:val="20"/>
                <w:szCs w:val="20"/>
              </w:rPr>
              <w:t>. Materiál predpokladá negatívne vplyvy na rozpočet verejnej správy, ktoré sú  rozpočtovo zabezpečené, pozitívne vplyvy na podnikateľské prostredie, pozitívno-negatívne vplyvy na informatizáciu spoločnosti a negatívne vplyvy na služby verejnej správy na občana.</w:t>
            </w:r>
          </w:p>
          <w:p w14:paraId="1D6F7D22" w14:textId="77777777" w:rsidR="00B32768" w:rsidRPr="009244C3" w:rsidRDefault="00B32768" w:rsidP="00DF7D27">
            <w:pPr>
              <w:jc w:val="both"/>
              <w:rPr>
                <w:b/>
                <w:bCs/>
                <w:sz w:val="20"/>
                <w:szCs w:val="20"/>
              </w:rPr>
            </w:pPr>
          </w:p>
          <w:p w14:paraId="592044C9" w14:textId="77777777" w:rsidR="00B32768" w:rsidRPr="009244C3" w:rsidRDefault="00B32768" w:rsidP="00DF7D27">
            <w:pPr>
              <w:jc w:val="both"/>
              <w:rPr>
                <w:bCs/>
                <w:sz w:val="20"/>
                <w:szCs w:val="20"/>
              </w:rPr>
            </w:pPr>
            <w:r w:rsidRPr="009244C3">
              <w:rPr>
                <w:b/>
                <w:bCs/>
                <w:sz w:val="20"/>
                <w:szCs w:val="20"/>
              </w:rPr>
              <w:t xml:space="preserve">II. Pripomienky a návrhy zmien: </w:t>
            </w:r>
            <w:r w:rsidRPr="009244C3">
              <w:rPr>
                <w:bCs/>
                <w:sz w:val="20"/>
                <w:szCs w:val="20"/>
              </w:rPr>
              <w:t>Komisia uplatňuje k materiálu nasledovné pripomienky a odporúčania:</w:t>
            </w:r>
          </w:p>
          <w:p w14:paraId="45FBBF24" w14:textId="77777777" w:rsidR="00B32768" w:rsidRPr="009244C3" w:rsidRDefault="00B32768" w:rsidP="00DF7D27">
            <w:pPr>
              <w:jc w:val="both"/>
              <w:rPr>
                <w:bCs/>
                <w:sz w:val="20"/>
                <w:szCs w:val="20"/>
              </w:rPr>
            </w:pPr>
          </w:p>
          <w:p w14:paraId="65E0A609" w14:textId="77777777" w:rsidR="00B32768" w:rsidRPr="009244C3" w:rsidRDefault="00B32768" w:rsidP="00DF7D27">
            <w:pPr>
              <w:jc w:val="both"/>
              <w:rPr>
                <w:b/>
                <w:bCs/>
                <w:sz w:val="20"/>
                <w:szCs w:val="20"/>
              </w:rPr>
            </w:pPr>
            <w:r w:rsidRPr="009244C3">
              <w:rPr>
                <w:b/>
                <w:bCs/>
                <w:sz w:val="20"/>
                <w:szCs w:val="20"/>
              </w:rPr>
              <w:t>K doložke vybraných vplyvov</w:t>
            </w:r>
          </w:p>
          <w:p w14:paraId="764E9EED" w14:textId="77777777" w:rsidR="00B32768" w:rsidRDefault="00B32768" w:rsidP="00DF7D27">
            <w:pPr>
              <w:jc w:val="both"/>
              <w:rPr>
                <w:sz w:val="20"/>
                <w:szCs w:val="20"/>
              </w:rPr>
            </w:pPr>
            <w:r w:rsidRPr="009244C3">
              <w:rPr>
                <w:sz w:val="20"/>
                <w:szCs w:val="20"/>
              </w:rPr>
              <w:t xml:space="preserve">Komisia odporúča predkladateľovi v Doložke vybraných vplyvov v časti 8. Preskúmanie účelnosti doplniť kritériá, na základe ktorých bude v materiáli preskúmaná účelnosť. </w:t>
            </w:r>
          </w:p>
          <w:p w14:paraId="4133ED5F" w14:textId="77777777" w:rsidR="00B32768" w:rsidRDefault="00B32768" w:rsidP="00DF7D27">
            <w:pPr>
              <w:jc w:val="both"/>
              <w:rPr>
                <w:b/>
                <w:sz w:val="20"/>
                <w:szCs w:val="20"/>
              </w:rPr>
            </w:pPr>
          </w:p>
          <w:p w14:paraId="00263859" w14:textId="77777777" w:rsidR="00B32768" w:rsidRDefault="00B32768" w:rsidP="00DF7D27">
            <w:pPr>
              <w:jc w:val="both"/>
              <w:rPr>
                <w:b/>
                <w:sz w:val="20"/>
                <w:szCs w:val="20"/>
              </w:rPr>
            </w:pPr>
            <w:r>
              <w:rPr>
                <w:b/>
                <w:sz w:val="20"/>
                <w:szCs w:val="20"/>
              </w:rPr>
              <w:t xml:space="preserve">Vyhodnotenie odporúčania zo strany predkladateľa: </w:t>
            </w:r>
          </w:p>
          <w:p w14:paraId="554C51D9" w14:textId="77777777" w:rsidR="00B32768" w:rsidRPr="009244C3" w:rsidRDefault="00B32768" w:rsidP="00DF7D27">
            <w:pPr>
              <w:jc w:val="both"/>
              <w:rPr>
                <w:b/>
                <w:sz w:val="20"/>
                <w:szCs w:val="20"/>
              </w:rPr>
            </w:pPr>
            <w:r>
              <w:rPr>
                <w:b/>
                <w:sz w:val="20"/>
                <w:szCs w:val="20"/>
              </w:rPr>
              <w:t>Odporúčanie vo vzťahu ku kritériám preskúmania účelnosti boli zapracované v časti 8 doložky.</w:t>
            </w:r>
          </w:p>
          <w:p w14:paraId="6BECCF6B" w14:textId="77777777" w:rsidR="00B32768" w:rsidRPr="009244C3" w:rsidRDefault="00B32768" w:rsidP="00DF7D27">
            <w:pPr>
              <w:jc w:val="both"/>
              <w:rPr>
                <w:b/>
                <w:bCs/>
                <w:sz w:val="20"/>
                <w:szCs w:val="20"/>
              </w:rPr>
            </w:pPr>
          </w:p>
          <w:p w14:paraId="76DE1F13" w14:textId="77777777" w:rsidR="00B32768" w:rsidRPr="009244C3" w:rsidRDefault="00B32768" w:rsidP="00DF7D27">
            <w:pPr>
              <w:jc w:val="both"/>
              <w:rPr>
                <w:b/>
                <w:bCs/>
                <w:sz w:val="20"/>
                <w:szCs w:val="20"/>
              </w:rPr>
            </w:pPr>
            <w:r w:rsidRPr="009244C3">
              <w:rPr>
                <w:b/>
                <w:bCs/>
                <w:sz w:val="20"/>
                <w:szCs w:val="20"/>
              </w:rPr>
              <w:t>K vplyvom na rozpočet verejnej správy</w:t>
            </w:r>
          </w:p>
          <w:p w14:paraId="425B08A0" w14:textId="77777777" w:rsidR="00B32768" w:rsidRPr="009244C3" w:rsidRDefault="00B32768" w:rsidP="00DF7D27">
            <w:pPr>
              <w:jc w:val="both"/>
              <w:rPr>
                <w:sz w:val="20"/>
                <w:szCs w:val="20"/>
              </w:rPr>
            </w:pPr>
            <w:r w:rsidRPr="009244C3">
              <w:rPr>
                <w:sz w:val="20"/>
                <w:szCs w:val="20"/>
              </w:rPr>
              <w:t xml:space="preserve">V doložke vybraných vplyvov sú uvedené negatívne vplyvy na rozpočet verejnej správy ako rozpočtovo zabezpečené. V analýze vplyvov na rozpočet verejnej správy, ktorá je oproti analýze predkladanej v rámci materiálu na MPK zmenená, sú v tab. č. 1 kvantifikované dopady na rok 2022 v sume 610 000 eur, na rok 2023 v sume 969 552 eur (z toho jednorazové kapitálové výdavky v sume 840 000 eur na aplikačnú a technickú zmenu Ústredného portálu verejnej správy, osobné výdavky v sume 129 552 eur na dvoch zamestnancov) a na rok 2024 v sume 129 552 eur (osobné výdavky) ako v rozpočte zabezpečené. </w:t>
            </w:r>
          </w:p>
          <w:p w14:paraId="3966AB2E" w14:textId="77777777" w:rsidR="00B32768" w:rsidRPr="009244C3" w:rsidRDefault="00B32768" w:rsidP="00DF7D27">
            <w:pPr>
              <w:jc w:val="both"/>
              <w:rPr>
                <w:sz w:val="20"/>
                <w:szCs w:val="20"/>
              </w:rPr>
            </w:pPr>
          </w:p>
          <w:p w14:paraId="32C1E15F" w14:textId="77777777" w:rsidR="00B32768" w:rsidRPr="009244C3" w:rsidRDefault="00B32768" w:rsidP="00DF7D27">
            <w:pPr>
              <w:jc w:val="both"/>
              <w:rPr>
                <w:sz w:val="20"/>
                <w:szCs w:val="20"/>
              </w:rPr>
            </w:pPr>
            <w:r w:rsidRPr="009244C3">
              <w:rPr>
                <w:sz w:val="20"/>
                <w:szCs w:val="20"/>
              </w:rPr>
              <w:t xml:space="preserve">S konštatovaním predkladateľa o zabezpečenosti vplyvov nie je možné súhlasiť. V súvislosti s prípravou rozpočtu verejnej správy na roky 2023 až 2025 boli kapitole MIRRI SR oznámené limity príjmov a výdavkov v rámci „Oznámenia návrhu limitov príjmov a výdavkov kapitoly MIRRI SR na roky 2023 až 2025“ z 28. 4. 2022. V zmysle tohto oznámenia má kapitola MIRRI SR určený celkový limit kapitálových výdavkov (zdroj 111) na rok 2023 v sume 271 142 eur, čo dopad vyčíslený v predkladanej novele zákona nepokryje. Vzhľadom na uvedené Komisia nesúhlasí s predloženým materiálom, pretože vplyvy na rozpočet verejnej správy na rok 2023 v kapitole MIRRI SR nie sú kryté. </w:t>
            </w:r>
          </w:p>
          <w:p w14:paraId="52EFD54C" w14:textId="77777777" w:rsidR="00B32768" w:rsidRPr="009244C3" w:rsidRDefault="00B32768" w:rsidP="00DF7D27">
            <w:pPr>
              <w:jc w:val="both"/>
              <w:rPr>
                <w:sz w:val="20"/>
                <w:szCs w:val="20"/>
              </w:rPr>
            </w:pPr>
          </w:p>
          <w:p w14:paraId="55D6B201" w14:textId="77777777" w:rsidR="00B32768" w:rsidRPr="009244C3" w:rsidRDefault="00B32768" w:rsidP="00DF7D27">
            <w:pPr>
              <w:jc w:val="both"/>
              <w:rPr>
                <w:sz w:val="20"/>
                <w:szCs w:val="20"/>
              </w:rPr>
            </w:pPr>
            <w:r w:rsidRPr="009244C3">
              <w:rPr>
                <w:sz w:val="20"/>
                <w:szCs w:val="20"/>
              </w:rPr>
              <w:t>V tab. č. 1 sú vo výdavkoch na rok 2022 uvedené výdavky v sume 610 000 eur ako zabezpečené v rozpočte. Pritom v podrobnej tab. č. 4 nie sú v roku 2022 uvedené žiadne výdavky. Uvedené je potrebné upraviť a zosúladiť.</w:t>
            </w:r>
          </w:p>
          <w:p w14:paraId="2877B1B2" w14:textId="77777777" w:rsidR="00B32768" w:rsidRPr="009244C3" w:rsidRDefault="00B32768" w:rsidP="00DF7D27">
            <w:pPr>
              <w:jc w:val="both"/>
              <w:rPr>
                <w:sz w:val="20"/>
                <w:szCs w:val="20"/>
              </w:rPr>
            </w:pPr>
          </w:p>
          <w:p w14:paraId="12E8D1A2" w14:textId="77777777" w:rsidR="00B32768" w:rsidRPr="009244C3" w:rsidRDefault="00B32768" w:rsidP="00DF7D27">
            <w:pPr>
              <w:jc w:val="both"/>
              <w:rPr>
                <w:b/>
                <w:bCs/>
                <w:sz w:val="20"/>
                <w:szCs w:val="20"/>
                <w:lang w:eastAsia="sk-SK"/>
              </w:rPr>
            </w:pPr>
            <w:r w:rsidRPr="009244C3">
              <w:rPr>
                <w:sz w:val="20"/>
                <w:szCs w:val="20"/>
              </w:rPr>
              <w:t>K vplyvom za oblasť zamestnanosti Komisia uvádza, že berie na vedomie, že osobné výdavky budú zabezpečené v rámci schválených limitov výdavkov na príslušné rozpočtové roky. Komisia však naďalej trvá na zásadnej pripomienke, aby 2 zamestnanci, ktorých náplňou práce bude posudzovanie splnenia podmienok podľa § 22 zákona v oblasti bezpečnosti a štandardov ITVS, boli personálne zabezpečení v rámci limitu počtu zamestnancov a osobných výdavkov kapitoly MIRRI SR. Podľa údajov zamestnanosti za 1. štvrťrok  2022 upravený limit počtov zamestnancov aparátu ústredného orgánu MIRRI SR bol 986 osôb (703 osôb po odpočítaní analytickej jednotky - AJ, administratívnych kapacít osobitne sledovaných - AKos, POO), skutočný počet zamestnancov za 1. štvrťrok  2022 bol 802,9 osôb (619 osôb po odpočítaní AJ, AKos, POO), čo predstavuje neplnenie 18,6 % (11,9 % po odpočítaní AJ, AKos, POO). Požadované miesta preto žiada Komisia zabezpečiť z nenaplnených stavov a platy z rozpočtovaných osobných výdavkov.</w:t>
            </w:r>
          </w:p>
          <w:p w14:paraId="08BEF0C6" w14:textId="77777777" w:rsidR="00B32768" w:rsidRPr="009244C3" w:rsidRDefault="00B32768" w:rsidP="00DF7D27">
            <w:pPr>
              <w:jc w:val="both"/>
              <w:rPr>
                <w:sz w:val="20"/>
                <w:szCs w:val="20"/>
              </w:rPr>
            </w:pPr>
          </w:p>
          <w:p w14:paraId="202782E5" w14:textId="77777777" w:rsidR="00B32768" w:rsidRPr="009244C3" w:rsidRDefault="00B32768" w:rsidP="00DF7D27">
            <w:pPr>
              <w:jc w:val="both"/>
              <w:rPr>
                <w:sz w:val="20"/>
                <w:szCs w:val="20"/>
              </w:rPr>
            </w:pPr>
            <w:r w:rsidRPr="009244C3">
              <w:rPr>
                <w:sz w:val="20"/>
                <w:szCs w:val="20"/>
              </w:rPr>
              <w:t>Do analýzy žiada Komisia doplniť vecné vysvetlenie rozdielu navrhovanej úpravy Ústredného portálu verejnej správy na podpis klikom s rovnakou funkcionalitou v rámci projektu Slovensko v mobile.</w:t>
            </w:r>
          </w:p>
          <w:p w14:paraId="26D5500D" w14:textId="77777777" w:rsidR="00B32768" w:rsidRDefault="00B32768" w:rsidP="00DF7D27">
            <w:pPr>
              <w:jc w:val="both"/>
              <w:rPr>
                <w:sz w:val="20"/>
                <w:szCs w:val="20"/>
              </w:rPr>
            </w:pPr>
            <w:r w:rsidRPr="009244C3">
              <w:rPr>
                <w:sz w:val="20"/>
                <w:szCs w:val="20"/>
                <w:u w:val="single"/>
              </w:rPr>
              <w:t>Odôvodnenie:</w:t>
            </w:r>
            <w:r w:rsidRPr="009244C3">
              <w:rPr>
                <w:sz w:val="20"/>
                <w:szCs w:val="20"/>
              </w:rPr>
              <w:t xml:space="preserve"> Súčasťou projektu Slovensko v mobile je funkcionalita Podpis klikom, projekt plánuje naplniť rovnaké ciele ako navrhované zmeny v oblasti autorizácie predmetného materiálu. Z podkladov nie je zrejmé, že </w:t>
            </w:r>
            <w:r w:rsidRPr="009244C3">
              <w:rPr>
                <w:sz w:val="20"/>
                <w:szCs w:val="20"/>
              </w:rPr>
              <w:lastRenderedPageBreak/>
              <w:t>navrhovaná úprava v predmetnej novele zákona a v projekte Slovensko v mobile nie je duplicitou. Komisia preto žiada doplniť vecné vysvetlenie, že nejde o duplicitné riešenie a aký je konkrétny rozdiel medzi týmito dvomi projektami.</w:t>
            </w:r>
          </w:p>
          <w:p w14:paraId="606CD9CA" w14:textId="77777777" w:rsidR="00B32768" w:rsidRDefault="00B32768" w:rsidP="00DF7D27">
            <w:pPr>
              <w:jc w:val="both"/>
              <w:rPr>
                <w:sz w:val="20"/>
                <w:szCs w:val="20"/>
              </w:rPr>
            </w:pPr>
          </w:p>
          <w:p w14:paraId="4AEBF6C5" w14:textId="77777777" w:rsidR="00B32768" w:rsidRDefault="00B32768" w:rsidP="00DF7D27">
            <w:pPr>
              <w:jc w:val="both"/>
              <w:rPr>
                <w:b/>
                <w:sz w:val="20"/>
                <w:szCs w:val="20"/>
              </w:rPr>
            </w:pPr>
            <w:r>
              <w:rPr>
                <w:b/>
                <w:sz w:val="20"/>
                <w:szCs w:val="20"/>
              </w:rPr>
              <w:t>Vyhodnotenie pripomienky zo strany predkladateľa</w:t>
            </w:r>
            <w:r w:rsidRPr="009244C3">
              <w:rPr>
                <w:b/>
                <w:sz w:val="20"/>
                <w:szCs w:val="20"/>
              </w:rPr>
              <w:t>:</w:t>
            </w:r>
            <w:r>
              <w:rPr>
                <w:b/>
                <w:sz w:val="20"/>
                <w:szCs w:val="20"/>
              </w:rPr>
              <w:t xml:space="preserve"> </w:t>
            </w:r>
          </w:p>
          <w:p w14:paraId="5966BBFB" w14:textId="77777777" w:rsidR="00B32768" w:rsidRDefault="00B32768" w:rsidP="00DF7D27">
            <w:pPr>
              <w:jc w:val="both"/>
              <w:rPr>
                <w:b/>
                <w:sz w:val="20"/>
                <w:szCs w:val="20"/>
              </w:rPr>
            </w:pPr>
            <w:r>
              <w:rPr>
                <w:b/>
                <w:sz w:val="20"/>
                <w:szCs w:val="20"/>
              </w:rPr>
              <w:t>K pripomienke v odseku 2 vyššie: V tabuľke v bode 9 boli vyznačené nekryté vplyvy materiálu v zmysle pripomienky.</w:t>
            </w:r>
          </w:p>
          <w:p w14:paraId="554672E9" w14:textId="77777777" w:rsidR="00B32768" w:rsidRDefault="00B32768" w:rsidP="00DF7D27">
            <w:pPr>
              <w:jc w:val="both"/>
              <w:rPr>
                <w:b/>
                <w:sz w:val="20"/>
                <w:szCs w:val="20"/>
              </w:rPr>
            </w:pPr>
            <w:r>
              <w:rPr>
                <w:b/>
                <w:sz w:val="20"/>
                <w:szCs w:val="20"/>
              </w:rPr>
              <w:t xml:space="preserve">K pripomienke v odseku 3 vyššie: Tabuľky č. 1 a č. 4 v analýze vplyvov na rozpočet verejnej správy boli zosúladené v zmysle pripomienky. </w:t>
            </w:r>
          </w:p>
          <w:p w14:paraId="0AB32F9C" w14:textId="77777777" w:rsidR="00B32768" w:rsidRDefault="00B32768" w:rsidP="00DF7D27">
            <w:pPr>
              <w:jc w:val="both"/>
              <w:rPr>
                <w:b/>
                <w:sz w:val="20"/>
                <w:szCs w:val="20"/>
              </w:rPr>
            </w:pPr>
            <w:r>
              <w:rPr>
                <w:b/>
                <w:sz w:val="20"/>
                <w:szCs w:val="20"/>
              </w:rPr>
              <w:t xml:space="preserve">K pripomienke v odseku 5 vyššie uvádzame, že vecné vysvetlenie rozdielu úpravy ÚPVS na podpis klikom s rovnakou funkcionalitou v rámci projektu Slovensko v mobile bolo doplnené v rámci okruhu č. 3 bodu 2.2.1 Popis návrhu analýzy vplyvov na rozpočet verejnej správy, ako aj k bodu 51 dôvodovej správy. </w:t>
            </w:r>
          </w:p>
          <w:p w14:paraId="17363AC8" w14:textId="77777777" w:rsidR="00B32768" w:rsidRPr="009244C3" w:rsidRDefault="00B32768" w:rsidP="00DF7D27">
            <w:pPr>
              <w:jc w:val="both"/>
              <w:rPr>
                <w:b/>
                <w:sz w:val="20"/>
                <w:szCs w:val="20"/>
              </w:rPr>
            </w:pPr>
            <w:r>
              <w:rPr>
                <w:b/>
                <w:sz w:val="20"/>
                <w:szCs w:val="20"/>
              </w:rPr>
              <w:t>K pripomienke v odseku 4 k vplyvom za oblasť zamestnanosti uvádzame, že MIRRI SR naďalej trvá na požiadavke navýšenia počtu zamestnancov MIRRI SR o 2 zamestnancov, ktorí budú zabezpečovať evidenciu autentifikačných prostriedkov a posudzovanie splnenia podmienok pred zápisom autentifikačných prostriedkov do evidencie, vzhľadom na to, že i</w:t>
            </w:r>
            <w:r w:rsidRPr="009265C6">
              <w:rPr>
                <w:b/>
                <w:sz w:val="20"/>
                <w:szCs w:val="20"/>
              </w:rPr>
              <w:t>de o novú povinnosť a sadu činností, ktorých plnenie nie je možné pokryť súčasnými personálnymi kapacitami MIRRI SR.</w:t>
            </w:r>
          </w:p>
          <w:p w14:paraId="1679CC99" w14:textId="77777777" w:rsidR="00B32768" w:rsidRPr="009244C3" w:rsidRDefault="00B32768" w:rsidP="00DF7D27">
            <w:pPr>
              <w:jc w:val="both"/>
              <w:rPr>
                <w:b/>
                <w:bCs/>
                <w:sz w:val="20"/>
                <w:szCs w:val="20"/>
              </w:rPr>
            </w:pPr>
          </w:p>
          <w:p w14:paraId="59AAB710" w14:textId="77777777" w:rsidR="00B32768" w:rsidRPr="009244C3" w:rsidRDefault="00B32768" w:rsidP="00DF7D27">
            <w:pPr>
              <w:jc w:val="both"/>
              <w:rPr>
                <w:bCs/>
                <w:sz w:val="20"/>
                <w:szCs w:val="20"/>
              </w:rPr>
            </w:pPr>
            <w:r w:rsidRPr="009244C3">
              <w:rPr>
                <w:b/>
                <w:bCs/>
                <w:sz w:val="20"/>
                <w:szCs w:val="20"/>
              </w:rPr>
              <w:t xml:space="preserve">III. Záver: </w:t>
            </w:r>
            <w:r w:rsidRPr="009244C3">
              <w:rPr>
                <w:bCs/>
                <w:sz w:val="20"/>
                <w:szCs w:val="20"/>
              </w:rPr>
              <w:t xml:space="preserve">Stála pracovná komisia na posudzovanie vybraných vplyvov vyjadruje </w:t>
            </w:r>
          </w:p>
          <w:p w14:paraId="053DC479" w14:textId="77777777" w:rsidR="00B32768" w:rsidRPr="009244C3" w:rsidRDefault="00B32768" w:rsidP="00DF7D27">
            <w:pPr>
              <w:tabs>
                <w:tab w:val="center" w:pos="6379"/>
              </w:tabs>
              <w:jc w:val="center"/>
              <w:rPr>
                <w:b/>
                <w:bCs/>
                <w:sz w:val="20"/>
                <w:szCs w:val="20"/>
              </w:rPr>
            </w:pPr>
          </w:p>
          <w:p w14:paraId="2DA6F966" w14:textId="77777777" w:rsidR="00B32768" w:rsidRPr="009244C3" w:rsidRDefault="00B32768" w:rsidP="00DF7D27">
            <w:pPr>
              <w:tabs>
                <w:tab w:val="center" w:pos="6379"/>
              </w:tabs>
              <w:jc w:val="center"/>
              <w:rPr>
                <w:bCs/>
                <w:sz w:val="20"/>
                <w:szCs w:val="20"/>
              </w:rPr>
            </w:pPr>
            <w:r w:rsidRPr="009244C3">
              <w:rPr>
                <w:b/>
                <w:bCs/>
                <w:sz w:val="20"/>
                <w:szCs w:val="20"/>
              </w:rPr>
              <w:t>nesúhlasné stanovisko</w:t>
            </w:r>
          </w:p>
          <w:p w14:paraId="79BA94AB" w14:textId="77777777" w:rsidR="00B32768" w:rsidRPr="009244C3" w:rsidRDefault="00B32768" w:rsidP="00DF7D27">
            <w:pPr>
              <w:tabs>
                <w:tab w:val="center" w:pos="6379"/>
              </w:tabs>
              <w:jc w:val="both"/>
              <w:rPr>
                <w:bCs/>
                <w:sz w:val="20"/>
                <w:szCs w:val="20"/>
              </w:rPr>
            </w:pPr>
          </w:p>
          <w:p w14:paraId="05E6636E" w14:textId="77777777" w:rsidR="00B32768" w:rsidRPr="009244C3" w:rsidRDefault="00B32768" w:rsidP="00DF7D27">
            <w:pPr>
              <w:tabs>
                <w:tab w:val="center" w:pos="6379"/>
              </w:tabs>
              <w:jc w:val="both"/>
              <w:rPr>
                <w:b/>
                <w:bCs/>
                <w:sz w:val="20"/>
                <w:szCs w:val="20"/>
              </w:rPr>
            </w:pPr>
            <w:r w:rsidRPr="009244C3">
              <w:rPr>
                <w:bCs/>
                <w:sz w:val="20"/>
                <w:szCs w:val="20"/>
              </w:rPr>
              <w:t>s materiálom predloženým na záverečné posúdenie.</w:t>
            </w:r>
          </w:p>
          <w:p w14:paraId="72811773" w14:textId="77777777" w:rsidR="00B32768" w:rsidRPr="009244C3" w:rsidRDefault="00B32768" w:rsidP="00DF7D27">
            <w:pPr>
              <w:jc w:val="both"/>
              <w:rPr>
                <w:b/>
                <w:bCs/>
                <w:sz w:val="20"/>
                <w:szCs w:val="20"/>
              </w:rPr>
            </w:pPr>
          </w:p>
          <w:p w14:paraId="5D6D8239" w14:textId="77777777" w:rsidR="00B32768" w:rsidRPr="009244C3" w:rsidRDefault="00B32768" w:rsidP="00DF7D27">
            <w:pPr>
              <w:jc w:val="both"/>
              <w:rPr>
                <w:iCs/>
                <w:sz w:val="20"/>
                <w:szCs w:val="20"/>
              </w:rPr>
            </w:pPr>
            <w:r w:rsidRPr="009244C3">
              <w:rPr>
                <w:b/>
                <w:bCs/>
                <w:sz w:val="20"/>
                <w:szCs w:val="20"/>
              </w:rPr>
              <w:t>IV. Poznámka:</w:t>
            </w:r>
            <w:r w:rsidRPr="009244C3">
              <w:rPr>
                <w:iCs/>
                <w:sz w:val="20"/>
                <w:szCs w:val="20"/>
              </w:rPr>
              <w:t xml:space="preserve"> Predkladateľ zapracuje pripomienky a odporúčania na úpravu uvedené v bode II a uvedie stanovisko Komisie do doložky vybraných vplyvov spolu s vyhodnotením pripomienok.</w:t>
            </w:r>
          </w:p>
          <w:p w14:paraId="4D29B0D4" w14:textId="77777777" w:rsidR="00B32768" w:rsidRPr="009244C3" w:rsidRDefault="00B32768" w:rsidP="00DF7D27">
            <w:pPr>
              <w:pStyle w:val="Zkladntext"/>
            </w:pPr>
          </w:p>
          <w:p w14:paraId="537192FA" w14:textId="77777777" w:rsidR="00B32768" w:rsidRPr="00B32768" w:rsidRDefault="00B32768" w:rsidP="00DF7D27">
            <w:pPr>
              <w:pStyle w:val="Zkladntext"/>
              <w:rPr>
                <w:rFonts w:ascii="Times New Roman" w:hAnsi="Times New Roman" w:cs="Times New Roman"/>
                <w:b/>
                <w:bCs/>
                <w:sz w:val="22"/>
              </w:rPr>
            </w:pPr>
            <w:r w:rsidRPr="00B32768">
              <w:rPr>
                <w:rFonts w:ascii="Times New Roman" w:hAnsi="Times New Roman" w:cs="Times New Roman"/>
                <w:sz w:val="22"/>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4720521E" w14:textId="77777777" w:rsidR="00B32768" w:rsidRPr="009244C3" w:rsidRDefault="00B32768" w:rsidP="00DF7D27">
            <w:pPr>
              <w:jc w:val="both"/>
              <w:rPr>
                <w:iCs/>
                <w:sz w:val="20"/>
                <w:szCs w:val="20"/>
              </w:rPr>
            </w:pPr>
          </w:p>
          <w:p w14:paraId="3DFB25CF" w14:textId="77777777" w:rsidR="00B32768" w:rsidRPr="009244C3" w:rsidRDefault="00B32768" w:rsidP="00DF7D27">
            <w:pPr>
              <w:tabs>
                <w:tab w:val="center" w:pos="6379"/>
              </w:tabs>
              <w:ind w:left="4536" w:right="-2"/>
              <w:jc w:val="center"/>
              <w:rPr>
                <w:sz w:val="20"/>
                <w:szCs w:val="20"/>
              </w:rPr>
            </w:pPr>
            <w:r w:rsidRPr="009244C3">
              <w:rPr>
                <w:b/>
                <w:bCs/>
                <w:sz w:val="20"/>
                <w:szCs w:val="20"/>
              </w:rPr>
              <w:t>PhDr. Ján Oravec, CSc.</w:t>
            </w:r>
          </w:p>
          <w:p w14:paraId="66E65907" w14:textId="77777777" w:rsidR="00B32768" w:rsidRPr="00BC2196" w:rsidRDefault="00B32768" w:rsidP="00DF7D27">
            <w:pPr>
              <w:tabs>
                <w:tab w:val="center" w:pos="6379"/>
              </w:tabs>
              <w:ind w:left="4536" w:right="-2"/>
              <w:jc w:val="center"/>
              <w:rPr>
                <w:bCs/>
                <w:sz w:val="20"/>
                <w:szCs w:val="20"/>
              </w:rPr>
            </w:pPr>
            <w:r w:rsidRPr="009244C3">
              <w:rPr>
                <w:bCs/>
                <w:sz w:val="20"/>
                <w:szCs w:val="20"/>
              </w:rPr>
              <w:t>predseda Komisie</w:t>
            </w:r>
          </w:p>
          <w:p w14:paraId="2DF251C9" w14:textId="77777777" w:rsidR="00B32768" w:rsidRPr="00B043B4" w:rsidRDefault="00B32768" w:rsidP="00DF7D27">
            <w:pPr>
              <w:rPr>
                <w:rFonts w:eastAsia="Times New Roman"/>
                <w:b/>
                <w:sz w:val="20"/>
                <w:szCs w:val="20"/>
                <w:lang w:eastAsia="sk-SK"/>
              </w:rPr>
            </w:pPr>
          </w:p>
        </w:tc>
      </w:tr>
    </w:tbl>
    <w:p w14:paraId="43383421" w14:textId="77777777" w:rsidR="00B32768" w:rsidRDefault="00B32768" w:rsidP="00B32768"/>
    <w:p w14:paraId="42340DCA" w14:textId="77777777" w:rsidR="00C93602" w:rsidRPr="00E93FBA" w:rsidRDefault="00C93602" w:rsidP="00767D88">
      <w:pPr>
        <w:tabs>
          <w:tab w:val="left" w:pos="0"/>
        </w:tabs>
        <w:spacing w:after="2"/>
        <w:jc w:val="both"/>
        <w:rPr>
          <w:lang w:val="sk-SK"/>
        </w:rPr>
      </w:pPr>
    </w:p>
    <w:p w14:paraId="5F07B5D5" w14:textId="2BD776FD" w:rsidR="00A65C7F" w:rsidRPr="00E93FBA" w:rsidRDefault="00D777B9" w:rsidP="00D777B9">
      <w:pPr>
        <w:rPr>
          <w:lang w:val="sk-SK"/>
        </w:rPr>
      </w:pPr>
      <w:r>
        <w:rPr>
          <w:lang w:val="sk-SK"/>
        </w:rPr>
        <w:br w:type="page"/>
      </w:r>
    </w:p>
    <w:p w14:paraId="7529A2CD" w14:textId="77777777" w:rsidR="00D777B9" w:rsidRPr="007D5748" w:rsidRDefault="00D777B9" w:rsidP="00D777B9">
      <w:pPr>
        <w:jc w:val="center"/>
        <w:rPr>
          <w:b/>
          <w:bCs/>
          <w:sz w:val="28"/>
          <w:szCs w:val="28"/>
          <w:lang w:eastAsia="sk-SK"/>
        </w:rPr>
      </w:pPr>
      <w:r w:rsidRPr="2A7B2052">
        <w:rPr>
          <w:b/>
          <w:bCs/>
          <w:sz w:val="28"/>
          <w:szCs w:val="28"/>
          <w:lang w:eastAsia="sk-SK"/>
        </w:rPr>
        <w:lastRenderedPageBreak/>
        <w:t>Analýza vplyvov na rozpočet verejnej správy,</w:t>
      </w:r>
    </w:p>
    <w:p w14:paraId="595798F8" w14:textId="77777777" w:rsidR="00D777B9" w:rsidRPr="007D5748" w:rsidRDefault="00D777B9" w:rsidP="00D777B9">
      <w:pPr>
        <w:jc w:val="center"/>
        <w:rPr>
          <w:b/>
          <w:bCs/>
          <w:sz w:val="28"/>
          <w:szCs w:val="28"/>
          <w:lang w:eastAsia="sk-SK"/>
        </w:rPr>
      </w:pPr>
      <w:r w:rsidRPr="007D5748">
        <w:rPr>
          <w:b/>
          <w:bCs/>
          <w:sz w:val="28"/>
          <w:szCs w:val="28"/>
          <w:lang w:eastAsia="sk-SK"/>
        </w:rPr>
        <w:t>na zamestnanosť vo verejnej správe a financovanie návrhu</w:t>
      </w:r>
    </w:p>
    <w:p w14:paraId="10943DBC" w14:textId="77777777" w:rsidR="00D777B9" w:rsidRPr="00212894" w:rsidRDefault="00D777B9" w:rsidP="00D777B9">
      <w:pPr>
        <w:jc w:val="right"/>
        <w:rPr>
          <w:b/>
          <w:bCs/>
          <w:lang w:eastAsia="sk-SK"/>
        </w:rPr>
      </w:pPr>
    </w:p>
    <w:p w14:paraId="22110E65" w14:textId="77777777" w:rsidR="00D777B9" w:rsidRPr="00654641" w:rsidRDefault="00D777B9" w:rsidP="00D777B9">
      <w:pPr>
        <w:rPr>
          <w:b/>
          <w:bCs/>
          <w:lang w:eastAsia="sk-SK"/>
        </w:rPr>
      </w:pPr>
    </w:p>
    <w:p w14:paraId="0361FBE8" w14:textId="77777777" w:rsidR="00D777B9" w:rsidRPr="00654641" w:rsidRDefault="00D777B9" w:rsidP="00D777B9">
      <w:pPr>
        <w:rPr>
          <w:b/>
          <w:bCs/>
          <w:lang w:eastAsia="sk-SK"/>
        </w:rPr>
      </w:pPr>
      <w:r w:rsidRPr="00654641">
        <w:rPr>
          <w:b/>
          <w:bCs/>
          <w:lang w:eastAsia="sk-SK"/>
        </w:rPr>
        <w:t>2.1 Zhrnutie vplyvov na rozpočet verejnej správy v návrhu</w:t>
      </w:r>
    </w:p>
    <w:p w14:paraId="6109A422" w14:textId="77777777" w:rsidR="00D777B9" w:rsidRDefault="00D777B9" w:rsidP="00D777B9">
      <w:pPr>
        <w:jc w:val="right"/>
        <w:rPr>
          <w:sz w:val="20"/>
          <w:szCs w:val="20"/>
          <w:lang w:eastAsia="sk-SK"/>
        </w:rPr>
      </w:pPr>
    </w:p>
    <w:p w14:paraId="49EA96AD" w14:textId="77777777" w:rsidR="00D777B9" w:rsidRPr="007D5748" w:rsidRDefault="00D777B9" w:rsidP="00D777B9">
      <w:pPr>
        <w:jc w:val="right"/>
        <w:rPr>
          <w:sz w:val="20"/>
          <w:szCs w:val="20"/>
          <w:lang w:eastAsia="sk-SK"/>
        </w:rPr>
      </w:pPr>
      <w:r w:rsidRPr="007D5748">
        <w:rPr>
          <w:sz w:val="20"/>
          <w:szCs w:val="20"/>
          <w:lang w:eastAsia="sk-SK"/>
        </w:rPr>
        <w:t xml:space="preserve">Tabuľka č. 1 </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6"/>
        <w:gridCol w:w="1391"/>
        <w:gridCol w:w="1183"/>
        <w:gridCol w:w="1539"/>
        <w:gridCol w:w="1487"/>
      </w:tblGrid>
      <w:tr w:rsidR="00D777B9" w:rsidRPr="007D5748" w14:paraId="3C900F2B" w14:textId="77777777" w:rsidTr="00D777B9">
        <w:trPr>
          <w:trHeight w:val="295"/>
          <w:jc w:val="center"/>
        </w:trPr>
        <w:tc>
          <w:tcPr>
            <w:tcW w:w="3696" w:type="dxa"/>
            <w:vMerge w:val="restart"/>
            <w:shd w:val="clear" w:color="auto" w:fill="BFBFBF" w:themeFill="background1" w:themeFillShade="BF"/>
            <w:vAlign w:val="center"/>
          </w:tcPr>
          <w:p w14:paraId="47A33B05" w14:textId="77777777" w:rsidR="00D777B9" w:rsidRPr="007D5748" w:rsidRDefault="00D777B9" w:rsidP="00D777B9">
            <w:pPr>
              <w:jc w:val="center"/>
              <w:rPr>
                <w:b/>
                <w:bCs/>
                <w:sz w:val="18"/>
                <w:szCs w:val="18"/>
                <w:lang w:eastAsia="sk-SK"/>
              </w:rPr>
            </w:pPr>
            <w:bookmarkStart w:id="0" w:name="OLE_LINK1"/>
            <w:r w:rsidRPr="2A7B2052">
              <w:rPr>
                <w:b/>
                <w:bCs/>
                <w:sz w:val="18"/>
                <w:szCs w:val="18"/>
                <w:lang w:eastAsia="sk-SK"/>
              </w:rPr>
              <w:t>Vplyvy na rozpočet verejnej správy</w:t>
            </w:r>
          </w:p>
        </w:tc>
        <w:tc>
          <w:tcPr>
            <w:tcW w:w="5600" w:type="dxa"/>
            <w:gridSpan w:val="4"/>
            <w:shd w:val="clear" w:color="auto" w:fill="BFBFBF" w:themeFill="background1" w:themeFillShade="BF"/>
            <w:vAlign w:val="center"/>
          </w:tcPr>
          <w:p w14:paraId="5C1C164A" w14:textId="77777777" w:rsidR="00D777B9" w:rsidRPr="007D5748" w:rsidRDefault="00D777B9" w:rsidP="00D777B9">
            <w:pPr>
              <w:jc w:val="center"/>
              <w:rPr>
                <w:b/>
                <w:bCs/>
                <w:sz w:val="18"/>
                <w:szCs w:val="18"/>
                <w:lang w:eastAsia="sk-SK"/>
              </w:rPr>
            </w:pPr>
            <w:r w:rsidRPr="2A7B2052">
              <w:rPr>
                <w:b/>
                <w:bCs/>
                <w:sz w:val="18"/>
                <w:szCs w:val="18"/>
                <w:lang w:eastAsia="sk-SK"/>
              </w:rPr>
              <w:t>Vplyv na rozpočet verejnej správy (v eurách)</w:t>
            </w:r>
          </w:p>
        </w:tc>
      </w:tr>
      <w:tr w:rsidR="00D777B9" w:rsidRPr="007D5748" w14:paraId="2EAC0B57" w14:textId="77777777" w:rsidTr="00D777B9">
        <w:trPr>
          <w:trHeight w:val="295"/>
          <w:jc w:val="center"/>
        </w:trPr>
        <w:tc>
          <w:tcPr>
            <w:tcW w:w="3696" w:type="dxa"/>
            <w:vMerge/>
            <w:vAlign w:val="center"/>
          </w:tcPr>
          <w:p w14:paraId="7DA2A8E1" w14:textId="77777777" w:rsidR="00D777B9" w:rsidRPr="007D5748" w:rsidRDefault="00D777B9" w:rsidP="00D777B9">
            <w:pPr>
              <w:jc w:val="center"/>
              <w:rPr>
                <w:b/>
                <w:bCs/>
                <w:lang w:eastAsia="sk-SK"/>
              </w:rPr>
            </w:pPr>
          </w:p>
        </w:tc>
        <w:tc>
          <w:tcPr>
            <w:tcW w:w="1391" w:type="dxa"/>
            <w:shd w:val="clear" w:color="auto" w:fill="BFBFBF" w:themeFill="background1" w:themeFillShade="BF"/>
            <w:vAlign w:val="center"/>
          </w:tcPr>
          <w:p w14:paraId="6435ABC8" w14:textId="77777777" w:rsidR="00D777B9" w:rsidRPr="007D5748" w:rsidRDefault="00D777B9" w:rsidP="00D777B9">
            <w:pPr>
              <w:jc w:val="center"/>
              <w:rPr>
                <w:b/>
                <w:bCs/>
                <w:sz w:val="18"/>
                <w:szCs w:val="18"/>
                <w:lang w:eastAsia="sk-SK"/>
              </w:rPr>
            </w:pPr>
            <w:r w:rsidRPr="2A7B2052">
              <w:rPr>
                <w:b/>
                <w:bCs/>
                <w:sz w:val="18"/>
                <w:szCs w:val="18"/>
                <w:lang w:eastAsia="sk-SK"/>
              </w:rPr>
              <w:t>2021</w:t>
            </w:r>
          </w:p>
        </w:tc>
        <w:tc>
          <w:tcPr>
            <w:tcW w:w="1183" w:type="dxa"/>
            <w:shd w:val="clear" w:color="auto" w:fill="BFBFBF" w:themeFill="background1" w:themeFillShade="BF"/>
            <w:vAlign w:val="center"/>
          </w:tcPr>
          <w:p w14:paraId="7A0C1528" w14:textId="77777777" w:rsidR="00D777B9" w:rsidRPr="007D5748" w:rsidRDefault="00D777B9" w:rsidP="00D777B9">
            <w:pPr>
              <w:jc w:val="center"/>
              <w:rPr>
                <w:b/>
                <w:bCs/>
                <w:sz w:val="18"/>
                <w:szCs w:val="18"/>
                <w:lang w:eastAsia="sk-SK"/>
              </w:rPr>
            </w:pPr>
            <w:r w:rsidRPr="2A7B2052">
              <w:rPr>
                <w:b/>
                <w:bCs/>
                <w:sz w:val="18"/>
                <w:szCs w:val="18"/>
                <w:lang w:eastAsia="sk-SK"/>
              </w:rPr>
              <w:t>2022</w:t>
            </w:r>
          </w:p>
        </w:tc>
        <w:tc>
          <w:tcPr>
            <w:tcW w:w="1539" w:type="dxa"/>
            <w:shd w:val="clear" w:color="auto" w:fill="BFBFBF" w:themeFill="background1" w:themeFillShade="BF"/>
            <w:vAlign w:val="center"/>
          </w:tcPr>
          <w:p w14:paraId="3C94A940" w14:textId="77777777" w:rsidR="00D777B9" w:rsidRPr="007D5748" w:rsidRDefault="00D777B9" w:rsidP="00D777B9">
            <w:pPr>
              <w:jc w:val="center"/>
              <w:rPr>
                <w:b/>
                <w:bCs/>
                <w:sz w:val="18"/>
                <w:szCs w:val="18"/>
                <w:lang w:eastAsia="sk-SK"/>
              </w:rPr>
            </w:pPr>
            <w:r w:rsidRPr="2A7B2052">
              <w:rPr>
                <w:b/>
                <w:bCs/>
                <w:sz w:val="18"/>
                <w:szCs w:val="18"/>
                <w:lang w:eastAsia="sk-SK"/>
              </w:rPr>
              <w:t>2023</w:t>
            </w:r>
          </w:p>
        </w:tc>
        <w:tc>
          <w:tcPr>
            <w:tcW w:w="1486" w:type="dxa"/>
            <w:shd w:val="clear" w:color="auto" w:fill="BFBFBF" w:themeFill="background1" w:themeFillShade="BF"/>
            <w:vAlign w:val="center"/>
          </w:tcPr>
          <w:p w14:paraId="2E2DD0B2" w14:textId="77777777" w:rsidR="00D777B9" w:rsidRPr="007D5748" w:rsidRDefault="00D777B9" w:rsidP="00D777B9">
            <w:pPr>
              <w:jc w:val="center"/>
              <w:rPr>
                <w:b/>
                <w:bCs/>
                <w:sz w:val="18"/>
                <w:szCs w:val="18"/>
                <w:lang w:eastAsia="sk-SK"/>
              </w:rPr>
            </w:pPr>
            <w:r w:rsidRPr="2A7B2052">
              <w:rPr>
                <w:b/>
                <w:bCs/>
                <w:sz w:val="18"/>
                <w:szCs w:val="18"/>
                <w:lang w:eastAsia="sk-SK"/>
              </w:rPr>
              <w:t>2024</w:t>
            </w:r>
          </w:p>
        </w:tc>
      </w:tr>
      <w:tr w:rsidR="00D777B9" w14:paraId="66DB33D4" w14:textId="77777777" w:rsidTr="00D777B9">
        <w:trPr>
          <w:trHeight w:val="295"/>
          <w:jc w:val="center"/>
        </w:trPr>
        <w:tc>
          <w:tcPr>
            <w:tcW w:w="3696" w:type="dxa"/>
            <w:shd w:val="clear" w:color="auto" w:fill="BFBFBF" w:themeFill="background1" w:themeFillShade="BF"/>
            <w:vAlign w:val="center"/>
          </w:tcPr>
          <w:p w14:paraId="193BD7CF" w14:textId="77777777" w:rsidR="00D777B9" w:rsidRDefault="00D777B9" w:rsidP="00D777B9">
            <w:pPr>
              <w:jc w:val="center"/>
              <w:rPr>
                <w:b/>
                <w:bCs/>
                <w:sz w:val="18"/>
                <w:szCs w:val="18"/>
                <w:lang w:eastAsia="sk-SK"/>
              </w:rPr>
            </w:pPr>
          </w:p>
        </w:tc>
        <w:tc>
          <w:tcPr>
            <w:tcW w:w="1391" w:type="dxa"/>
            <w:shd w:val="clear" w:color="auto" w:fill="BFBFBF" w:themeFill="background1" w:themeFillShade="BF"/>
            <w:vAlign w:val="center"/>
          </w:tcPr>
          <w:p w14:paraId="27D2D374" w14:textId="77777777" w:rsidR="00D777B9" w:rsidRDefault="00D777B9" w:rsidP="00D777B9">
            <w:pPr>
              <w:jc w:val="center"/>
              <w:rPr>
                <w:b/>
                <w:bCs/>
                <w:sz w:val="18"/>
                <w:szCs w:val="18"/>
                <w:lang w:eastAsia="sk-SK"/>
              </w:rPr>
            </w:pPr>
          </w:p>
        </w:tc>
        <w:tc>
          <w:tcPr>
            <w:tcW w:w="1183" w:type="dxa"/>
            <w:shd w:val="clear" w:color="auto" w:fill="BFBFBF" w:themeFill="background1" w:themeFillShade="BF"/>
            <w:vAlign w:val="center"/>
          </w:tcPr>
          <w:p w14:paraId="5E06C5E8" w14:textId="77777777" w:rsidR="00D777B9" w:rsidRDefault="00D777B9" w:rsidP="00D777B9">
            <w:pPr>
              <w:jc w:val="center"/>
              <w:rPr>
                <w:b/>
                <w:bCs/>
                <w:sz w:val="18"/>
                <w:szCs w:val="18"/>
                <w:lang w:eastAsia="sk-SK"/>
              </w:rPr>
            </w:pPr>
          </w:p>
        </w:tc>
        <w:tc>
          <w:tcPr>
            <w:tcW w:w="1539" w:type="dxa"/>
            <w:shd w:val="clear" w:color="auto" w:fill="BFBFBF" w:themeFill="background1" w:themeFillShade="BF"/>
            <w:vAlign w:val="center"/>
          </w:tcPr>
          <w:p w14:paraId="44E33B09" w14:textId="77777777" w:rsidR="00D777B9" w:rsidRDefault="00D777B9" w:rsidP="00D777B9">
            <w:pPr>
              <w:jc w:val="center"/>
              <w:rPr>
                <w:b/>
                <w:bCs/>
                <w:sz w:val="18"/>
                <w:szCs w:val="18"/>
                <w:lang w:eastAsia="sk-SK"/>
              </w:rPr>
            </w:pPr>
          </w:p>
        </w:tc>
        <w:tc>
          <w:tcPr>
            <w:tcW w:w="1486" w:type="dxa"/>
            <w:shd w:val="clear" w:color="auto" w:fill="BFBFBF" w:themeFill="background1" w:themeFillShade="BF"/>
            <w:vAlign w:val="center"/>
          </w:tcPr>
          <w:p w14:paraId="5C5C955F" w14:textId="77777777" w:rsidR="00D777B9" w:rsidRDefault="00D777B9" w:rsidP="00D777B9">
            <w:pPr>
              <w:jc w:val="center"/>
              <w:rPr>
                <w:b/>
                <w:bCs/>
                <w:sz w:val="18"/>
                <w:szCs w:val="18"/>
                <w:lang w:eastAsia="sk-SK"/>
              </w:rPr>
            </w:pPr>
          </w:p>
        </w:tc>
      </w:tr>
      <w:tr w:rsidR="00D777B9" w:rsidRPr="007D5748" w14:paraId="73984535" w14:textId="77777777" w:rsidTr="00D777B9">
        <w:trPr>
          <w:trHeight w:val="295"/>
          <w:jc w:val="center"/>
        </w:trPr>
        <w:tc>
          <w:tcPr>
            <w:tcW w:w="3696" w:type="dxa"/>
            <w:shd w:val="clear" w:color="auto" w:fill="C0C0C0"/>
            <w:noWrap/>
            <w:vAlign w:val="center"/>
          </w:tcPr>
          <w:p w14:paraId="02602F73" w14:textId="77777777" w:rsidR="00D777B9" w:rsidRPr="007D5748" w:rsidRDefault="00D777B9" w:rsidP="00D777B9">
            <w:pPr>
              <w:rPr>
                <w:sz w:val="18"/>
                <w:szCs w:val="18"/>
                <w:lang w:eastAsia="sk-SK"/>
              </w:rPr>
            </w:pPr>
            <w:r w:rsidRPr="2A7B2052">
              <w:rPr>
                <w:b/>
                <w:bCs/>
                <w:sz w:val="18"/>
                <w:szCs w:val="18"/>
                <w:lang w:eastAsia="sk-SK"/>
              </w:rPr>
              <w:t>Príjmy verejnej správy celkom</w:t>
            </w:r>
          </w:p>
        </w:tc>
        <w:tc>
          <w:tcPr>
            <w:tcW w:w="1391" w:type="dxa"/>
            <w:shd w:val="clear" w:color="auto" w:fill="C0C0C0"/>
            <w:vAlign w:val="center"/>
          </w:tcPr>
          <w:p w14:paraId="3F0903AD"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183" w:type="dxa"/>
            <w:shd w:val="clear" w:color="auto" w:fill="C0C0C0"/>
            <w:vAlign w:val="center"/>
          </w:tcPr>
          <w:p w14:paraId="57DEE6D4"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539" w:type="dxa"/>
            <w:shd w:val="clear" w:color="auto" w:fill="C0C0C0"/>
            <w:vAlign w:val="center"/>
          </w:tcPr>
          <w:p w14:paraId="1D4A41D6"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486" w:type="dxa"/>
            <w:shd w:val="clear" w:color="auto" w:fill="C0C0C0"/>
            <w:vAlign w:val="center"/>
          </w:tcPr>
          <w:p w14:paraId="44CC7B05" w14:textId="77777777" w:rsidR="00D777B9" w:rsidRPr="007D5748" w:rsidRDefault="00D777B9" w:rsidP="00D777B9">
            <w:pPr>
              <w:jc w:val="right"/>
              <w:rPr>
                <w:b/>
                <w:bCs/>
                <w:sz w:val="18"/>
                <w:szCs w:val="18"/>
                <w:lang w:eastAsia="sk-SK"/>
              </w:rPr>
            </w:pPr>
            <w:r w:rsidRPr="2A7B2052">
              <w:rPr>
                <w:b/>
                <w:bCs/>
                <w:sz w:val="18"/>
                <w:szCs w:val="18"/>
                <w:lang w:eastAsia="sk-SK"/>
              </w:rPr>
              <w:t>0</w:t>
            </w:r>
          </w:p>
        </w:tc>
      </w:tr>
      <w:tr w:rsidR="00D777B9" w:rsidRPr="007D5748" w14:paraId="3248198C" w14:textId="77777777" w:rsidTr="00D777B9">
        <w:trPr>
          <w:trHeight w:val="295"/>
          <w:jc w:val="center"/>
        </w:trPr>
        <w:tc>
          <w:tcPr>
            <w:tcW w:w="3696" w:type="dxa"/>
            <w:noWrap/>
            <w:vAlign w:val="center"/>
          </w:tcPr>
          <w:p w14:paraId="33A3ECA7" w14:textId="77777777" w:rsidR="00D777B9" w:rsidRPr="007D5748" w:rsidRDefault="00D777B9" w:rsidP="00D777B9">
            <w:pPr>
              <w:rPr>
                <w:sz w:val="18"/>
                <w:szCs w:val="18"/>
                <w:lang w:eastAsia="sk-SK"/>
              </w:rPr>
            </w:pPr>
            <w:r w:rsidRPr="2A7B2052">
              <w:rPr>
                <w:sz w:val="18"/>
                <w:szCs w:val="18"/>
                <w:lang w:eastAsia="sk-SK"/>
              </w:rPr>
              <w:t>v tom: za každý subjekt verejnej správy zvlášť</w:t>
            </w:r>
          </w:p>
        </w:tc>
        <w:tc>
          <w:tcPr>
            <w:tcW w:w="1391" w:type="dxa"/>
            <w:noWrap/>
            <w:vAlign w:val="center"/>
          </w:tcPr>
          <w:p w14:paraId="32BA99D0"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noWrap/>
            <w:vAlign w:val="center"/>
          </w:tcPr>
          <w:p w14:paraId="3BAB7D8E"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539" w:type="dxa"/>
            <w:noWrap/>
            <w:vAlign w:val="center"/>
          </w:tcPr>
          <w:p w14:paraId="3CFC84E1"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486" w:type="dxa"/>
            <w:noWrap/>
            <w:vAlign w:val="center"/>
          </w:tcPr>
          <w:p w14:paraId="3E8292D7" w14:textId="77777777" w:rsidR="00D777B9" w:rsidRPr="005934BC" w:rsidRDefault="00D777B9" w:rsidP="00D777B9">
            <w:pPr>
              <w:jc w:val="right"/>
              <w:rPr>
                <w:b/>
                <w:bCs/>
                <w:sz w:val="18"/>
                <w:szCs w:val="18"/>
                <w:lang w:eastAsia="sk-SK"/>
              </w:rPr>
            </w:pPr>
            <w:r w:rsidRPr="005934BC">
              <w:rPr>
                <w:b/>
                <w:bCs/>
                <w:sz w:val="18"/>
                <w:szCs w:val="18"/>
                <w:lang w:eastAsia="sk-SK"/>
              </w:rPr>
              <w:t>0</w:t>
            </w:r>
          </w:p>
        </w:tc>
      </w:tr>
      <w:tr w:rsidR="00D777B9" w:rsidRPr="007D5748" w14:paraId="25B45DF0" w14:textId="77777777" w:rsidTr="00D777B9">
        <w:trPr>
          <w:trHeight w:val="295"/>
          <w:jc w:val="center"/>
        </w:trPr>
        <w:tc>
          <w:tcPr>
            <w:tcW w:w="3696" w:type="dxa"/>
            <w:noWrap/>
            <w:vAlign w:val="center"/>
          </w:tcPr>
          <w:p w14:paraId="1308E8BA" w14:textId="77777777" w:rsidR="00D777B9" w:rsidRPr="007D5748" w:rsidRDefault="00D777B9" w:rsidP="00D777B9">
            <w:pPr>
              <w:rPr>
                <w:b/>
                <w:bCs/>
                <w:i/>
                <w:iCs/>
                <w:sz w:val="18"/>
                <w:szCs w:val="18"/>
                <w:lang w:eastAsia="sk-SK"/>
              </w:rPr>
            </w:pPr>
            <w:r w:rsidRPr="2A7B2052">
              <w:rPr>
                <w:b/>
                <w:bCs/>
                <w:i/>
                <w:iCs/>
                <w:sz w:val="18"/>
                <w:szCs w:val="18"/>
                <w:lang w:eastAsia="sk-SK"/>
              </w:rPr>
              <w:t xml:space="preserve">z toho:  </w:t>
            </w:r>
          </w:p>
        </w:tc>
        <w:tc>
          <w:tcPr>
            <w:tcW w:w="1391" w:type="dxa"/>
            <w:noWrap/>
            <w:vAlign w:val="center"/>
          </w:tcPr>
          <w:p w14:paraId="57D4EB61" w14:textId="77777777" w:rsidR="00D777B9" w:rsidRPr="007D5748" w:rsidRDefault="00D777B9" w:rsidP="00D777B9">
            <w:pPr>
              <w:jc w:val="right"/>
              <w:rPr>
                <w:b/>
                <w:bCs/>
                <w:sz w:val="18"/>
                <w:szCs w:val="18"/>
                <w:lang w:eastAsia="sk-SK"/>
              </w:rPr>
            </w:pPr>
          </w:p>
        </w:tc>
        <w:tc>
          <w:tcPr>
            <w:tcW w:w="1183" w:type="dxa"/>
            <w:noWrap/>
            <w:vAlign w:val="center"/>
          </w:tcPr>
          <w:p w14:paraId="1E56D0D7" w14:textId="77777777" w:rsidR="00D777B9" w:rsidRPr="007D5748" w:rsidRDefault="00D777B9" w:rsidP="00D777B9">
            <w:pPr>
              <w:jc w:val="right"/>
              <w:rPr>
                <w:b/>
                <w:bCs/>
                <w:sz w:val="18"/>
                <w:szCs w:val="18"/>
                <w:lang w:eastAsia="sk-SK"/>
              </w:rPr>
            </w:pPr>
          </w:p>
        </w:tc>
        <w:tc>
          <w:tcPr>
            <w:tcW w:w="1539" w:type="dxa"/>
            <w:noWrap/>
            <w:vAlign w:val="center"/>
          </w:tcPr>
          <w:p w14:paraId="03969177" w14:textId="77777777" w:rsidR="00D777B9" w:rsidRPr="007D5748" w:rsidRDefault="00D777B9" w:rsidP="00D777B9">
            <w:pPr>
              <w:jc w:val="right"/>
              <w:rPr>
                <w:b/>
                <w:bCs/>
                <w:sz w:val="18"/>
                <w:szCs w:val="18"/>
                <w:lang w:eastAsia="sk-SK"/>
              </w:rPr>
            </w:pPr>
          </w:p>
        </w:tc>
        <w:tc>
          <w:tcPr>
            <w:tcW w:w="1486" w:type="dxa"/>
            <w:noWrap/>
            <w:vAlign w:val="center"/>
          </w:tcPr>
          <w:p w14:paraId="42572F0A" w14:textId="77777777" w:rsidR="00D777B9" w:rsidRPr="007D5748" w:rsidRDefault="00D777B9" w:rsidP="00D777B9">
            <w:pPr>
              <w:jc w:val="right"/>
              <w:rPr>
                <w:b/>
                <w:bCs/>
                <w:sz w:val="18"/>
                <w:szCs w:val="18"/>
                <w:lang w:eastAsia="sk-SK"/>
              </w:rPr>
            </w:pPr>
          </w:p>
        </w:tc>
      </w:tr>
      <w:tr w:rsidR="00D777B9" w:rsidRPr="007D5748" w14:paraId="73B75218" w14:textId="77777777" w:rsidTr="00D777B9">
        <w:trPr>
          <w:trHeight w:val="295"/>
          <w:jc w:val="center"/>
        </w:trPr>
        <w:tc>
          <w:tcPr>
            <w:tcW w:w="3696" w:type="dxa"/>
            <w:noWrap/>
            <w:vAlign w:val="center"/>
          </w:tcPr>
          <w:p w14:paraId="138488B9" w14:textId="77777777" w:rsidR="00D777B9" w:rsidRPr="007D5748" w:rsidRDefault="00D777B9" w:rsidP="00D777B9">
            <w:pPr>
              <w:rPr>
                <w:b/>
                <w:bCs/>
                <w:i/>
                <w:iCs/>
                <w:sz w:val="18"/>
                <w:szCs w:val="18"/>
                <w:lang w:eastAsia="sk-SK"/>
              </w:rPr>
            </w:pPr>
            <w:r w:rsidRPr="2A7B2052">
              <w:rPr>
                <w:b/>
                <w:bCs/>
                <w:i/>
                <w:iCs/>
                <w:sz w:val="18"/>
                <w:szCs w:val="18"/>
                <w:lang w:eastAsia="sk-SK"/>
              </w:rPr>
              <w:t>- vplyv na ŠR</w:t>
            </w:r>
          </w:p>
        </w:tc>
        <w:tc>
          <w:tcPr>
            <w:tcW w:w="1391" w:type="dxa"/>
            <w:noWrap/>
            <w:vAlign w:val="center"/>
          </w:tcPr>
          <w:p w14:paraId="5E7DCE16"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1B581AA1"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539" w:type="dxa"/>
            <w:noWrap/>
            <w:vAlign w:val="center"/>
          </w:tcPr>
          <w:p w14:paraId="1E0256E6"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486" w:type="dxa"/>
            <w:noWrap/>
            <w:vAlign w:val="center"/>
          </w:tcPr>
          <w:p w14:paraId="5ACC892C" w14:textId="77777777" w:rsidR="00D777B9" w:rsidRPr="007D5748" w:rsidRDefault="00D777B9" w:rsidP="00D777B9">
            <w:pPr>
              <w:jc w:val="right"/>
              <w:rPr>
                <w:b/>
                <w:bCs/>
                <w:sz w:val="18"/>
                <w:szCs w:val="18"/>
                <w:lang w:eastAsia="sk-SK"/>
              </w:rPr>
            </w:pPr>
            <w:r w:rsidRPr="2A7B2052">
              <w:rPr>
                <w:b/>
                <w:bCs/>
                <w:sz w:val="18"/>
                <w:szCs w:val="18"/>
                <w:lang w:eastAsia="sk-SK"/>
              </w:rPr>
              <w:t>0</w:t>
            </w:r>
          </w:p>
        </w:tc>
      </w:tr>
      <w:tr w:rsidR="00D777B9" w:rsidRPr="007D5748" w14:paraId="03A4C774" w14:textId="77777777" w:rsidTr="00D777B9">
        <w:trPr>
          <w:trHeight w:val="295"/>
          <w:jc w:val="center"/>
        </w:trPr>
        <w:tc>
          <w:tcPr>
            <w:tcW w:w="3696" w:type="dxa"/>
            <w:noWrap/>
            <w:vAlign w:val="center"/>
          </w:tcPr>
          <w:p w14:paraId="5AD55F40" w14:textId="77777777" w:rsidR="00D777B9" w:rsidRPr="007D5748" w:rsidRDefault="00D777B9" w:rsidP="00D777B9">
            <w:pPr>
              <w:ind w:left="259"/>
              <w:rPr>
                <w:b/>
                <w:bCs/>
                <w:i/>
                <w:iCs/>
                <w:sz w:val="18"/>
                <w:szCs w:val="18"/>
                <w:lang w:eastAsia="sk-SK"/>
              </w:rPr>
            </w:pPr>
            <w:r w:rsidRPr="2A7B2052">
              <w:rPr>
                <w:i/>
                <w:iCs/>
                <w:sz w:val="18"/>
                <w:szCs w:val="18"/>
                <w:lang w:eastAsia="sk-SK"/>
              </w:rPr>
              <w:t>Rozpočtové prostriedky</w:t>
            </w:r>
          </w:p>
        </w:tc>
        <w:tc>
          <w:tcPr>
            <w:tcW w:w="1391" w:type="dxa"/>
            <w:noWrap/>
            <w:vAlign w:val="center"/>
          </w:tcPr>
          <w:p w14:paraId="46B3EFE5"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0006EF46"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539" w:type="dxa"/>
            <w:noWrap/>
            <w:vAlign w:val="center"/>
          </w:tcPr>
          <w:p w14:paraId="2516040F"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486" w:type="dxa"/>
            <w:noWrap/>
            <w:vAlign w:val="center"/>
          </w:tcPr>
          <w:p w14:paraId="58A66CB2" w14:textId="77777777" w:rsidR="00D777B9" w:rsidRPr="007D5748" w:rsidRDefault="00D777B9" w:rsidP="00D777B9">
            <w:pPr>
              <w:jc w:val="right"/>
              <w:rPr>
                <w:b/>
                <w:bCs/>
                <w:sz w:val="18"/>
                <w:szCs w:val="18"/>
                <w:lang w:eastAsia="sk-SK"/>
              </w:rPr>
            </w:pPr>
            <w:r w:rsidRPr="2A7B2052">
              <w:rPr>
                <w:b/>
                <w:bCs/>
                <w:sz w:val="18"/>
                <w:szCs w:val="18"/>
                <w:lang w:eastAsia="sk-SK"/>
              </w:rPr>
              <w:t>0</w:t>
            </w:r>
          </w:p>
        </w:tc>
      </w:tr>
      <w:tr w:rsidR="00D777B9" w:rsidRPr="007D5748" w14:paraId="79516109" w14:textId="77777777" w:rsidTr="00D777B9">
        <w:trPr>
          <w:trHeight w:val="295"/>
          <w:jc w:val="center"/>
        </w:trPr>
        <w:tc>
          <w:tcPr>
            <w:tcW w:w="3696" w:type="dxa"/>
            <w:noWrap/>
            <w:vAlign w:val="center"/>
          </w:tcPr>
          <w:p w14:paraId="638457FF" w14:textId="77777777" w:rsidR="00D777B9" w:rsidRPr="007D5748" w:rsidRDefault="00D777B9" w:rsidP="00D777B9">
            <w:pPr>
              <w:ind w:left="259"/>
              <w:rPr>
                <w:i/>
                <w:iCs/>
                <w:sz w:val="18"/>
                <w:szCs w:val="18"/>
                <w:lang w:eastAsia="sk-SK"/>
              </w:rPr>
            </w:pPr>
            <w:r w:rsidRPr="2A7B2052">
              <w:rPr>
                <w:i/>
                <w:iCs/>
                <w:sz w:val="18"/>
                <w:szCs w:val="18"/>
                <w:lang w:eastAsia="sk-SK"/>
              </w:rPr>
              <w:t>EÚ zdroje</w:t>
            </w:r>
          </w:p>
        </w:tc>
        <w:tc>
          <w:tcPr>
            <w:tcW w:w="1391" w:type="dxa"/>
            <w:noWrap/>
            <w:vAlign w:val="center"/>
          </w:tcPr>
          <w:p w14:paraId="6730CDF1"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noWrap/>
            <w:vAlign w:val="center"/>
          </w:tcPr>
          <w:p w14:paraId="56597D80"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539" w:type="dxa"/>
            <w:noWrap/>
            <w:vAlign w:val="center"/>
          </w:tcPr>
          <w:p w14:paraId="4230875E"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486" w:type="dxa"/>
            <w:noWrap/>
            <w:vAlign w:val="center"/>
          </w:tcPr>
          <w:p w14:paraId="5AC60241" w14:textId="77777777" w:rsidR="00D777B9" w:rsidRPr="005934BC" w:rsidRDefault="00D777B9" w:rsidP="00D777B9">
            <w:pPr>
              <w:jc w:val="right"/>
              <w:rPr>
                <w:b/>
                <w:bCs/>
                <w:sz w:val="18"/>
                <w:szCs w:val="18"/>
                <w:lang w:eastAsia="sk-SK"/>
              </w:rPr>
            </w:pPr>
            <w:r w:rsidRPr="005934BC">
              <w:rPr>
                <w:b/>
                <w:bCs/>
                <w:sz w:val="18"/>
                <w:szCs w:val="18"/>
                <w:lang w:eastAsia="sk-SK"/>
              </w:rPr>
              <w:t>0</w:t>
            </w:r>
          </w:p>
        </w:tc>
      </w:tr>
      <w:tr w:rsidR="00D777B9" w:rsidRPr="007D5748" w14:paraId="6656EB62" w14:textId="77777777" w:rsidTr="00D777B9">
        <w:trPr>
          <w:trHeight w:val="295"/>
          <w:jc w:val="center"/>
        </w:trPr>
        <w:tc>
          <w:tcPr>
            <w:tcW w:w="3696" w:type="dxa"/>
            <w:noWrap/>
            <w:vAlign w:val="center"/>
          </w:tcPr>
          <w:p w14:paraId="420485EA" w14:textId="77777777" w:rsidR="00D777B9" w:rsidRPr="007D5748" w:rsidRDefault="00D777B9" w:rsidP="00D777B9">
            <w:pPr>
              <w:rPr>
                <w:b/>
                <w:bCs/>
                <w:i/>
                <w:iCs/>
                <w:sz w:val="18"/>
                <w:szCs w:val="18"/>
                <w:lang w:eastAsia="sk-SK"/>
              </w:rPr>
            </w:pPr>
            <w:r w:rsidRPr="2A7B2052">
              <w:rPr>
                <w:b/>
                <w:bCs/>
                <w:i/>
                <w:iCs/>
                <w:sz w:val="18"/>
                <w:szCs w:val="18"/>
                <w:lang w:eastAsia="sk-SK"/>
              </w:rPr>
              <w:t>- vplyv na obce</w:t>
            </w:r>
          </w:p>
        </w:tc>
        <w:tc>
          <w:tcPr>
            <w:tcW w:w="1391" w:type="dxa"/>
            <w:noWrap/>
            <w:vAlign w:val="center"/>
          </w:tcPr>
          <w:p w14:paraId="42922E5C" w14:textId="77777777" w:rsidR="00D777B9" w:rsidRPr="00DB0AAB"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7D095CC7" w14:textId="77777777" w:rsidR="00D777B9" w:rsidRPr="00DB0AAB" w:rsidRDefault="00D777B9" w:rsidP="00D777B9">
            <w:pPr>
              <w:jc w:val="right"/>
              <w:rPr>
                <w:b/>
                <w:bCs/>
                <w:sz w:val="18"/>
                <w:szCs w:val="18"/>
                <w:lang w:eastAsia="sk-SK"/>
              </w:rPr>
            </w:pPr>
            <w:r w:rsidRPr="2A7B2052">
              <w:rPr>
                <w:b/>
                <w:bCs/>
                <w:sz w:val="18"/>
                <w:szCs w:val="18"/>
                <w:lang w:eastAsia="sk-SK"/>
              </w:rPr>
              <w:t>0</w:t>
            </w:r>
          </w:p>
        </w:tc>
        <w:tc>
          <w:tcPr>
            <w:tcW w:w="1539" w:type="dxa"/>
            <w:noWrap/>
            <w:vAlign w:val="center"/>
          </w:tcPr>
          <w:p w14:paraId="6B394AEE" w14:textId="77777777" w:rsidR="00D777B9" w:rsidRPr="00DB0AAB" w:rsidRDefault="00D777B9" w:rsidP="00D777B9">
            <w:pPr>
              <w:jc w:val="right"/>
              <w:rPr>
                <w:b/>
                <w:bCs/>
                <w:sz w:val="18"/>
                <w:szCs w:val="18"/>
                <w:lang w:eastAsia="sk-SK"/>
              </w:rPr>
            </w:pPr>
            <w:r w:rsidRPr="2A7B2052">
              <w:rPr>
                <w:b/>
                <w:bCs/>
                <w:sz w:val="18"/>
                <w:szCs w:val="18"/>
                <w:lang w:eastAsia="sk-SK"/>
              </w:rPr>
              <w:t>0</w:t>
            </w:r>
          </w:p>
        </w:tc>
        <w:tc>
          <w:tcPr>
            <w:tcW w:w="1486" w:type="dxa"/>
            <w:noWrap/>
            <w:vAlign w:val="center"/>
          </w:tcPr>
          <w:p w14:paraId="0FFC8A6B" w14:textId="77777777" w:rsidR="00D777B9" w:rsidRPr="007D5748" w:rsidRDefault="00D777B9" w:rsidP="00D777B9">
            <w:pPr>
              <w:jc w:val="right"/>
              <w:rPr>
                <w:b/>
                <w:bCs/>
                <w:sz w:val="18"/>
                <w:szCs w:val="18"/>
                <w:lang w:eastAsia="sk-SK"/>
              </w:rPr>
            </w:pPr>
            <w:r w:rsidRPr="2A7B2052">
              <w:rPr>
                <w:b/>
                <w:bCs/>
                <w:sz w:val="18"/>
                <w:szCs w:val="18"/>
                <w:lang w:eastAsia="sk-SK"/>
              </w:rPr>
              <w:t>0</w:t>
            </w:r>
          </w:p>
        </w:tc>
      </w:tr>
      <w:tr w:rsidR="00D777B9" w:rsidRPr="007D5748" w14:paraId="574EA9D0" w14:textId="77777777" w:rsidTr="00D777B9">
        <w:trPr>
          <w:trHeight w:val="295"/>
          <w:jc w:val="center"/>
        </w:trPr>
        <w:tc>
          <w:tcPr>
            <w:tcW w:w="3696" w:type="dxa"/>
            <w:noWrap/>
            <w:vAlign w:val="center"/>
          </w:tcPr>
          <w:p w14:paraId="2F90F781" w14:textId="77777777" w:rsidR="00D777B9" w:rsidRPr="007D5748" w:rsidRDefault="00D777B9" w:rsidP="00D777B9">
            <w:pPr>
              <w:rPr>
                <w:b/>
                <w:bCs/>
                <w:i/>
                <w:iCs/>
                <w:sz w:val="18"/>
                <w:szCs w:val="18"/>
                <w:lang w:eastAsia="sk-SK"/>
              </w:rPr>
            </w:pPr>
            <w:r w:rsidRPr="2A7B2052">
              <w:rPr>
                <w:b/>
                <w:bCs/>
                <w:i/>
                <w:iCs/>
                <w:sz w:val="18"/>
                <w:szCs w:val="18"/>
                <w:lang w:eastAsia="sk-SK"/>
              </w:rPr>
              <w:t>- vplyv na vyššie územné celky</w:t>
            </w:r>
          </w:p>
        </w:tc>
        <w:tc>
          <w:tcPr>
            <w:tcW w:w="1391" w:type="dxa"/>
            <w:noWrap/>
            <w:vAlign w:val="center"/>
          </w:tcPr>
          <w:p w14:paraId="6773CEBA" w14:textId="77777777" w:rsidR="00D777B9" w:rsidRPr="00DB0AAB"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60CE9E9E" w14:textId="77777777" w:rsidR="00D777B9" w:rsidRPr="00DB0AAB" w:rsidRDefault="00D777B9" w:rsidP="00D777B9">
            <w:pPr>
              <w:jc w:val="right"/>
              <w:rPr>
                <w:b/>
                <w:bCs/>
                <w:sz w:val="18"/>
                <w:szCs w:val="18"/>
                <w:lang w:eastAsia="sk-SK"/>
              </w:rPr>
            </w:pPr>
            <w:r w:rsidRPr="2A7B2052">
              <w:rPr>
                <w:b/>
                <w:bCs/>
                <w:sz w:val="18"/>
                <w:szCs w:val="18"/>
                <w:lang w:eastAsia="sk-SK"/>
              </w:rPr>
              <w:t>0</w:t>
            </w:r>
          </w:p>
        </w:tc>
        <w:tc>
          <w:tcPr>
            <w:tcW w:w="1539" w:type="dxa"/>
            <w:noWrap/>
            <w:vAlign w:val="center"/>
          </w:tcPr>
          <w:p w14:paraId="71A8068F" w14:textId="77777777" w:rsidR="00D777B9" w:rsidRPr="00DB0AAB" w:rsidRDefault="00D777B9" w:rsidP="00D777B9">
            <w:pPr>
              <w:jc w:val="right"/>
              <w:rPr>
                <w:b/>
                <w:bCs/>
                <w:sz w:val="18"/>
                <w:szCs w:val="18"/>
                <w:lang w:eastAsia="sk-SK"/>
              </w:rPr>
            </w:pPr>
            <w:r w:rsidRPr="2A7B2052">
              <w:rPr>
                <w:b/>
                <w:bCs/>
                <w:sz w:val="18"/>
                <w:szCs w:val="18"/>
                <w:lang w:eastAsia="sk-SK"/>
              </w:rPr>
              <w:t>0</w:t>
            </w:r>
          </w:p>
        </w:tc>
        <w:tc>
          <w:tcPr>
            <w:tcW w:w="1486" w:type="dxa"/>
            <w:noWrap/>
            <w:vAlign w:val="center"/>
          </w:tcPr>
          <w:p w14:paraId="5610A31E" w14:textId="77777777" w:rsidR="00D777B9" w:rsidRPr="007D5748" w:rsidRDefault="00D777B9" w:rsidP="00D777B9">
            <w:pPr>
              <w:jc w:val="right"/>
              <w:rPr>
                <w:b/>
                <w:bCs/>
                <w:sz w:val="18"/>
                <w:szCs w:val="18"/>
                <w:lang w:eastAsia="sk-SK"/>
              </w:rPr>
            </w:pPr>
            <w:r w:rsidRPr="2A7B2052">
              <w:rPr>
                <w:b/>
                <w:bCs/>
                <w:sz w:val="18"/>
                <w:szCs w:val="18"/>
                <w:lang w:eastAsia="sk-SK"/>
              </w:rPr>
              <w:t>0</w:t>
            </w:r>
          </w:p>
        </w:tc>
      </w:tr>
      <w:tr w:rsidR="00D777B9" w:rsidRPr="007D5748" w14:paraId="23FB27A9" w14:textId="77777777" w:rsidTr="00D777B9">
        <w:trPr>
          <w:trHeight w:val="295"/>
          <w:jc w:val="center"/>
        </w:trPr>
        <w:tc>
          <w:tcPr>
            <w:tcW w:w="3696" w:type="dxa"/>
            <w:noWrap/>
            <w:vAlign w:val="center"/>
          </w:tcPr>
          <w:p w14:paraId="7FD56A53" w14:textId="77777777" w:rsidR="00D777B9" w:rsidRPr="007D5748" w:rsidRDefault="00D777B9" w:rsidP="00D777B9">
            <w:pPr>
              <w:rPr>
                <w:b/>
                <w:bCs/>
                <w:i/>
                <w:iCs/>
                <w:sz w:val="18"/>
                <w:szCs w:val="18"/>
                <w:lang w:eastAsia="sk-SK"/>
              </w:rPr>
            </w:pPr>
            <w:r w:rsidRPr="2A7B2052">
              <w:rPr>
                <w:b/>
                <w:bCs/>
                <w:i/>
                <w:iCs/>
                <w:sz w:val="18"/>
                <w:szCs w:val="18"/>
                <w:lang w:eastAsia="sk-SK"/>
              </w:rPr>
              <w:t>- vplyv na ostatné subjekty verejnej správy</w:t>
            </w:r>
          </w:p>
        </w:tc>
        <w:tc>
          <w:tcPr>
            <w:tcW w:w="1391" w:type="dxa"/>
            <w:noWrap/>
            <w:vAlign w:val="center"/>
          </w:tcPr>
          <w:p w14:paraId="395CE338" w14:textId="77777777" w:rsidR="00D777B9" w:rsidRPr="00DB0AAB"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3B85B8EE" w14:textId="77777777" w:rsidR="00D777B9" w:rsidRPr="00DB0AAB" w:rsidRDefault="00D777B9" w:rsidP="00D777B9">
            <w:pPr>
              <w:jc w:val="right"/>
              <w:rPr>
                <w:b/>
                <w:bCs/>
                <w:sz w:val="18"/>
                <w:szCs w:val="18"/>
                <w:lang w:eastAsia="sk-SK"/>
              </w:rPr>
            </w:pPr>
            <w:r w:rsidRPr="2A7B2052">
              <w:rPr>
                <w:b/>
                <w:bCs/>
                <w:sz w:val="18"/>
                <w:szCs w:val="18"/>
                <w:lang w:eastAsia="sk-SK"/>
              </w:rPr>
              <w:t>0</w:t>
            </w:r>
          </w:p>
        </w:tc>
        <w:tc>
          <w:tcPr>
            <w:tcW w:w="1539" w:type="dxa"/>
            <w:noWrap/>
            <w:vAlign w:val="center"/>
          </w:tcPr>
          <w:p w14:paraId="14145748" w14:textId="77777777" w:rsidR="00D777B9" w:rsidRPr="00DB0AAB" w:rsidRDefault="00D777B9" w:rsidP="00D777B9">
            <w:pPr>
              <w:jc w:val="right"/>
              <w:rPr>
                <w:b/>
                <w:bCs/>
                <w:sz w:val="18"/>
                <w:szCs w:val="18"/>
                <w:lang w:eastAsia="sk-SK"/>
              </w:rPr>
            </w:pPr>
            <w:r w:rsidRPr="2A7B2052">
              <w:rPr>
                <w:b/>
                <w:bCs/>
                <w:sz w:val="18"/>
                <w:szCs w:val="18"/>
                <w:lang w:eastAsia="sk-SK"/>
              </w:rPr>
              <w:t>0</w:t>
            </w:r>
          </w:p>
        </w:tc>
        <w:tc>
          <w:tcPr>
            <w:tcW w:w="1486" w:type="dxa"/>
            <w:noWrap/>
            <w:vAlign w:val="center"/>
          </w:tcPr>
          <w:p w14:paraId="6B65304F" w14:textId="77777777" w:rsidR="00D777B9" w:rsidRPr="007D5748" w:rsidRDefault="00D777B9" w:rsidP="00D777B9">
            <w:pPr>
              <w:jc w:val="right"/>
              <w:rPr>
                <w:b/>
                <w:bCs/>
                <w:sz w:val="18"/>
                <w:szCs w:val="18"/>
                <w:lang w:eastAsia="sk-SK"/>
              </w:rPr>
            </w:pPr>
            <w:r w:rsidRPr="2A7B2052">
              <w:rPr>
                <w:b/>
                <w:bCs/>
                <w:sz w:val="18"/>
                <w:szCs w:val="18"/>
                <w:lang w:eastAsia="sk-SK"/>
              </w:rPr>
              <w:t>0</w:t>
            </w:r>
          </w:p>
        </w:tc>
      </w:tr>
      <w:tr w:rsidR="00D777B9" w:rsidRPr="007D5748" w14:paraId="5D93CA9D" w14:textId="77777777" w:rsidTr="00D777B9">
        <w:trPr>
          <w:trHeight w:val="295"/>
          <w:jc w:val="center"/>
        </w:trPr>
        <w:tc>
          <w:tcPr>
            <w:tcW w:w="3696" w:type="dxa"/>
            <w:shd w:val="clear" w:color="auto" w:fill="C0C0C0"/>
            <w:noWrap/>
            <w:vAlign w:val="center"/>
          </w:tcPr>
          <w:p w14:paraId="752D33AA" w14:textId="77777777" w:rsidR="00D777B9" w:rsidRPr="007D5748" w:rsidRDefault="00D777B9" w:rsidP="00D777B9">
            <w:pPr>
              <w:rPr>
                <w:b/>
                <w:bCs/>
                <w:sz w:val="18"/>
                <w:szCs w:val="18"/>
                <w:lang w:eastAsia="sk-SK"/>
              </w:rPr>
            </w:pPr>
            <w:r w:rsidRPr="2A7B2052">
              <w:rPr>
                <w:b/>
                <w:bCs/>
                <w:sz w:val="18"/>
                <w:szCs w:val="18"/>
                <w:lang w:eastAsia="sk-SK"/>
              </w:rPr>
              <w:t>Výdavky verejnej správy celkom</w:t>
            </w:r>
          </w:p>
        </w:tc>
        <w:tc>
          <w:tcPr>
            <w:tcW w:w="1391" w:type="dxa"/>
            <w:shd w:val="clear" w:color="auto" w:fill="C0C0C0"/>
            <w:noWrap/>
          </w:tcPr>
          <w:p w14:paraId="62240694"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shd w:val="clear" w:color="auto" w:fill="C0C0C0"/>
            <w:noWrap/>
            <w:vAlign w:val="center"/>
          </w:tcPr>
          <w:p w14:paraId="1B1D457E" w14:textId="77777777" w:rsidR="00D777B9" w:rsidRPr="000B1F64" w:rsidRDefault="00D777B9" w:rsidP="00D777B9">
            <w:pPr>
              <w:jc w:val="right"/>
              <w:rPr>
                <w:b/>
                <w:bCs/>
                <w:sz w:val="18"/>
                <w:szCs w:val="18"/>
                <w:lang w:eastAsia="sk-SK"/>
              </w:rPr>
            </w:pPr>
            <w:r>
              <w:rPr>
                <w:b/>
                <w:bCs/>
                <w:sz w:val="18"/>
                <w:szCs w:val="18"/>
                <w:lang w:eastAsia="sk-SK"/>
              </w:rPr>
              <w:t>0</w:t>
            </w:r>
          </w:p>
        </w:tc>
        <w:tc>
          <w:tcPr>
            <w:tcW w:w="1539" w:type="dxa"/>
            <w:shd w:val="clear" w:color="auto" w:fill="C0C0C0"/>
            <w:noWrap/>
            <w:vAlign w:val="center"/>
          </w:tcPr>
          <w:p w14:paraId="4CFFB190" w14:textId="77777777" w:rsidR="00D777B9" w:rsidRPr="000B1F64" w:rsidRDefault="00D777B9" w:rsidP="00D777B9">
            <w:pPr>
              <w:jc w:val="right"/>
              <w:rPr>
                <w:b/>
                <w:bCs/>
                <w:sz w:val="18"/>
                <w:szCs w:val="18"/>
                <w:lang w:eastAsia="sk-SK"/>
              </w:rPr>
            </w:pPr>
            <w:r>
              <w:rPr>
                <w:b/>
                <w:bCs/>
                <w:sz w:val="18"/>
                <w:szCs w:val="18"/>
                <w:lang w:eastAsia="sk-SK"/>
              </w:rPr>
              <w:t>96</w:t>
            </w:r>
            <w:r w:rsidRPr="000B1F64">
              <w:rPr>
                <w:b/>
                <w:bCs/>
                <w:sz w:val="18"/>
                <w:szCs w:val="18"/>
                <w:lang w:eastAsia="sk-SK"/>
              </w:rPr>
              <w:t>9 552,00</w:t>
            </w:r>
          </w:p>
        </w:tc>
        <w:tc>
          <w:tcPr>
            <w:tcW w:w="1486" w:type="dxa"/>
            <w:shd w:val="clear" w:color="auto" w:fill="C0C0C0"/>
            <w:noWrap/>
          </w:tcPr>
          <w:p w14:paraId="084BC366" w14:textId="77777777" w:rsidR="00D777B9" w:rsidRPr="000B1F64" w:rsidRDefault="00D777B9" w:rsidP="00D777B9">
            <w:pPr>
              <w:jc w:val="right"/>
              <w:rPr>
                <w:b/>
                <w:bCs/>
                <w:sz w:val="18"/>
                <w:szCs w:val="18"/>
                <w:lang w:eastAsia="sk-SK"/>
              </w:rPr>
            </w:pPr>
            <w:r>
              <w:rPr>
                <w:b/>
                <w:bCs/>
                <w:sz w:val="18"/>
                <w:szCs w:val="18"/>
                <w:lang w:eastAsia="sk-SK"/>
              </w:rPr>
              <w:t>129</w:t>
            </w:r>
            <w:r w:rsidRPr="000B1F64">
              <w:rPr>
                <w:b/>
                <w:bCs/>
                <w:sz w:val="18"/>
                <w:szCs w:val="18"/>
                <w:lang w:eastAsia="sk-SK"/>
              </w:rPr>
              <w:t> </w:t>
            </w:r>
            <w:r>
              <w:rPr>
                <w:b/>
                <w:bCs/>
                <w:sz w:val="18"/>
                <w:szCs w:val="18"/>
                <w:lang w:eastAsia="sk-SK"/>
              </w:rPr>
              <w:t>552</w:t>
            </w:r>
            <w:r w:rsidRPr="000B1F64">
              <w:rPr>
                <w:b/>
                <w:bCs/>
                <w:sz w:val="18"/>
                <w:szCs w:val="18"/>
                <w:lang w:eastAsia="sk-SK"/>
              </w:rPr>
              <w:t>,00</w:t>
            </w:r>
          </w:p>
        </w:tc>
      </w:tr>
      <w:tr w:rsidR="00D777B9" w:rsidRPr="007D5748" w14:paraId="7A23DE25" w14:textId="77777777" w:rsidTr="00D777B9">
        <w:trPr>
          <w:trHeight w:val="295"/>
          <w:jc w:val="center"/>
        </w:trPr>
        <w:tc>
          <w:tcPr>
            <w:tcW w:w="3696" w:type="dxa"/>
            <w:noWrap/>
            <w:vAlign w:val="center"/>
          </w:tcPr>
          <w:p w14:paraId="09D0C979" w14:textId="77777777" w:rsidR="00D777B9" w:rsidRPr="00636AE4" w:rsidRDefault="00D777B9" w:rsidP="00D777B9">
            <w:pPr>
              <w:rPr>
                <w:sz w:val="18"/>
                <w:szCs w:val="18"/>
                <w:lang w:eastAsia="sk-SK"/>
              </w:rPr>
            </w:pPr>
            <w:r w:rsidRPr="2A7B2052">
              <w:rPr>
                <w:sz w:val="18"/>
                <w:szCs w:val="18"/>
                <w:lang w:eastAsia="sk-SK"/>
              </w:rPr>
              <w:t xml:space="preserve">Ministerstvo investícií, regionálneho rozvoja a informatizácie Slovenskej republiky </w:t>
            </w:r>
            <w:r>
              <w:rPr>
                <w:sz w:val="18"/>
                <w:szCs w:val="18"/>
                <w:lang w:eastAsia="sk-SK"/>
              </w:rPr>
              <w:t xml:space="preserve"> - </w:t>
            </w:r>
            <w:r w:rsidRPr="003D7859">
              <w:rPr>
                <w:sz w:val="18"/>
                <w:szCs w:val="18"/>
                <w:lang w:eastAsia="sk-SK"/>
              </w:rPr>
              <w:t xml:space="preserve">podprogram 0EK13 </w:t>
            </w:r>
            <w:r w:rsidRPr="2A7B2052">
              <w:rPr>
                <w:sz w:val="18"/>
                <w:szCs w:val="18"/>
                <w:lang w:eastAsia="sk-SK"/>
              </w:rPr>
              <w:t xml:space="preserve"> </w:t>
            </w:r>
          </w:p>
        </w:tc>
        <w:tc>
          <w:tcPr>
            <w:tcW w:w="1391" w:type="dxa"/>
            <w:noWrap/>
            <w:vAlign w:val="center"/>
          </w:tcPr>
          <w:p w14:paraId="29CDD1AB"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noWrap/>
            <w:vAlign w:val="center"/>
          </w:tcPr>
          <w:p w14:paraId="57F15520" w14:textId="77777777" w:rsidR="00D777B9" w:rsidRPr="000B1F64" w:rsidRDefault="00D777B9" w:rsidP="00D777B9">
            <w:pPr>
              <w:jc w:val="right"/>
              <w:rPr>
                <w:b/>
                <w:bCs/>
                <w:sz w:val="18"/>
                <w:szCs w:val="18"/>
                <w:lang w:eastAsia="sk-SK"/>
              </w:rPr>
            </w:pPr>
            <w:r>
              <w:rPr>
                <w:b/>
                <w:bCs/>
                <w:sz w:val="18"/>
                <w:szCs w:val="18"/>
                <w:lang w:eastAsia="sk-SK"/>
              </w:rPr>
              <w:t>0</w:t>
            </w:r>
          </w:p>
        </w:tc>
        <w:tc>
          <w:tcPr>
            <w:tcW w:w="1539" w:type="dxa"/>
            <w:noWrap/>
            <w:vAlign w:val="center"/>
          </w:tcPr>
          <w:p w14:paraId="605B9BD1" w14:textId="77777777" w:rsidR="00D777B9" w:rsidRPr="000B1F64" w:rsidRDefault="00D777B9" w:rsidP="00D777B9">
            <w:pPr>
              <w:jc w:val="right"/>
              <w:rPr>
                <w:b/>
                <w:bCs/>
                <w:sz w:val="18"/>
                <w:szCs w:val="18"/>
                <w:lang w:eastAsia="sk-SK"/>
              </w:rPr>
            </w:pPr>
            <w:r>
              <w:rPr>
                <w:b/>
                <w:bCs/>
                <w:sz w:val="18"/>
                <w:szCs w:val="18"/>
                <w:lang w:eastAsia="sk-SK"/>
              </w:rPr>
              <w:t>96</w:t>
            </w:r>
            <w:r w:rsidRPr="000B1F64">
              <w:rPr>
                <w:b/>
                <w:bCs/>
                <w:sz w:val="18"/>
                <w:szCs w:val="18"/>
                <w:lang w:eastAsia="sk-SK"/>
              </w:rPr>
              <w:t>9 552,00</w:t>
            </w:r>
          </w:p>
        </w:tc>
        <w:tc>
          <w:tcPr>
            <w:tcW w:w="1486" w:type="dxa"/>
            <w:noWrap/>
            <w:vAlign w:val="center"/>
          </w:tcPr>
          <w:p w14:paraId="3575900C" w14:textId="77777777" w:rsidR="00D777B9" w:rsidRPr="000B1F64" w:rsidRDefault="00D777B9" w:rsidP="00D777B9">
            <w:pPr>
              <w:jc w:val="right"/>
              <w:rPr>
                <w:b/>
                <w:bCs/>
                <w:sz w:val="18"/>
                <w:szCs w:val="18"/>
                <w:lang w:eastAsia="sk-SK"/>
              </w:rPr>
            </w:pPr>
            <w:r>
              <w:rPr>
                <w:b/>
                <w:bCs/>
                <w:sz w:val="18"/>
                <w:szCs w:val="18"/>
                <w:lang w:eastAsia="sk-SK"/>
              </w:rPr>
              <w:t>129</w:t>
            </w:r>
            <w:r w:rsidRPr="000B1F64">
              <w:rPr>
                <w:b/>
                <w:bCs/>
                <w:sz w:val="18"/>
                <w:szCs w:val="18"/>
                <w:lang w:eastAsia="sk-SK"/>
              </w:rPr>
              <w:t> </w:t>
            </w:r>
            <w:r>
              <w:rPr>
                <w:b/>
                <w:bCs/>
                <w:sz w:val="18"/>
                <w:szCs w:val="18"/>
                <w:lang w:eastAsia="sk-SK"/>
              </w:rPr>
              <w:t>552</w:t>
            </w:r>
            <w:r w:rsidRPr="000B1F64">
              <w:rPr>
                <w:b/>
                <w:bCs/>
                <w:sz w:val="18"/>
                <w:szCs w:val="18"/>
                <w:lang w:eastAsia="sk-SK"/>
              </w:rPr>
              <w:t>,00</w:t>
            </w:r>
          </w:p>
        </w:tc>
      </w:tr>
      <w:tr w:rsidR="00D777B9" w:rsidRPr="007D5748" w14:paraId="0F7D48E3" w14:textId="77777777" w:rsidTr="00D777B9">
        <w:trPr>
          <w:trHeight w:val="295"/>
          <w:jc w:val="center"/>
        </w:trPr>
        <w:tc>
          <w:tcPr>
            <w:tcW w:w="3696" w:type="dxa"/>
            <w:noWrap/>
            <w:vAlign w:val="center"/>
          </w:tcPr>
          <w:p w14:paraId="4D0E1DB6" w14:textId="77777777" w:rsidR="00D777B9" w:rsidRPr="00636AE4" w:rsidRDefault="00D777B9" w:rsidP="00D777B9">
            <w:pPr>
              <w:rPr>
                <w:b/>
                <w:bCs/>
                <w:i/>
                <w:iCs/>
                <w:sz w:val="18"/>
                <w:szCs w:val="18"/>
                <w:lang w:eastAsia="sk-SK"/>
              </w:rPr>
            </w:pPr>
            <w:r w:rsidRPr="2A7B2052">
              <w:rPr>
                <w:b/>
                <w:bCs/>
                <w:i/>
                <w:iCs/>
                <w:sz w:val="18"/>
                <w:szCs w:val="18"/>
                <w:lang w:eastAsia="sk-SK"/>
              </w:rPr>
              <w:t xml:space="preserve">z toho: </w:t>
            </w:r>
          </w:p>
        </w:tc>
        <w:tc>
          <w:tcPr>
            <w:tcW w:w="1391" w:type="dxa"/>
            <w:noWrap/>
            <w:vAlign w:val="center"/>
          </w:tcPr>
          <w:p w14:paraId="3196BB17" w14:textId="77777777" w:rsidR="00D777B9" w:rsidRPr="00636AE4" w:rsidRDefault="00D777B9" w:rsidP="00D777B9">
            <w:pPr>
              <w:jc w:val="right"/>
              <w:rPr>
                <w:b/>
                <w:bCs/>
                <w:sz w:val="18"/>
                <w:szCs w:val="18"/>
                <w:lang w:eastAsia="sk-SK"/>
              </w:rPr>
            </w:pPr>
          </w:p>
        </w:tc>
        <w:tc>
          <w:tcPr>
            <w:tcW w:w="1183" w:type="dxa"/>
            <w:noWrap/>
            <w:vAlign w:val="center"/>
          </w:tcPr>
          <w:p w14:paraId="7E943160" w14:textId="77777777" w:rsidR="00D777B9" w:rsidRPr="000B1F64" w:rsidRDefault="00D777B9" w:rsidP="00D777B9">
            <w:pPr>
              <w:jc w:val="right"/>
              <w:rPr>
                <w:b/>
                <w:bCs/>
                <w:sz w:val="18"/>
                <w:szCs w:val="18"/>
                <w:lang w:eastAsia="sk-SK"/>
              </w:rPr>
            </w:pPr>
          </w:p>
        </w:tc>
        <w:tc>
          <w:tcPr>
            <w:tcW w:w="1539" w:type="dxa"/>
            <w:noWrap/>
            <w:vAlign w:val="center"/>
          </w:tcPr>
          <w:p w14:paraId="16372FC8" w14:textId="77777777" w:rsidR="00D777B9" w:rsidRPr="000B1F64" w:rsidRDefault="00D777B9" w:rsidP="00D777B9">
            <w:pPr>
              <w:jc w:val="right"/>
              <w:rPr>
                <w:b/>
                <w:bCs/>
                <w:sz w:val="18"/>
                <w:szCs w:val="18"/>
                <w:lang w:eastAsia="sk-SK"/>
              </w:rPr>
            </w:pPr>
          </w:p>
        </w:tc>
        <w:tc>
          <w:tcPr>
            <w:tcW w:w="1486" w:type="dxa"/>
            <w:noWrap/>
            <w:vAlign w:val="center"/>
          </w:tcPr>
          <w:p w14:paraId="5E30C187" w14:textId="77777777" w:rsidR="00D777B9" w:rsidRPr="000B1F64" w:rsidRDefault="00D777B9" w:rsidP="00D777B9">
            <w:pPr>
              <w:jc w:val="right"/>
              <w:rPr>
                <w:b/>
                <w:bCs/>
                <w:sz w:val="18"/>
                <w:szCs w:val="18"/>
                <w:lang w:eastAsia="sk-SK"/>
              </w:rPr>
            </w:pPr>
          </w:p>
        </w:tc>
      </w:tr>
      <w:tr w:rsidR="00D777B9" w:rsidRPr="007D5748" w14:paraId="03E0F6D0" w14:textId="77777777" w:rsidTr="00D777B9">
        <w:trPr>
          <w:trHeight w:val="295"/>
          <w:jc w:val="center"/>
        </w:trPr>
        <w:tc>
          <w:tcPr>
            <w:tcW w:w="3696" w:type="dxa"/>
            <w:noWrap/>
            <w:vAlign w:val="center"/>
          </w:tcPr>
          <w:p w14:paraId="5461F512" w14:textId="77777777" w:rsidR="00D777B9" w:rsidRPr="00636AE4" w:rsidRDefault="00D777B9" w:rsidP="00D777B9">
            <w:pPr>
              <w:rPr>
                <w:b/>
                <w:bCs/>
                <w:i/>
                <w:iCs/>
                <w:sz w:val="18"/>
                <w:szCs w:val="18"/>
                <w:lang w:eastAsia="sk-SK"/>
              </w:rPr>
            </w:pPr>
            <w:bookmarkStart w:id="1" w:name="_Hlk522558759"/>
            <w:r w:rsidRPr="2A7B2052">
              <w:rPr>
                <w:b/>
                <w:bCs/>
                <w:i/>
                <w:iCs/>
                <w:sz w:val="18"/>
                <w:szCs w:val="18"/>
                <w:lang w:eastAsia="sk-SK"/>
              </w:rPr>
              <w:t>- vplyv na ŠR</w:t>
            </w:r>
          </w:p>
        </w:tc>
        <w:tc>
          <w:tcPr>
            <w:tcW w:w="1391" w:type="dxa"/>
            <w:noWrap/>
          </w:tcPr>
          <w:p w14:paraId="4D038DC1"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noWrap/>
            <w:vAlign w:val="center"/>
          </w:tcPr>
          <w:p w14:paraId="1C61F344" w14:textId="77777777" w:rsidR="00D777B9" w:rsidRPr="000B1F64" w:rsidRDefault="00D777B9" w:rsidP="00D777B9">
            <w:pPr>
              <w:jc w:val="right"/>
              <w:rPr>
                <w:b/>
                <w:bCs/>
                <w:sz w:val="18"/>
                <w:szCs w:val="18"/>
                <w:lang w:eastAsia="sk-SK"/>
              </w:rPr>
            </w:pPr>
            <w:r>
              <w:rPr>
                <w:b/>
                <w:bCs/>
                <w:sz w:val="18"/>
                <w:szCs w:val="18"/>
                <w:lang w:eastAsia="sk-SK"/>
              </w:rPr>
              <w:t>0</w:t>
            </w:r>
          </w:p>
        </w:tc>
        <w:tc>
          <w:tcPr>
            <w:tcW w:w="1539" w:type="dxa"/>
            <w:noWrap/>
            <w:vAlign w:val="center"/>
          </w:tcPr>
          <w:p w14:paraId="74BE3C7C" w14:textId="77777777" w:rsidR="00D777B9" w:rsidRPr="000B1F64" w:rsidRDefault="00D777B9" w:rsidP="00D777B9">
            <w:pPr>
              <w:jc w:val="right"/>
              <w:rPr>
                <w:b/>
                <w:bCs/>
                <w:sz w:val="18"/>
                <w:szCs w:val="18"/>
                <w:lang w:eastAsia="sk-SK"/>
              </w:rPr>
            </w:pPr>
            <w:r>
              <w:rPr>
                <w:b/>
                <w:bCs/>
                <w:sz w:val="18"/>
                <w:szCs w:val="18"/>
                <w:lang w:eastAsia="sk-SK"/>
              </w:rPr>
              <w:t>96</w:t>
            </w:r>
            <w:r w:rsidRPr="000B1F64">
              <w:rPr>
                <w:b/>
                <w:bCs/>
                <w:sz w:val="18"/>
                <w:szCs w:val="18"/>
                <w:lang w:eastAsia="sk-SK"/>
              </w:rPr>
              <w:t>9 552,00</w:t>
            </w:r>
          </w:p>
        </w:tc>
        <w:tc>
          <w:tcPr>
            <w:tcW w:w="1486" w:type="dxa"/>
            <w:noWrap/>
            <w:vAlign w:val="center"/>
          </w:tcPr>
          <w:p w14:paraId="41235782" w14:textId="77777777" w:rsidR="00D777B9" w:rsidRPr="000B1F64" w:rsidRDefault="00D777B9" w:rsidP="00D777B9">
            <w:pPr>
              <w:jc w:val="right"/>
              <w:rPr>
                <w:b/>
                <w:bCs/>
                <w:sz w:val="18"/>
                <w:szCs w:val="18"/>
                <w:lang w:eastAsia="sk-SK"/>
              </w:rPr>
            </w:pPr>
            <w:r>
              <w:rPr>
                <w:b/>
                <w:bCs/>
                <w:sz w:val="18"/>
                <w:szCs w:val="18"/>
                <w:lang w:eastAsia="sk-SK"/>
              </w:rPr>
              <w:t>129</w:t>
            </w:r>
            <w:r w:rsidRPr="000B1F64">
              <w:rPr>
                <w:b/>
                <w:bCs/>
                <w:sz w:val="18"/>
                <w:szCs w:val="18"/>
                <w:lang w:eastAsia="sk-SK"/>
              </w:rPr>
              <w:t> </w:t>
            </w:r>
            <w:r>
              <w:rPr>
                <w:b/>
                <w:bCs/>
                <w:sz w:val="18"/>
                <w:szCs w:val="18"/>
                <w:lang w:eastAsia="sk-SK"/>
              </w:rPr>
              <w:t>552</w:t>
            </w:r>
            <w:r w:rsidRPr="000B1F64">
              <w:rPr>
                <w:b/>
                <w:bCs/>
                <w:sz w:val="18"/>
                <w:szCs w:val="18"/>
                <w:lang w:eastAsia="sk-SK"/>
              </w:rPr>
              <w:t>,00</w:t>
            </w:r>
          </w:p>
        </w:tc>
      </w:tr>
      <w:bookmarkEnd w:id="1"/>
      <w:tr w:rsidR="00D777B9" w:rsidRPr="007D5748" w14:paraId="59FBB7AD" w14:textId="77777777" w:rsidTr="00D777B9">
        <w:trPr>
          <w:trHeight w:val="295"/>
          <w:jc w:val="center"/>
        </w:trPr>
        <w:tc>
          <w:tcPr>
            <w:tcW w:w="3696" w:type="dxa"/>
            <w:noWrap/>
            <w:vAlign w:val="center"/>
          </w:tcPr>
          <w:p w14:paraId="68694235" w14:textId="77777777" w:rsidR="00D777B9" w:rsidRPr="00636AE4" w:rsidRDefault="00D777B9" w:rsidP="00D777B9">
            <w:pPr>
              <w:ind w:left="259"/>
              <w:rPr>
                <w:b/>
                <w:bCs/>
                <w:i/>
                <w:iCs/>
                <w:sz w:val="18"/>
                <w:szCs w:val="18"/>
                <w:lang w:eastAsia="sk-SK"/>
              </w:rPr>
            </w:pPr>
            <w:r w:rsidRPr="2A7B2052">
              <w:rPr>
                <w:i/>
                <w:iCs/>
                <w:sz w:val="18"/>
                <w:szCs w:val="18"/>
                <w:lang w:eastAsia="sk-SK"/>
              </w:rPr>
              <w:t>Rozpočtové prostriedky</w:t>
            </w:r>
          </w:p>
        </w:tc>
        <w:tc>
          <w:tcPr>
            <w:tcW w:w="1391" w:type="dxa"/>
            <w:noWrap/>
          </w:tcPr>
          <w:p w14:paraId="291DD162"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noWrap/>
            <w:vAlign w:val="center"/>
          </w:tcPr>
          <w:p w14:paraId="77F6662E" w14:textId="77777777" w:rsidR="00D777B9" w:rsidRPr="000B1F64" w:rsidRDefault="00D777B9" w:rsidP="00D777B9">
            <w:pPr>
              <w:jc w:val="right"/>
              <w:rPr>
                <w:b/>
                <w:bCs/>
                <w:sz w:val="18"/>
                <w:szCs w:val="18"/>
                <w:lang w:eastAsia="sk-SK"/>
              </w:rPr>
            </w:pPr>
            <w:r>
              <w:rPr>
                <w:b/>
                <w:bCs/>
                <w:sz w:val="18"/>
                <w:szCs w:val="18"/>
                <w:lang w:eastAsia="sk-SK"/>
              </w:rPr>
              <w:t>0</w:t>
            </w:r>
          </w:p>
        </w:tc>
        <w:tc>
          <w:tcPr>
            <w:tcW w:w="1539" w:type="dxa"/>
            <w:noWrap/>
            <w:vAlign w:val="center"/>
          </w:tcPr>
          <w:p w14:paraId="42BADAC9" w14:textId="77777777" w:rsidR="00D777B9" w:rsidRPr="000B1F64" w:rsidRDefault="00D777B9" w:rsidP="00D777B9">
            <w:pPr>
              <w:jc w:val="right"/>
              <w:rPr>
                <w:b/>
                <w:bCs/>
                <w:sz w:val="18"/>
                <w:szCs w:val="18"/>
                <w:lang w:eastAsia="sk-SK"/>
              </w:rPr>
            </w:pPr>
            <w:r>
              <w:rPr>
                <w:b/>
                <w:bCs/>
                <w:sz w:val="18"/>
                <w:szCs w:val="18"/>
                <w:lang w:eastAsia="sk-SK"/>
              </w:rPr>
              <w:t>96</w:t>
            </w:r>
            <w:r w:rsidRPr="000B1F64">
              <w:rPr>
                <w:b/>
                <w:bCs/>
                <w:sz w:val="18"/>
                <w:szCs w:val="18"/>
                <w:lang w:eastAsia="sk-SK"/>
              </w:rPr>
              <w:t>9 552,00</w:t>
            </w:r>
          </w:p>
        </w:tc>
        <w:tc>
          <w:tcPr>
            <w:tcW w:w="1486" w:type="dxa"/>
            <w:noWrap/>
            <w:vAlign w:val="center"/>
          </w:tcPr>
          <w:p w14:paraId="15683667" w14:textId="77777777" w:rsidR="00D777B9" w:rsidRPr="000B1F64" w:rsidRDefault="00D777B9" w:rsidP="00D777B9">
            <w:pPr>
              <w:jc w:val="right"/>
              <w:rPr>
                <w:b/>
                <w:bCs/>
                <w:sz w:val="18"/>
                <w:szCs w:val="18"/>
                <w:lang w:eastAsia="sk-SK"/>
              </w:rPr>
            </w:pPr>
            <w:r>
              <w:rPr>
                <w:b/>
                <w:bCs/>
                <w:sz w:val="18"/>
                <w:szCs w:val="18"/>
                <w:lang w:eastAsia="sk-SK"/>
              </w:rPr>
              <w:t>129</w:t>
            </w:r>
            <w:r w:rsidRPr="000B1F64">
              <w:rPr>
                <w:b/>
                <w:bCs/>
                <w:sz w:val="18"/>
                <w:szCs w:val="18"/>
                <w:lang w:eastAsia="sk-SK"/>
              </w:rPr>
              <w:t> </w:t>
            </w:r>
            <w:r>
              <w:rPr>
                <w:b/>
                <w:bCs/>
                <w:sz w:val="18"/>
                <w:szCs w:val="18"/>
                <w:lang w:eastAsia="sk-SK"/>
              </w:rPr>
              <w:t>552</w:t>
            </w:r>
            <w:r w:rsidRPr="000B1F64">
              <w:rPr>
                <w:b/>
                <w:bCs/>
                <w:sz w:val="18"/>
                <w:szCs w:val="18"/>
                <w:lang w:eastAsia="sk-SK"/>
              </w:rPr>
              <w:t>,00</w:t>
            </w:r>
          </w:p>
        </w:tc>
      </w:tr>
      <w:tr w:rsidR="00D777B9" w:rsidRPr="007D5748" w14:paraId="12239B9D" w14:textId="77777777" w:rsidTr="00D777B9">
        <w:trPr>
          <w:trHeight w:val="295"/>
          <w:jc w:val="center"/>
        </w:trPr>
        <w:tc>
          <w:tcPr>
            <w:tcW w:w="3696" w:type="dxa"/>
            <w:noWrap/>
            <w:vAlign w:val="center"/>
          </w:tcPr>
          <w:p w14:paraId="28C252C6" w14:textId="77777777" w:rsidR="00D777B9" w:rsidRPr="00636AE4" w:rsidRDefault="00D777B9" w:rsidP="00D777B9">
            <w:pPr>
              <w:rPr>
                <w:i/>
                <w:iCs/>
                <w:sz w:val="18"/>
                <w:szCs w:val="18"/>
                <w:lang w:eastAsia="sk-SK"/>
              </w:rPr>
            </w:pPr>
            <w:r w:rsidRPr="2A7B2052">
              <w:rPr>
                <w:i/>
                <w:iCs/>
                <w:sz w:val="18"/>
                <w:szCs w:val="18"/>
                <w:lang w:eastAsia="sk-SK"/>
              </w:rPr>
              <w:t xml:space="preserve">    EÚ zdroje</w:t>
            </w:r>
          </w:p>
        </w:tc>
        <w:tc>
          <w:tcPr>
            <w:tcW w:w="1391" w:type="dxa"/>
            <w:noWrap/>
            <w:vAlign w:val="center"/>
          </w:tcPr>
          <w:p w14:paraId="41EE3120"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noWrap/>
            <w:vAlign w:val="center"/>
          </w:tcPr>
          <w:p w14:paraId="69DF5F21"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39517245"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04998F85"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2C08CE20" w14:textId="77777777" w:rsidTr="00D777B9">
        <w:trPr>
          <w:trHeight w:val="295"/>
          <w:jc w:val="center"/>
        </w:trPr>
        <w:tc>
          <w:tcPr>
            <w:tcW w:w="3696" w:type="dxa"/>
            <w:noWrap/>
            <w:vAlign w:val="center"/>
          </w:tcPr>
          <w:p w14:paraId="7B1595A5" w14:textId="77777777" w:rsidR="00D777B9" w:rsidRPr="00636AE4" w:rsidRDefault="00D777B9" w:rsidP="00D777B9">
            <w:pPr>
              <w:rPr>
                <w:i/>
                <w:iCs/>
                <w:sz w:val="18"/>
                <w:szCs w:val="18"/>
                <w:lang w:eastAsia="sk-SK"/>
              </w:rPr>
            </w:pPr>
            <w:r w:rsidRPr="2A7B2052">
              <w:rPr>
                <w:i/>
                <w:iCs/>
                <w:sz w:val="18"/>
                <w:szCs w:val="18"/>
                <w:lang w:eastAsia="sk-SK"/>
              </w:rPr>
              <w:t xml:space="preserve">    Spolufinancovanie</w:t>
            </w:r>
          </w:p>
        </w:tc>
        <w:tc>
          <w:tcPr>
            <w:tcW w:w="1391" w:type="dxa"/>
            <w:noWrap/>
            <w:vAlign w:val="center"/>
          </w:tcPr>
          <w:p w14:paraId="061AE351"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noWrap/>
            <w:vAlign w:val="center"/>
          </w:tcPr>
          <w:p w14:paraId="508F3E04"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224B0402"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32E5916D"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1D8031C2" w14:textId="77777777" w:rsidTr="00D777B9">
        <w:trPr>
          <w:trHeight w:val="295"/>
          <w:jc w:val="center"/>
        </w:trPr>
        <w:tc>
          <w:tcPr>
            <w:tcW w:w="3696" w:type="dxa"/>
            <w:noWrap/>
            <w:vAlign w:val="center"/>
          </w:tcPr>
          <w:p w14:paraId="68D87F0F" w14:textId="77777777" w:rsidR="00D777B9" w:rsidRPr="00636AE4" w:rsidRDefault="00D777B9" w:rsidP="00D777B9">
            <w:pPr>
              <w:rPr>
                <w:b/>
                <w:bCs/>
                <w:i/>
                <w:iCs/>
                <w:sz w:val="18"/>
                <w:szCs w:val="18"/>
                <w:lang w:eastAsia="sk-SK"/>
              </w:rPr>
            </w:pPr>
            <w:r w:rsidRPr="2A7B2052">
              <w:rPr>
                <w:b/>
                <w:bCs/>
                <w:i/>
                <w:iCs/>
                <w:sz w:val="18"/>
                <w:szCs w:val="18"/>
                <w:lang w:eastAsia="sk-SK"/>
              </w:rPr>
              <w:t>- vplyv na obce</w:t>
            </w:r>
          </w:p>
        </w:tc>
        <w:tc>
          <w:tcPr>
            <w:tcW w:w="1391" w:type="dxa"/>
            <w:noWrap/>
            <w:vAlign w:val="center"/>
          </w:tcPr>
          <w:p w14:paraId="548F4FB2" w14:textId="77777777" w:rsidR="00D777B9" w:rsidRPr="00636AE4"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18F13310"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7840A6A7"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63465D8F"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5797EFCE" w14:textId="77777777" w:rsidTr="00D777B9">
        <w:trPr>
          <w:trHeight w:val="295"/>
          <w:jc w:val="center"/>
        </w:trPr>
        <w:tc>
          <w:tcPr>
            <w:tcW w:w="3696" w:type="dxa"/>
            <w:noWrap/>
            <w:vAlign w:val="center"/>
          </w:tcPr>
          <w:p w14:paraId="5A01AE26" w14:textId="77777777" w:rsidR="00D777B9" w:rsidRPr="00636AE4" w:rsidRDefault="00D777B9" w:rsidP="00D777B9">
            <w:pPr>
              <w:rPr>
                <w:b/>
                <w:bCs/>
                <w:i/>
                <w:iCs/>
                <w:sz w:val="18"/>
                <w:szCs w:val="18"/>
                <w:lang w:eastAsia="sk-SK"/>
              </w:rPr>
            </w:pPr>
            <w:r w:rsidRPr="2A7B2052">
              <w:rPr>
                <w:b/>
                <w:bCs/>
                <w:i/>
                <w:iCs/>
                <w:sz w:val="18"/>
                <w:szCs w:val="18"/>
                <w:lang w:eastAsia="sk-SK"/>
              </w:rPr>
              <w:t>- vplyv na vyššie územné celky</w:t>
            </w:r>
          </w:p>
        </w:tc>
        <w:tc>
          <w:tcPr>
            <w:tcW w:w="1391" w:type="dxa"/>
            <w:noWrap/>
            <w:vAlign w:val="center"/>
          </w:tcPr>
          <w:p w14:paraId="0D82DD5F" w14:textId="77777777" w:rsidR="00D777B9" w:rsidRPr="00636AE4"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707338C3"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0F5573F9"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5C4ED6EB"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6552A7B5" w14:textId="77777777" w:rsidTr="00D777B9">
        <w:trPr>
          <w:trHeight w:val="295"/>
          <w:jc w:val="center"/>
        </w:trPr>
        <w:tc>
          <w:tcPr>
            <w:tcW w:w="3696" w:type="dxa"/>
            <w:noWrap/>
            <w:vAlign w:val="center"/>
          </w:tcPr>
          <w:p w14:paraId="7AD78407" w14:textId="77777777" w:rsidR="00D777B9" w:rsidRPr="00636AE4" w:rsidRDefault="00D777B9" w:rsidP="00D777B9">
            <w:pPr>
              <w:rPr>
                <w:b/>
                <w:bCs/>
                <w:sz w:val="18"/>
                <w:szCs w:val="18"/>
                <w:lang w:eastAsia="sk-SK"/>
              </w:rPr>
            </w:pPr>
            <w:r w:rsidRPr="2A7B2052">
              <w:rPr>
                <w:b/>
                <w:bCs/>
                <w:i/>
                <w:iCs/>
                <w:sz w:val="18"/>
                <w:szCs w:val="18"/>
                <w:lang w:eastAsia="sk-SK"/>
              </w:rPr>
              <w:t>- vplyv na ostatné subjekty verejnej správy</w:t>
            </w:r>
          </w:p>
        </w:tc>
        <w:tc>
          <w:tcPr>
            <w:tcW w:w="1391" w:type="dxa"/>
            <w:noWrap/>
            <w:vAlign w:val="center"/>
          </w:tcPr>
          <w:p w14:paraId="38F10AB6" w14:textId="77777777" w:rsidR="00D777B9" w:rsidRPr="00636AE4"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1234BFDD"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0CB1294D"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038A224D"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534723FE" w14:textId="77777777" w:rsidTr="00D777B9">
        <w:trPr>
          <w:trHeight w:val="295"/>
          <w:jc w:val="center"/>
        </w:trPr>
        <w:tc>
          <w:tcPr>
            <w:tcW w:w="3696" w:type="dxa"/>
            <w:shd w:val="clear" w:color="auto" w:fill="BFBFBF" w:themeFill="background1" w:themeFillShade="BF"/>
            <w:noWrap/>
            <w:vAlign w:val="center"/>
          </w:tcPr>
          <w:p w14:paraId="2EF8AC63" w14:textId="77777777" w:rsidR="00D777B9" w:rsidRPr="00636AE4" w:rsidRDefault="00D777B9" w:rsidP="00D777B9">
            <w:pPr>
              <w:rPr>
                <w:b/>
                <w:bCs/>
                <w:sz w:val="18"/>
                <w:szCs w:val="18"/>
                <w:lang w:eastAsia="sk-SK"/>
              </w:rPr>
            </w:pPr>
            <w:r w:rsidRPr="2A7B2052">
              <w:rPr>
                <w:b/>
                <w:bCs/>
                <w:sz w:val="18"/>
                <w:szCs w:val="18"/>
                <w:lang w:eastAsia="sk-SK"/>
              </w:rPr>
              <w:t xml:space="preserve">Vplyv na počet zamestnancov </w:t>
            </w:r>
          </w:p>
        </w:tc>
        <w:tc>
          <w:tcPr>
            <w:tcW w:w="1391" w:type="dxa"/>
            <w:shd w:val="clear" w:color="auto" w:fill="BFBFBF" w:themeFill="background1" w:themeFillShade="BF"/>
            <w:noWrap/>
            <w:vAlign w:val="center"/>
          </w:tcPr>
          <w:p w14:paraId="14FA1F72" w14:textId="77777777" w:rsidR="00D777B9" w:rsidRPr="00636AE4" w:rsidRDefault="00D777B9" w:rsidP="00D777B9">
            <w:pPr>
              <w:jc w:val="right"/>
              <w:rPr>
                <w:b/>
                <w:bCs/>
                <w:sz w:val="18"/>
                <w:szCs w:val="18"/>
                <w:lang w:eastAsia="sk-SK"/>
              </w:rPr>
            </w:pPr>
            <w:r w:rsidRPr="2A7B2052">
              <w:rPr>
                <w:b/>
                <w:bCs/>
                <w:sz w:val="18"/>
                <w:szCs w:val="18"/>
                <w:lang w:eastAsia="sk-SK"/>
              </w:rPr>
              <w:t>0</w:t>
            </w:r>
          </w:p>
        </w:tc>
        <w:tc>
          <w:tcPr>
            <w:tcW w:w="1183" w:type="dxa"/>
            <w:shd w:val="clear" w:color="auto" w:fill="BFBFBF" w:themeFill="background1" w:themeFillShade="BF"/>
            <w:noWrap/>
            <w:vAlign w:val="center"/>
          </w:tcPr>
          <w:p w14:paraId="5A9504D8"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shd w:val="clear" w:color="auto" w:fill="BFBFBF" w:themeFill="background1" w:themeFillShade="BF"/>
            <w:noWrap/>
            <w:vAlign w:val="center"/>
          </w:tcPr>
          <w:p w14:paraId="21E7C7A9" w14:textId="77777777" w:rsidR="00D777B9" w:rsidRPr="000B1F64" w:rsidRDefault="00D777B9" w:rsidP="00D777B9">
            <w:pPr>
              <w:jc w:val="right"/>
              <w:rPr>
                <w:b/>
                <w:bCs/>
                <w:sz w:val="18"/>
                <w:szCs w:val="18"/>
                <w:lang w:eastAsia="sk-SK"/>
              </w:rPr>
            </w:pPr>
            <w:r w:rsidRPr="000B1F64">
              <w:rPr>
                <w:b/>
                <w:bCs/>
                <w:sz w:val="18"/>
                <w:szCs w:val="18"/>
                <w:lang w:eastAsia="sk-SK"/>
              </w:rPr>
              <w:t>2</w:t>
            </w:r>
          </w:p>
        </w:tc>
        <w:tc>
          <w:tcPr>
            <w:tcW w:w="1486" w:type="dxa"/>
            <w:shd w:val="clear" w:color="auto" w:fill="BFBFBF" w:themeFill="background1" w:themeFillShade="BF"/>
            <w:noWrap/>
            <w:vAlign w:val="center"/>
          </w:tcPr>
          <w:p w14:paraId="53E3552B" w14:textId="77777777" w:rsidR="00D777B9" w:rsidRPr="000B1F64" w:rsidRDefault="00D777B9" w:rsidP="00D777B9">
            <w:pPr>
              <w:jc w:val="right"/>
              <w:rPr>
                <w:b/>
                <w:bCs/>
                <w:sz w:val="18"/>
                <w:szCs w:val="18"/>
                <w:lang w:eastAsia="sk-SK"/>
              </w:rPr>
            </w:pPr>
            <w:r w:rsidRPr="000B1F64">
              <w:rPr>
                <w:b/>
                <w:bCs/>
                <w:sz w:val="18"/>
                <w:szCs w:val="18"/>
                <w:lang w:eastAsia="sk-SK"/>
              </w:rPr>
              <w:t>2</w:t>
            </w:r>
          </w:p>
        </w:tc>
      </w:tr>
      <w:tr w:rsidR="00D777B9" w:rsidRPr="007D5748" w14:paraId="6F0B6E50" w14:textId="77777777" w:rsidTr="00D777B9">
        <w:trPr>
          <w:trHeight w:val="295"/>
          <w:jc w:val="center"/>
        </w:trPr>
        <w:tc>
          <w:tcPr>
            <w:tcW w:w="3696" w:type="dxa"/>
            <w:noWrap/>
            <w:vAlign w:val="center"/>
          </w:tcPr>
          <w:p w14:paraId="6B3CAB27" w14:textId="77777777" w:rsidR="00D777B9" w:rsidRPr="00636AE4" w:rsidRDefault="00D777B9" w:rsidP="00D777B9">
            <w:pPr>
              <w:rPr>
                <w:b/>
                <w:bCs/>
                <w:i/>
                <w:iCs/>
                <w:sz w:val="18"/>
                <w:szCs w:val="18"/>
                <w:lang w:eastAsia="sk-SK"/>
              </w:rPr>
            </w:pPr>
            <w:r w:rsidRPr="2A7B2052">
              <w:rPr>
                <w:b/>
                <w:bCs/>
                <w:i/>
                <w:iCs/>
                <w:sz w:val="18"/>
                <w:szCs w:val="18"/>
                <w:lang w:eastAsia="sk-SK"/>
              </w:rPr>
              <w:t>- vplyv na ŠR</w:t>
            </w:r>
          </w:p>
        </w:tc>
        <w:tc>
          <w:tcPr>
            <w:tcW w:w="1391" w:type="dxa"/>
            <w:noWrap/>
            <w:vAlign w:val="center"/>
          </w:tcPr>
          <w:p w14:paraId="117ED5E1" w14:textId="77777777" w:rsidR="00D777B9" w:rsidRPr="00636AE4"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49DFE2FE"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2D140457" w14:textId="77777777" w:rsidR="00D777B9" w:rsidRPr="000B1F64" w:rsidRDefault="00D777B9" w:rsidP="00D777B9">
            <w:pPr>
              <w:jc w:val="right"/>
              <w:rPr>
                <w:b/>
                <w:bCs/>
                <w:sz w:val="18"/>
                <w:szCs w:val="18"/>
                <w:lang w:eastAsia="sk-SK"/>
              </w:rPr>
            </w:pPr>
            <w:r w:rsidRPr="000B1F64">
              <w:rPr>
                <w:b/>
                <w:bCs/>
                <w:sz w:val="18"/>
                <w:szCs w:val="18"/>
                <w:lang w:eastAsia="sk-SK"/>
              </w:rPr>
              <w:t>2</w:t>
            </w:r>
          </w:p>
        </w:tc>
        <w:tc>
          <w:tcPr>
            <w:tcW w:w="1486" w:type="dxa"/>
            <w:noWrap/>
            <w:vAlign w:val="center"/>
          </w:tcPr>
          <w:p w14:paraId="73F73DD1" w14:textId="77777777" w:rsidR="00D777B9" w:rsidRPr="000B1F64" w:rsidRDefault="00D777B9" w:rsidP="00D777B9">
            <w:pPr>
              <w:jc w:val="right"/>
              <w:rPr>
                <w:b/>
                <w:bCs/>
                <w:sz w:val="18"/>
                <w:szCs w:val="18"/>
                <w:lang w:eastAsia="sk-SK"/>
              </w:rPr>
            </w:pPr>
            <w:r w:rsidRPr="000B1F64">
              <w:rPr>
                <w:b/>
                <w:bCs/>
                <w:sz w:val="18"/>
                <w:szCs w:val="18"/>
                <w:lang w:eastAsia="sk-SK"/>
              </w:rPr>
              <w:t>2</w:t>
            </w:r>
          </w:p>
        </w:tc>
      </w:tr>
      <w:tr w:rsidR="00D777B9" w:rsidRPr="007D5748" w14:paraId="6BE65B6C" w14:textId="77777777" w:rsidTr="00D777B9">
        <w:trPr>
          <w:trHeight w:val="295"/>
          <w:jc w:val="center"/>
        </w:trPr>
        <w:tc>
          <w:tcPr>
            <w:tcW w:w="3696" w:type="dxa"/>
            <w:noWrap/>
            <w:vAlign w:val="center"/>
          </w:tcPr>
          <w:p w14:paraId="2493E8C7" w14:textId="77777777" w:rsidR="00D777B9" w:rsidRPr="00636AE4" w:rsidRDefault="00D777B9" w:rsidP="00D777B9">
            <w:pPr>
              <w:rPr>
                <w:b/>
                <w:bCs/>
                <w:i/>
                <w:iCs/>
                <w:sz w:val="18"/>
                <w:szCs w:val="18"/>
                <w:lang w:eastAsia="sk-SK"/>
              </w:rPr>
            </w:pPr>
            <w:r w:rsidRPr="2A7B2052">
              <w:rPr>
                <w:b/>
                <w:bCs/>
                <w:i/>
                <w:iCs/>
                <w:sz w:val="18"/>
                <w:szCs w:val="18"/>
                <w:lang w:eastAsia="sk-SK"/>
              </w:rPr>
              <w:t>- vplyv na obce</w:t>
            </w:r>
          </w:p>
        </w:tc>
        <w:tc>
          <w:tcPr>
            <w:tcW w:w="1391" w:type="dxa"/>
            <w:noWrap/>
            <w:vAlign w:val="center"/>
          </w:tcPr>
          <w:p w14:paraId="5955DB8E" w14:textId="77777777" w:rsidR="00D777B9" w:rsidRPr="00636AE4"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4DD4B871"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74B4A96E"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51D4CDC2"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1EDB119A" w14:textId="77777777" w:rsidTr="00D777B9">
        <w:trPr>
          <w:trHeight w:val="295"/>
          <w:jc w:val="center"/>
        </w:trPr>
        <w:tc>
          <w:tcPr>
            <w:tcW w:w="3696" w:type="dxa"/>
            <w:noWrap/>
            <w:vAlign w:val="center"/>
          </w:tcPr>
          <w:p w14:paraId="7F4E372A" w14:textId="77777777" w:rsidR="00D777B9" w:rsidRPr="00636AE4" w:rsidRDefault="00D777B9" w:rsidP="00D777B9">
            <w:pPr>
              <w:rPr>
                <w:b/>
                <w:bCs/>
                <w:i/>
                <w:iCs/>
                <w:sz w:val="18"/>
                <w:szCs w:val="18"/>
                <w:lang w:eastAsia="sk-SK"/>
              </w:rPr>
            </w:pPr>
            <w:r w:rsidRPr="2A7B2052">
              <w:rPr>
                <w:b/>
                <w:bCs/>
                <w:i/>
                <w:iCs/>
                <w:sz w:val="18"/>
                <w:szCs w:val="18"/>
                <w:lang w:eastAsia="sk-SK"/>
              </w:rPr>
              <w:t>- vplyv na vyššie územné celky</w:t>
            </w:r>
          </w:p>
        </w:tc>
        <w:tc>
          <w:tcPr>
            <w:tcW w:w="1391" w:type="dxa"/>
            <w:noWrap/>
            <w:vAlign w:val="center"/>
          </w:tcPr>
          <w:p w14:paraId="76A74D0D" w14:textId="77777777" w:rsidR="00D777B9" w:rsidRPr="00636AE4"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0B43E33D"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467143D9"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0244A784"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16392E39" w14:textId="77777777" w:rsidTr="00D777B9">
        <w:trPr>
          <w:trHeight w:val="295"/>
          <w:jc w:val="center"/>
        </w:trPr>
        <w:tc>
          <w:tcPr>
            <w:tcW w:w="3696" w:type="dxa"/>
            <w:noWrap/>
            <w:vAlign w:val="center"/>
          </w:tcPr>
          <w:p w14:paraId="553EFF96" w14:textId="77777777" w:rsidR="00D777B9" w:rsidRPr="00636AE4" w:rsidRDefault="00D777B9" w:rsidP="00D777B9">
            <w:pPr>
              <w:rPr>
                <w:b/>
                <w:bCs/>
                <w:i/>
                <w:iCs/>
                <w:sz w:val="18"/>
                <w:szCs w:val="18"/>
                <w:lang w:eastAsia="sk-SK"/>
              </w:rPr>
            </w:pPr>
            <w:r w:rsidRPr="2A7B2052">
              <w:rPr>
                <w:b/>
                <w:bCs/>
                <w:i/>
                <w:iCs/>
                <w:sz w:val="18"/>
                <w:szCs w:val="18"/>
                <w:lang w:eastAsia="sk-SK"/>
              </w:rPr>
              <w:t>- vplyv na ostatné subjekty verejnej správy</w:t>
            </w:r>
          </w:p>
        </w:tc>
        <w:tc>
          <w:tcPr>
            <w:tcW w:w="1391" w:type="dxa"/>
            <w:noWrap/>
            <w:vAlign w:val="center"/>
          </w:tcPr>
          <w:p w14:paraId="6CE008A3" w14:textId="77777777" w:rsidR="00D777B9" w:rsidRPr="00636AE4"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69B84BAD"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5E3C0C6E"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40B5B6F8"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316FA1EB" w14:textId="77777777" w:rsidTr="00D777B9">
        <w:trPr>
          <w:trHeight w:val="295"/>
          <w:jc w:val="center"/>
        </w:trPr>
        <w:tc>
          <w:tcPr>
            <w:tcW w:w="3696" w:type="dxa"/>
            <w:shd w:val="clear" w:color="auto" w:fill="BFBFBF" w:themeFill="background1" w:themeFillShade="BF"/>
            <w:noWrap/>
            <w:vAlign w:val="center"/>
          </w:tcPr>
          <w:p w14:paraId="2AAF0A4A" w14:textId="77777777" w:rsidR="00D777B9" w:rsidRPr="00636AE4" w:rsidRDefault="00D777B9" w:rsidP="00D777B9">
            <w:pPr>
              <w:rPr>
                <w:b/>
                <w:bCs/>
                <w:sz w:val="18"/>
                <w:szCs w:val="18"/>
                <w:lang w:eastAsia="sk-SK"/>
              </w:rPr>
            </w:pPr>
            <w:r w:rsidRPr="2A7B2052">
              <w:rPr>
                <w:b/>
                <w:bCs/>
                <w:sz w:val="18"/>
                <w:szCs w:val="18"/>
                <w:lang w:eastAsia="sk-SK"/>
              </w:rPr>
              <w:t>Vplyv na mzdové výdavky (610)</w:t>
            </w:r>
          </w:p>
        </w:tc>
        <w:tc>
          <w:tcPr>
            <w:tcW w:w="1391" w:type="dxa"/>
            <w:shd w:val="clear" w:color="auto" w:fill="BFBFBF" w:themeFill="background1" w:themeFillShade="BF"/>
            <w:noWrap/>
          </w:tcPr>
          <w:p w14:paraId="182A7A99"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shd w:val="clear" w:color="auto" w:fill="BFBFBF" w:themeFill="background1" w:themeFillShade="BF"/>
            <w:noWrap/>
          </w:tcPr>
          <w:p w14:paraId="30ADFE86"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shd w:val="clear" w:color="auto" w:fill="BFBFBF" w:themeFill="background1" w:themeFillShade="BF"/>
            <w:noWrap/>
          </w:tcPr>
          <w:p w14:paraId="1E0A2456" w14:textId="77777777" w:rsidR="00D777B9" w:rsidRPr="000B1F64" w:rsidRDefault="00D777B9" w:rsidP="00D777B9">
            <w:pPr>
              <w:jc w:val="right"/>
              <w:rPr>
                <w:b/>
                <w:bCs/>
                <w:sz w:val="18"/>
                <w:szCs w:val="18"/>
                <w:lang w:eastAsia="sk-SK"/>
              </w:rPr>
            </w:pPr>
            <w:r w:rsidRPr="000B1F64">
              <w:rPr>
                <w:b/>
                <w:bCs/>
                <w:sz w:val="18"/>
                <w:szCs w:val="18"/>
                <w:lang w:eastAsia="sk-SK"/>
              </w:rPr>
              <w:t>96 000,00</w:t>
            </w:r>
          </w:p>
        </w:tc>
        <w:tc>
          <w:tcPr>
            <w:tcW w:w="1486" w:type="dxa"/>
            <w:shd w:val="clear" w:color="auto" w:fill="BFBFBF" w:themeFill="background1" w:themeFillShade="BF"/>
            <w:noWrap/>
          </w:tcPr>
          <w:p w14:paraId="0620BFED" w14:textId="77777777" w:rsidR="00D777B9" w:rsidRPr="000B1F64" w:rsidRDefault="00D777B9" w:rsidP="00D777B9">
            <w:pPr>
              <w:jc w:val="right"/>
              <w:rPr>
                <w:b/>
                <w:bCs/>
                <w:sz w:val="18"/>
                <w:szCs w:val="18"/>
                <w:lang w:eastAsia="sk-SK"/>
              </w:rPr>
            </w:pPr>
            <w:r w:rsidRPr="000B1F64">
              <w:rPr>
                <w:b/>
                <w:bCs/>
                <w:sz w:val="18"/>
                <w:szCs w:val="18"/>
                <w:lang w:eastAsia="sk-SK"/>
              </w:rPr>
              <w:t>96 000,00</w:t>
            </w:r>
          </w:p>
        </w:tc>
      </w:tr>
      <w:tr w:rsidR="00D777B9" w:rsidRPr="007D5748" w14:paraId="1A2DF386" w14:textId="77777777" w:rsidTr="00D777B9">
        <w:trPr>
          <w:trHeight w:val="295"/>
          <w:jc w:val="center"/>
        </w:trPr>
        <w:tc>
          <w:tcPr>
            <w:tcW w:w="3696" w:type="dxa"/>
            <w:noWrap/>
            <w:vAlign w:val="center"/>
          </w:tcPr>
          <w:p w14:paraId="22A37E67" w14:textId="77777777" w:rsidR="00D777B9" w:rsidRPr="00636AE4" w:rsidRDefault="00D777B9" w:rsidP="00D777B9">
            <w:pPr>
              <w:rPr>
                <w:b/>
                <w:bCs/>
                <w:i/>
                <w:iCs/>
                <w:sz w:val="18"/>
                <w:szCs w:val="18"/>
                <w:lang w:eastAsia="sk-SK"/>
              </w:rPr>
            </w:pPr>
            <w:r w:rsidRPr="2A7B2052">
              <w:rPr>
                <w:b/>
                <w:bCs/>
                <w:i/>
                <w:iCs/>
                <w:sz w:val="18"/>
                <w:szCs w:val="18"/>
                <w:lang w:eastAsia="sk-SK"/>
              </w:rPr>
              <w:t>- vplyv na ŠR</w:t>
            </w:r>
          </w:p>
        </w:tc>
        <w:tc>
          <w:tcPr>
            <w:tcW w:w="1391" w:type="dxa"/>
            <w:noWrap/>
          </w:tcPr>
          <w:p w14:paraId="7534FA93"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noWrap/>
          </w:tcPr>
          <w:p w14:paraId="0C7DCC59"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tcPr>
          <w:p w14:paraId="51151805" w14:textId="77777777" w:rsidR="00D777B9" w:rsidRPr="000B1F64" w:rsidRDefault="00D777B9" w:rsidP="00D777B9">
            <w:pPr>
              <w:jc w:val="right"/>
              <w:rPr>
                <w:b/>
                <w:bCs/>
                <w:sz w:val="18"/>
                <w:szCs w:val="18"/>
                <w:lang w:eastAsia="sk-SK"/>
              </w:rPr>
            </w:pPr>
            <w:r w:rsidRPr="000B1F64">
              <w:rPr>
                <w:b/>
                <w:bCs/>
                <w:sz w:val="18"/>
                <w:szCs w:val="18"/>
                <w:lang w:eastAsia="sk-SK"/>
              </w:rPr>
              <w:t>96 000,00</w:t>
            </w:r>
          </w:p>
        </w:tc>
        <w:tc>
          <w:tcPr>
            <w:tcW w:w="1486" w:type="dxa"/>
            <w:noWrap/>
          </w:tcPr>
          <w:p w14:paraId="31475FAB" w14:textId="77777777" w:rsidR="00D777B9" w:rsidRPr="000B1F64" w:rsidRDefault="00D777B9" w:rsidP="00D777B9">
            <w:pPr>
              <w:jc w:val="right"/>
              <w:rPr>
                <w:b/>
                <w:bCs/>
                <w:sz w:val="18"/>
                <w:szCs w:val="18"/>
                <w:lang w:eastAsia="sk-SK"/>
              </w:rPr>
            </w:pPr>
            <w:r w:rsidRPr="000B1F64">
              <w:rPr>
                <w:b/>
                <w:bCs/>
                <w:sz w:val="18"/>
                <w:szCs w:val="18"/>
                <w:lang w:eastAsia="sk-SK"/>
              </w:rPr>
              <w:t>96 000,00</w:t>
            </w:r>
          </w:p>
        </w:tc>
      </w:tr>
      <w:tr w:rsidR="00D777B9" w:rsidRPr="007D5748" w14:paraId="7ABC5902" w14:textId="77777777" w:rsidTr="00D777B9">
        <w:trPr>
          <w:trHeight w:val="295"/>
          <w:jc w:val="center"/>
        </w:trPr>
        <w:tc>
          <w:tcPr>
            <w:tcW w:w="3696" w:type="dxa"/>
            <w:noWrap/>
            <w:vAlign w:val="center"/>
          </w:tcPr>
          <w:p w14:paraId="6FE40B55" w14:textId="77777777" w:rsidR="00D777B9" w:rsidRPr="00636AE4" w:rsidRDefault="00D777B9" w:rsidP="00D777B9">
            <w:pPr>
              <w:rPr>
                <w:b/>
                <w:bCs/>
                <w:i/>
                <w:iCs/>
                <w:sz w:val="18"/>
                <w:szCs w:val="18"/>
                <w:lang w:eastAsia="sk-SK"/>
              </w:rPr>
            </w:pPr>
            <w:r w:rsidRPr="2A7B2052">
              <w:rPr>
                <w:b/>
                <w:bCs/>
                <w:i/>
                <w:iCs/>
                <w:sz w:val="18"/>
                <w:szCs w:val="18"/>
                <w:lang w:eastAsia="sk-SK"/>
              </w:rPr>
              <w:t>- vplyv na obce</w:t>
            </w:r>
          </w:p>
        </w:tc>
        <w:tc>
          <w:tcPr>
            <w:tcW w:w="1391" w:type="dxa"/>
            <w:noWrap/>
            <w:vAlign w:val="center"/>
          </w:tcPr>
          <w:p w14:paraId="1A93A9CD" w14:textId="77777777" w:rsidR="00D777B9" w:rsidRPr="00636AE4"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2DE5E2EF"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673FACE9"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10D9486E"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7BCA0CAA" w14:textId="77777777" w:rsidTr="00D777B9">
        <w:trPr>
          <w:trHeight w:val="295"/>
          <w:jc w:val="center"/>
        </w:trPr>
        <w:tc>
          <w:tcPr>
            <w:tcW w:w="3696" w:type="dxa"/>
            <w:noWrap/>
            <w:vAlign w:val="center"/>
          </w:tcPr>
          <w:p w14:paraId="26AF92A5" w14:textId="77777777" w:rsidR="00D777B9" w:rsidRPr="007D5748" w:rsidRDefault="00D777B9" w:rsidP="00D777B9">
            <w:pPr>
              <w:rPr>
                <w:b/>
                <w:bCs/>
                <w:i/>
                <w:iCs/>
                <w:sz w:val="18"/>
                <w:szCs w:val="18"/>
                <w:lang w:eastAsia="sk-SK"/>
              </w:rPr>
            </w:pPr>
            <w:r w:rsidRPr="2A7B2052">
              <w:rPr>
                <w:b/>
                <w:bCs/>
                <w:i/>
                <w:iCs/>
                <w:sz w:val="18"/>
                <w:szCs w:val="18"/>
                <w:lang w:eastAsia="sk-SK"/>
              </w:rPr>
              <w:t>- vplyv na vyššie územné celky</w:t>
            </w:r>
          </w:p>
        </w:tc>
        <w:tc>
          <w:tcPr>
            <w:tcW w:w="1391" w:type="dxa"/>
            <w:noWrap/>
            <w:vAlign w:val="center"/>
          </w:tcPr>
          <w:p w14:paraId="38999397"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76BFE4EA"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3ABDD5C7"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1FBEF502"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6622C90D" w14:textId="77777777" w:rsidTr="00D777B9">
        <w:trPr>
          <w:trHeight w:val="295"/>
          <w:jc w:val="center"/>
        </w:trPr>
        <w:tc>
          <w:tcPr>
            <w:tcW w:w="3696" w:type="dxa"/>
            <w:noWrap/>
            <w:vAlign w:val="center"/>
          </w:tcPr>
          <w:p w14:paraId="1154C5C7" w14:textId="77777777" w:rsidR="00D777B9" w:rsidRPr="007D5748" w:rsidRDefault="00D777B9" w:rsidP="00D777B9">
            <w:pPr>
              <w:rPr>
                <w:b/>
                <w:bCs/>
                <w:sz w:val="18"/>
                <w:szCs w:val="18"/>
                <w:lang w:eastAsia="sk-SK"/>
              </w:rPr>
            </w:pPr>
            <w:r w:rsidRPr="2A7B2052">
              <w:rPr>
                <w:b/>
                <w:bCs/>
                <w:i/>
                <w:iCs/>
                <w:sz w:val="18"/>
                <w:szCs w:val="18"/>
                <w:lang w:eastAsia="sk-SK"/>
              </w:rPr>
              <w:t>- vplyv na ostatné subjekty verejnej správy</w:t>
            </w:r>
          </w:p>
        </w:tc>
        <w:tc>
          <w:tcPr>
            <w:tcW w:w="1391" w:type="dxa"/>
            <w:noWrap/>
            <w:vAlign w:val="center"/>
          </w:tcPr>
          <w:p w14:paraId="7C342C0C"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183" w:type="dxa"/>
            <w:noWrap/>
            <w:vAlign w:val="center"/>
          </w:tcPr>
          <w:p w14:paraId="788AB082"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7BA257A5"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486" w:type="dxa"/>
            <w:noWrap/>
            <w:vAlign w:val="center"/>
          </w:tcPr>
          <w:p w14:paraId="1E094EDA" w14:textId="77777777" w:rsidR="00D777B9" w:rsidRPr="000B1F64" w:rsidRDefault="00D777B9" w:rsidP="00D777B9">
            <w:pPr>
              <w:jc w:val="right"/>
              <w:rPr>
                <w:b/>
                <w:bCs/>
                <w:sz w:val="18"/>
                <w:szCs w:val="18"/>
                <w:lang w:eastAsia="sk-SK"/>
              </w:rPr>
            </w:pPr>
            <w:r w:rsidRPr="000B1F64">
              <w:rPr>
                <w:b/>
                <w:bCs/>
                <w:sz w:val="18"/>
                <w:szCs w:val="18"/>
                <w:lang w:eastAsia="sk-SK"/>
              </w:rPr>
              <w:t>0</w:t>
            </w:r>
          </w:p>
        </w:tc>
      </w:tr>
      <w:tr w:rsidR="00D777B9" w:rsidRPr="007D5748" w14:paraId="0B6D76EE" w14:textId="77777777" w:rsidTr="00D777B9">
        <w:trPr>
          <w:trHeight w:val="295"/>
          <w:jc w:val="center"/>
        </w:trPr>
        <w:tc>
          <w:tcPr>
            <w:tcW w:w="3696" w:type="dxa"/>
            <w:shd w:val="clear" w:color="auto" w:fill="C0C0C0"/>
            <w:noWrap/>
            <w:vAlign w:val="center"/>
          </w:tcPr>
          <w:p w14:paraId="5F87D8FA" w14:textId="77777777" w:rsidR="00D777B9" w:rsidRPr="007D5748" w:rsidRDefault="00D777B9" w:rsidP="00D777B9">
            <w:pPr>
              <w:rPr>
                <w:b/>
                <w:bCs/>
                <w:sz w:val="18"/>
                <w:szCs w:val="18"/>
                <w:lang w:eastAsia="sk-SK"/>
              </w:rPr>
            </w:pPr>
            <w:r w:rsidRPr="2A7B2052">
              <w:rPr>
                <w:b/>
                <w:bCs/>
                <w:sz w:val="18"/>
                <w:szCs w:val="18"/>
                <w:lang w:eastAsia="sk-SK"/>
              </w:rPr>
              <w:t>Financovanie zabezpečené v</w:t>
            </w:r>
            <w:r>
              <w:rPr>
                <w:b/>
                <w:bCs/>
                <w:sz w:val="18"/>
                <w:szCs w:val="18"/>
                <w:lang w:eastAsia="sk-SK"/>
              </w:rPr>
              <w:t> </w:t>
            </w:r>
            <w:r w:rsidRPr="2A7B2052">
              <w:rPr>
                <w:b/>
                <w:bCs/>
                <w:sz w:val="18"/>
                <w:szCs w:val="18"/>
                <w:lang w:eastAsia="sk-SK"/>
              </w:rPr>
              <w:t>rozpočte</w:t>
            </w:r>
          </w:p>
        </w:tc>
        <w:tc>
          <w:tcPr>
            <w:tcW w:w="1391" w:type="dxa"/>
            <w:shd w:val="clear" w:color="auto" w:fill="C0C0C0"/>
            <w:noWrap/>
            <w:vAlign w:val="center"/>
          </w:tcPr>
          <w:p w14:paraId="799BE62E"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183" w:type="dxa"/>
            <w:shd w:val="clear" w:color="auto" w:fill="C0C0C0"/>
            <w:noWrap/>
          </w:tcPr>
          <w:p w14:paraId="6CDA5A1C"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shd w:val="clear" w:color="auto" w:fill="C0C0C0"/>
            <w:noWrap/>
          </w:tcPr>
          <w:p w14:paraId="0FBFD77D" w14:textId="77777777" w:rsidR="00D777B9" w:rsidRPr="000B1F64" w:rsidRDefault="00D777B9" w:rsidP="00D777B9">
            <w:pPr>
              <w:jc w:val="right"/>
              <w:rPr>
                <w:b/>
                <w:bCs/>
                <w:sz w:val="18"/>
                <w:szCs w:val="18"/>
                <w:lang w:eastAsia="sk-SK"/>
              </w:rPr>
            </w:pPr>
            <w:r>
              <w:rPr>
                <w:b/>
                <w:bCs/>
                <w:sz w:val="18"/>
                <w:szCs w:val="18"/>
                <w:lang w:eastAsia="sk-SK"/>
              </w:rPr>
              <w:t>96</w:t>
            </w:r>
            <w:r w:rsidRPr="000B1F64">
              <w:rPr>
                <w:b/>
                <w:bCs/>
                <w:sz w:val="18"/>
                <w:szCs w:val="18"/>
                <w:lang w:eastAsia="sk-SK"/>
              </w:rPr>
              <w:t>9 552,00</w:t>
            </w:r>
          </w:p>
        </w:tc>
        <w:tc>
          <w:tcPr>
            <w:tcW w:w="1486" w:type="dxa"/>
            <w:shd w:val="clear" w:color="auto" w:fill="C0C0C0"/>
            <w:noWrap/>
          </w:tcPr>
          <w:p w14:paraId="4DBA9EDE" w14:textId="77777777" w:rsidR="00D777B9" w:rsidRPr="000B1F64" w:rsidRDefault="00D777B9" w:rsidP="00D777B9">
            <w:pPr>
              <w:jc w:val="right"/>
              <w:rPr>
                <w:b/>
                <w:bCs/>
                <w:sz w:val="18"/>
                <w:szCs w:val="18"/>
                <w:lang w:eastAsia="sk-SK"/>
              </w:rPr>
            </w:pPr>
            <w:r>
              <w:rPr>
                <w:b/>
                <w:bCs/>
                <w:sz w:val="18"/>
                <w:szCs w:val="18"/>
                <w:lang w:eastAsia="sk-SK"/>
              </w:rPr>
              <w:t>129 552</w:t>
            </w:r>
            <w:r w:rsidRPr="000B1F64">
              <w:rPr>
                <w:b/>
                <w:bCs/>
                <w:sz w:val="18"/>
                <w:szCs w:val="18"/>
                <w:lang w:eastAsia="sk-SK"/>
              </w:rPr>
              <w:t>,00</w:t>
            </w:r>
          </w:p>
        </w:tc>
      </w:tr>
      <w:tr w:rsidR="00D777B9" w:rsidRPr="007D5748" w14:paraId="7511C98C" w14:textId="77777777" w:rsidTr="00D777B9">
        <w:trPr>
          <w:trHeight w:val="295"/>
          <w:jc w:val="center"/>
        </w:trPr>
        <w:tc>
          <w:tcPr>
            <w:tcW w:w="3696" w:type="dxa"/>
            <w:noWrap/>
            <w:vAlign w:val="center"/>
          </w:tcPr>
          <w:p w14:paraId="0178387E" w14:textId="77777777" w:rsidR="00D777B9" w:rsidRPr="007D5748" w:rsidRDefault="00D777B9" w:rsidP="00D777B9">
            <w:pPr>
              <w:rPr>
                <w:sz w:val="18"/>
                <w:szCs w:val="18"/>
                <w:lang w:eastAsia="sk-SK"/>
              </w:rPr>
            </w:pPr>
            <w:r w:rsidRPr="2A7B2052">
              <w:rPr>
                <w:sz w:val="18"/>
                <w:szCs w:val="18"/>
                <w:lang w:eastAsia="sk-SK"/>
              </w:rPr>
              <w:t xml:space="preserve">v tom: za </w:t>
            </w:r>
            <w:r>
              <w:rPr>
                <w:sz w:val="18"/>
                <w:szCs w:val="18"/>
                <w:lang w:eastAsia="sk-SK"/>
              </w:rPr>
              <w:t xml:space="preserve">Ministerstvo </w:t>
            </w:r>
            <w:r w:rsidRPr="00252B1F">
              <w:rPr>
                <w:sz w:val="18"/>
                <w:szCs w:val="18"/>
                <w:lang w:eastAsia="sk-SK"/>
              </w:rPr>
              <w:t>investícií, regionálneho rozvoja a informatizácie Slovenskej republiky</w:t>
            </w:r>
            <w:r>
              <w:rPr>
                <w:sz w:val="18"/>
                <w:szCs w:val="18"/>
                <w:lang w:eastAsia="sk-SK"/>
              </w:rPr>
              <w:t xml:space="preserve"> - </w:t>
            </w:r>
            <w:r w:rsidRPr="003D7859">
              <w:rPr>
                <w:sz w:val="18"/>
                <w:szCs w:val="18"/>
                <w:lang w:eastAsia="sk-SK"/>
              </w:rPr>
              <w:t xml:space="preserve">podprogram 0EK13 </w:t>
            </w:r>
            <w:r w:rsidRPr="00252B1F">
              <w:rPr>
                <w:sz w:val="18"/>
                <w:szCs w:val="18"/>
                <w:lang w:eastAsia="sk-SK"/>
              </w:rPr>
              <w:t xml:space="preserve">  </w:t>
            </w:r>
          </w:p>
        </w:tc>
        <w:tc>
          <w:tcPr>
            <w:tcW w:w="1391" w:type="dxa"/>
            <w:noWrap/>
            <w:vAlign w:val="center"/>
          </w:tcPr>
          <w:p w14:paraId="7C1BFDCE"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noWrap/>
            <w:vAlign w:val="center"/>
          </w:tcPr>
          <w:p w14:paraId="58E4C557" w14:textId="77777777" w:rsidR="00D777B9" w:rsidRPr="000B1F64" w:rsidRDefault="00D777B9" w:rsidP="00D777B9">
            <w:pPr>
              <w:jc w:val="right"/>
              <w:rPr>
                <w:b/>
                <w:bCs/>
                <w:sz w:val="18"/>
                <w:szCs w:val="18"/>
                <w:lang w:eastAsia="sk-SK"/>
              </w:rPr>
            </w:pPr>
            <w:r w:rsidRPr="000B1F64">
              <w:rPr>
                <w:b/>
                <w:bCs/>
                <w:sz w:val="18"/>
                <w:szCs w:val="18"/>
                <w:lang w:eastAsia="sk-SK"/>
              </w:rPr>
              <w:t>0</w:t>
            </w:r>
          </w:p>
        </w:tc>
        <w:tc>
          <w:tcPr>
            <w:tcW w:w="1539" w:type="dxa"/>
            <w:noWrap/>
            <w:vAlign w:val="center"/>
          </w:tcPr>
          <w:p w14:paraId="5B738993" w14:textId="77777777" w:rsidR="00D777B9" w:rsidRPr="000B1F64" w:rsidRDefault="00D777B9" w:rsidP="00D777B9">
            <w:pPr>
              <w:jc w:val="right"/>
              <w:rPr>
                <w:b/>
                <w:bCs/>
                <w:sz w:val="18"/>
                <w:szCs w:val="18"/>
                <w:lang w:eastAsia="sk-SK"/>
              </w:rPr>
            </w:pPr>
            <w:r>
              <w:rPr>
                <w:b/>
                <w:bCs/>
                <w:sz w:val="18"/>
                <w:szCs w:val="18"/>
                <w:lang w:eastAsia="sk-SK"/>
              </w:rPr>
              <w:t>96</w:t>
            </w:r>
            <w:r w:rsidRPr="000B1F64">
              <w:rPr>
                <w:b/>
                <w:bCs/>
                <w:sz w:val="18"/>
                <w:szCs w:val="18"/>
                <w:lang w:eastAsia="sk-SK"/>
              </w:rPr>
              <w:t>9 552,00</w:t>
            </w:r>
          </w:p>
        </w:tc>
        <w:tc>
          <w:tcPr>
            <w:tcW w:w="1486" w:type="dxa"/>
            <w:noWrap/>
            <w:vAlign w:val="center"/>
          </w:tcPr>
          <w:p w14:paraId="7A71A69D" w14:textId="77777777" w:rsidR="00D777B9" w:rsidRPr="000B1F64" w:rsidRDefault="00D777B9" w:rsidP="00D777B9">
            <w:pPr>
              <w:jc w:val="right"/>
              <w:rPr>
                <w:b/>
                <w:bCs/>
                <w:sz w:val="18"/>
                <w:szCs w:val="18"/>
                <w:lang w:eastAsia="sk-SK"/>
              </w:rPr>
            </w:pPr>
            <w:r>
              <w:rPr>
                <w:b/>
                <w:bCs/>
                <w:sz w:val="18"/>
                <w:szCs w:val="18"/>
                <w:lang w:eastAsia="sk-SK"/>
              </w:rPr>
              <w:t>129 552</w:t>
            </w:r>
            <w:r w:rsidRPr="000B1F64">
              <w:rPr>
                <w:b/>
                <w:bCs/>
                <w:sz w:val="18"/>
                <w:szCs w:val="18"/>
                <w:lang w:eastAsia="sk-SK"/>
              </w:rPr>
              <w:t>,00</w:t>
            </w:r>
          </w:p>
        </w:tc>
      </w:tr>
      <w:tr w:rsidR="00D777B9" w:rsidRPr="007D5748" w14:paraId="4E57E5AE" w14:textId="77777777" w:rsidTr="00D777B9">
        <w:trPr>
          <w:trHeight w:val="295"/>
          <w:jc w:val="center"/>
        </w:trPr>
        <w:tc>
          <w:tcPr>
            <w:tcW w:w="3696" w:type="dxa"/>
            <w:shd w:val="clear" w:color="auto" w:fill="BFBFBF" w:themeFill="background1" w:themeFillShade="BF"/>
            <w:noWrap/>
            <w:vAlign w:val="center"/>
          </w:tcPr>
          <w:p w14:paraId="466DEB15" w14:textId="77777777" w:rsidR="00D777B9" w:rsidRPr="007D5748" w:rsidRDefault="00D777B9" w:rsidP="00D777B9">
            <w:pPr>
              <w:rPr>
                <w:b/>
                <w:bCs/>
                <w:sz w:val="18"/>
                <w:szCs w:val="18"/>
                <w:lang w:eastAsia="sk-SK"/>
              </w:rPr>
            </w:pPr>
            <w:r w:rsidRPr="2A7B2052">
              <w:rPr>
                <w:b/>
                <w:bCs/>
                <w:sz w:val="18"/>
                <w:szCs w:val="18"/>
                <w:lang w:eastAsia="sk-SK"/>
              </w:rPr>
              <w:t>Iné ako rozpočtové zdroje</w:t>
            </w:r>
          </w:p>
        </w:tc>
        <w:tc>
          <w:tcPr>
            <w:tcW w:w="1391" w:type="dxa"/>
            <w:shd w:val="clear" w:color="auto" w:fill="BFBFBF" w:themeFill="background1" w:themeFillShade="BF"/>
            <w:noWrap/>
            <w:vAlign w:val="center"/>
          </w:tcPr>
          <w:p w14:paraId="01E05BC6"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183" w:type="dxa"/>
            <w:shd w:val="clear" w:color="auto" w:fill="BFBFBF" w:themeFill="background1" w:themeFillShade="BF"/>
            <w:noWrap/>
            <w:vAlign w:val="center"/>
          </w:tcPr>
          <w:p w14:paraId="172D77ED"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539" w:type="dxa"/>
            <w:shd w:val="clear" w:color="auto" w:fill="BFBFBF" w:themeFill="background1" w:themeFillShade="BF"/>
            <w:noWrap/>
            <w:vAlign w:val="center"/>
          </w:tcPr>
          <w:p w14:paraId="465E6D08" w14:textId="77777777" w:rsidR="00D777B9" w:rsidRPr="007D5748" w:rsidRDefault="00D777B9" w:rsidP="00D777B9">
            <w:pPr>
              <w:jc w:val="right"/>
              <w:rPr>
                <w:b/>
                <w:bCs/>
                <w:sz w:val="18"/>
                <w:szCs w:val="18"/>
                <w:lang w:eastAsia="sk-SK"/>
              </w:rPr>
            </w:pPr>
            <w:r w:rsidRPr="2A7B2052">
              <w:rPr>
                <w:b/>
                <w:bCs/>
                <w:sz w:val="18"/>
                <w:szCs w:val="18"/>
                <w:lang w:eastAsia="sk-SK"/>
              </w:rPr>
              <w:t>0</w:t>
            </w:r>
          </w:p>
        </w:tc>
        <w:tc>
          <w:tcPr>
            <w:tcW w:w="1486" w:type="dxa"/>
            <w:shd w:val="clear" w:color="auto" w:fill="BFBFBF" w:themeFill="background1" w:themeFillShade="BF"/>
            <w:noWrap/>
            <w:vAlign w:val="center"/>
          </w:tcPr>
          <w:p w14:paraId="2F89A3A6" w14:textId="77777777" w:rsidR="00D777B9" w:rsidRPr="007D5748" w:rsidRDefault="00D777B9" w:rsidP="00D777B9">
            <w:pPr>
              <w:jc w:val="right"/>
              <w:rPr>
                <w:b/>
                <w:bCs/>
                <w:sz w:val="18"/>
                <w:szCs w:val="18"/>
                <w:lang w:eastAsia="sk-SK"/>
              </w:rPr>
            </w:pPr>
            <w:r w:rsidRPr="2A7B2052">
              <w:rPr>
                <w:b/>
                <w:bCs/>
                <w:sz w:val="18"/>
                <w:szCs w:val="18"/>
                <w:lang w:eastAsia="sk-SK"/>
              </w:rPr>
              <w:t>0</w:t>
            </w:r>
          </w:p>
        </w:tc>
      </w:tr>
      <w:tr w:rsidR="00D777B9" w:rsidRPr="007D5748" w14:paraId="7CE3095F" w14:textId="77777777" w:rsidTr="00D777B9">
        <w:trPr>
          <w:trHeight w:val="295"/>
          <w:jc w:val="center"/>
        </w:trPr>
        <w:tc>
          <w:tcPr>
            <w:tcW w:w="3696" w:type="dxa"/>
            <w:shd w:val="clear" w:color="auto" w:fill="A6A6A6" w:themeFill="background1" w:themeFillShade="A6"/>
            <w:noWrap/>
            <w:vAlign w:val="center"/>
          </w:tcPr>
          <w:p w14:paraId="1D131DE7" w14:textId="77777777" w:rsidR="00D777B9" w:rsidRPr="007D5748" w:rsidRDefault="00D777B9" w:rsidP="00D777B9">
            <w:pPr>
              <w:rPr>
                <w:b/>
                <w:bCs/>
                <w:sz w:val="18"/>
                <w:szCs w:val="18"/>
                <w:lang w:eastAsia="sk-SK"/>
              </w:rPr>
            </w:pPr>
            <w:r w:rsidRPr="2A7B2052">
              <w:rPr>
                <w:b/>
                <w:bCs/>
                <w:sz w:val="18"/>
                <w:szCs w:val="18"/>
                <w:lang w:eastAsia="sk-SK"/>
              </w:rPr>
              <w:t>Rozpočtovo nekrytý vplyv / úspora</w:t>
            </w:r>
          </w:p>
        </w:tc>
        <w:tc>
          <w:tcPr>
            <w:tcW w:w="1391" w:type="dxa"/>
            <w:shd w:val="clear" w:color="auto" w:fill="A6A6A6" w:themeFill="background1" w:themeFillShade="A6"/>
            <w:noWrap/>
          </w:tcPr>
          <w:p w14:paraId="016EEAA8" w14:textId="77777777" w:rsidR="00D777B9" w:rsidRPr="005934BC" w:rsidRDefault="00D777B9" w:rsidP="00D777B9">
            <w:pPr>
              <w:jc w:val="right"/>
              <w:rPr>
                <w:b/>
                <w:bCs/>
                <w:sz w:val="18"/>
                <w:szCs w:val="18"/>
                <w:lang w:eastAsia="sk-SK"/>
              </w:rPr>
            </w:pPr>
            <w:r w:rsidRPr="005934BC">
              <w:rPr>
                <w:b/>
                <w:bCs/>
                <w:sz w:val="18"/>
                <w:szCs w:val="18"/>
                <w:lang w:eastAsia="sk-SK"/>
              </w:rPr>
              <w:t>0</w:t>
            </w:r>
          </w:p>
        </w:tc>
        <w:tc>
          <w:tcPr>
            <w:tcW w:w="1183" w:type="dxa"/>
            <w:shd w:val="clear" w:color="auto" w:fill="A6A6A6" w:themeFill="background1" w:themeFillShade="A6"/>
            <w:noWrap/>
          </w:tcPr>
          <w:p w14:paraId="172CEA4D" w14:textId="77777777" w:rsidR="00D777B9" w:rsidRPr="005934BC" w:rsidRDefault="00D777B9" w:rsidP="00D777B9">
            <w:pPr>
              <w:jc w:val="right"/>
              <w:rPr>
                <w:b/>
                <w:bCs/>
                <w:sz w:val="18"/>
                <w:szCs w:val="18"/>
                <w:lang w:eastAsia="sk-SK"/>
              </w:rPr>
            </w:pPr>
            <w:r w:rsidRPr="005934BC">
              <w:rPr>
                <w:b/>
                <w:bCs/>
                <w:sz w:val="18"/>
                <w:szCs w:val="18"/>
                <w:lang w:eastAsia="sk-SK"/>
              </w:rPr>
              <w:t xml:space="preserve">                   0</w:t>
            </w:r>
          </w:p>
        </w:tc>
        <w:tc>
          <w:tcPr>
            <w:tcW w:w="1539" w:type="dxa"/>
            <w:shd w:val="clear" w:color="auto" w:fill="A6A6A6" w:themeFill="background1" w:themeFillShade="A6"/>
            <w:noWrap/>
          </w:tcPr>
          <w:p w14:paraId="31255973" w14:textId="77777777" w:rsidR="00D777B9" w:rsidRPr="005934BC" w:rsidRDefault="00D777B9" w:rsidP="00D777B9">
            <w:pPr>
              <w:jc w:val="right"/>
              <w:rPr>
                <w:b/>
                <w:bCs/>
                <w:sz w:val="18"/>
                <w:szCs w:val="18"/>
                <w:lang w:eastAsia="sk-SK"/>
              </w:rPr>
            </w:pPr>
            <w:r w:rsidRPr="005934BC">
              <w:rPr>
                <w:b/>
                <w:bCs/>
                <w:sz w:val="18"/>
                <w:szCs w:val="18"/>
                <w:lang w:eastAsia="sk-SK"/>
              </w:rPr>
              <w:t xml:space="preserve">                  0</w:t>
            </w:r>
          </w:p>
        </w:tc>
        <w:tc>
          <w:tcPr>
            <w:tcW w:w="1486" w:type="dxa"/>
            <w:shd w:val="clear" w:color="auto" w:fill="A6A6A6" w:themeFill="background1" w:themeFillShade="A6"/>
            <w:noWrap/>
          </w:tcPr>
          <w:p w14:paraId="00E56F14" w14:textId="77777777" w:rsidR="00D777B9" w:rsidRPr="005934BC" w:rsidRDefault="00D777B9" w:rsidP="00D777B9">
            <w:pPr>
              <w:jc w:val="right"/>
              <w:rPr>
                <w:b/>
                <w:bCs/>
                <w:sz w:val="18"/>
                <w:szCs w:val="18"/>
                <w:lang w:eastAsia="sk-SK"/>
              </w:rPr>
            </w:pPr>
            <w:r w:rsidRPr="005934BC">
              <w:rPr>
                <w:b/>
                <w:bCs/>
                <w:sz w:val="18"/>
                <w:szCs w:val="18"/>
                <w:lang w:eastAsia="sk-SK"/>
              </w:rPr>
              <w:t xml:space="preserve">                  0</w:t>
            </w:r>
          </w:p>
        </w:tc>
      </w:tr>
      <w:bookmarkEnd w:id="0"/>
    </w:tbl>
    <w:p w14:paraId="2CEB856D" w14:textId="77777777" w:rsidR="00D777B9" w:rsidRDefault="00D777B9" w:rsidP="00D777B9">
      <w:pPr>
        <w:jc w:val="both"/>
        <w:rPr>
          <w:b/>
          <w:bCs/>
          <w:lang w:eastAsia="sk-SK"/>
        </w:rPr>
      </w:pPr>
    </w:p>
    <w:p w14:paraId="626A7040" w14:textId="77777777" w:rsidR="00D777B9" w:rsidRPr="00D777B9" w:rsidRDefault="00D777B9" w:rsidP="00D777B9">
      <w:pPr>
        <w:jc w:val="both"/>
        <w:rPr>
          <w:b/>
          <w:bCs/>
          <w:sz w:val="28"/>
          <w:lang w:eastAsia="sk-SK"/>
        </w:rPr>
      </w:pPr>
    </w:p>
    <w:p w14:paraId="2861364C" w14:textId="77777777" w:rsidR="00D777B9" w:rsidRPr="00D777B9" w:rsidRDefault="00D777B9" w:rsidP="00D777B9">
      <w:pPr>
        <w:jc w:val="both"/>
        <w:rPr>
          <w:b/>
          <w:bCs/>
          <w:szCs w:val="22"/>
          <w:lang w:eastAsia="sk-SK"/>
        </w:rPr>
      </w:pPr>
      <w:r w:rsidRPr="00D777B9">
        <w:rPr>
          <w:b/>
          <w:bCs/>
          <w:szCs w:val="22"/>
          <w:lang w:eastAsia="sk-SK"/>
        </w:rPr>
        <w:t>2.1.1. Financovanie návrhu - Návrh na riešenie úbytku príjmov alebo zvýšených výdavkov podľa § 33 ods. 1 zákona č. 523/2004 Z. z. o rozpočtových pravidlách verejnej správy</w:t>
      </w:r>
    </w:p>
    <w:p w14:paraId="346CBC6E" w14:textId="77777777" w:rsidR="00D777B9" w:rsidRPr="00D777B9" w:rsidRDefault="00D777B9" w:rsidP="00D777B9">
      <w:pPr>
        <w:jc w:val="both"/>
        <w:rPr>
          <w:rStyle w:val="awspan"/>
          <w:i/>
          <w:sz w:val="22"/>
          <w:szCs w:val="22"/>
        </w:rPr>
      </w:pPr>
    </w:p>
    <w:p w14:paraId="4A8591FD" w14:textId="77777777" w:rsidR="00D777B9" w:rsidRPr="00D777B9" w:rsidRDefault="00D777B9" w:rsidP="00D777B9">
      <w:pPr>
        <w:jc w:val="both"/>
        <w:rPr>
          <w:b/>
          <w:bCs/>
          <w:i/>
          <w:sz w:val="22"/>
          <w:szCs w:val="22"/>
          <w:lang w:eastAsia="sk-SK"/>
        </w:rPr>
      </w:pPr>
      <w:r w:rsidRPr="00D777B9">
        <w:rPr>
          <w:rStyle w:val="awspan"/>
          <w:i/>
          <w:sz w:val="22"/>
          <w:szCs w:val="22"/>
        </w:rPr>
        <w:t xml:space="preserve">Financovanie návrhu zákona bude zabezpečené prostredníctvom štátneho rozpočtu z rozpočtovej kapitoly Ministerstva investícií, regionálneho rozvoja a informatizácie Slovenskej republiky (ďalej len „MIRRI SR“), z medzirezortného podprogramu 0EK13. </w:t>
      </w:r>
    </w:p>
    <w:p w14:paraId="013E8270" w14:textId="77777777" w:rsidR="00D777B9" w:rsidRPr="00D777B9" w:rsidRDefault="00D777B9" w:rsidP="00D777B9">
      <w:pPr>
        <w:jc w:val="both"/>
        <w:rPr>
          <w:b/>
          <w:bCs/>
          <w:sz w:val="22"/>
          <w:szCs w:val="22"/>
          <w:lang w:eastAsia="sk-SK"/>
        </w:rPr>
      </w:pPr>
    </w:p>
    <w:p w14:paraId="561EA8E6" w14:textId="77777777" w:rsidR="00D777B9" w:rsidRPr="00D777B9" w:rsidRDefault="00D777B9" w:rsidP="00D777B9">
      <w:pPr>
        <w:rPr>
          <w:b/>
          <w:bCs/>
          <w:szCs w:val="22"/>
          <w:lang w:eastAsia="sk-SK"/>
        </w:rPr>
      </w:pPr>
    </w:p>
    <w:p w14:paraId="714271D2" w14:textId="77777777" w:rsidR="00D777B9" w:rsidRPr="00D777B9" w:rsidRDefault="00D777B9" w:rsidP="00D777B9">
      <w:pPr>
        <w:rPr>
          <w:b/>
          <w:bCs/>
          <w:szCs w:val="22"/>
          <w:lang w:eastAsia="sk-SK"/>
        </w:rPr>
      </w:pPr>
      <w:r w:rsidRPr="00D777B9">
        <w:rPr>
          <w:b/>
          <w:bCs/>
          <w:szCs w:val="22"/>
          <w:lang w:eastAsia="sk-SK"/>
        </w:rPr>
        <w:t>2.2. Popis a charakteristika návrhu</w:t>
      </w:r>
    </w:p>
    <w:p w14:paraId="1D156AAB" w14:textId="77777777" w:rsidR="00D777B9" w:rsidRPr="00D777B9" w:rsidRDefault="00D777B9" w:rsidP="00D777B9">
      <w:pPr>
        <w:rPr>
          <w:b/>
          <w:bCs/>
          <w:sz w:val="22"/>
          <w:szCs w:val="22"/>
          <w:lang w:eastAsia="sk-SK"/>
        </w:rPr>
      </w:pPr>
    </w:p>
    <w:p w14:paraId="59A9F2D1" w14:textId="77777777" w:rsidR="00D777B9" w:rsidRPr="00D777B9" w:rsidRDefault="00D777B9" w:rsidP="00D777B9">
      <w:pPr>
        <w:rPr>
          <w:sz w:val="22"/>
          <w:szCs w:val="22"/>
          <w:lang w:eastAsia="sk-SK"/>
        </w:rPr>
      </w:pPr>
    </w:p>
    <w:p w14:paraId="67D52DD1" w14:textId="77777777" w:rsidR="00D777B9" w:rsidRPr="00D777B9" w:rsidRDefault="00D777B9" w:rsidP="00D777B9">
      <w:pPr>
        <w:jc w:val="both"/>
        <w:rPr>
          <w:b/>
          <w:bCs/>
          <w:sz w:val="22"/>
          <w:szCs w:val="22"/>
          <w:lang w:eastAsia="sk-SK"/>
        </w:rPr>
      </w:pPr>
      <w:r w:rsidRPr="00D777B9">
        <w:rPr>
          <w:b/>
          <w:bCs/>
          <w:sz w:val="22"/>
          <w:szCs w:val="22"/>
          <w:lang w:eastAsia="sk-SK"/>
        </w:rPr>
        <w:t>2.2.1. Popis návrhu:</w:t>
      </w:r>
    </w:p>
    <w:p w14:paraId="784B885C" w14:textId="77777777" w:rsidR="00D777B9" w:rsidRPr="00D777B9" w:rsidRDefault="00D777B9" w:rsidP="00D777B9">
      <w:pPr>
        <w:jc w:val="both"/>
        <w:rPr>
          <w:b/>
          <w:bCs/>
          <w:sz w:val="22"/>
          <w:szCs w:val="22"/>
          <w:lang w:eastAsia="sk-SK"/>
        </w:rPr>
      </w:pPr>
    </w:p>
    <w:p w14:paraId="04BB1EAC" w14:textId="77777777" w:rsidR="00D777B9" w:rsidRPr="00D777B9" w:rsidRDefault="00D777B9" w:rsidP="00D777B9">
      <w:pPr>
        <w:ind w:firstLine="708"/>
        <w:jc w:val="both"/>
        <w:rPr>
          <w:sz w:val="22"/>
          <w:szCs w:val="22"/>
          <w:lang w:eastAsia="sk-SK"/>
        </w:rPr>
      </w:pPr>
      <w:r w:rsidRPr="00D777B9">
        <w:rPr>
          <w:sz w:val="22"/>
          <w:szCs w:val="22"/>
          <w:lang w:eastAsia="sk-SK"/>
        </w:rPr>
        <w:t>Akú problematiku návrh rieši? Kto bude návrh implementovať? Kde sa budú služby poskytovať?</w:t>
      </w:r>
    </w:p>
    <w:p w14:paraId="199459AB" w14:textId="77777777" w:rsidR="00D777B9" w:rsidRPr="00D777B9" w:rsidRDefault="00D777B9" w:rsidP="00D777B9">
      <w:pPr>
        <w:rPr>
          <w:i/>
          <w:sz w:val="22"/>
          <w:szCs w:val="22"/>
          <w:lang w:eastAsia="sk-SK"/>
        </w:rPr>
      </w:pPr>
    </w:p>
    <w:p w14:paraId="6B40BCE6" w14:textId="77777777" w:rsidR="00D777B9" w:rsidRPr="00D777B9" w:rsidRDefault="00D777B9" w:rsidP="00D777B9">
      <w:pPr>
        <w:jc w:val="both"/>
        <w:rPr>
          <w:i/>
          <w:sz w:val="22"/>
          <w:szCs w:val="22"/>
          <w:lang w:eastAsia="sk-SK"/>
        </w:rPr>
      </w:pPr>
      <w:r w:rsidRPr="00D777B9">
        <w:rPr>
          <w:i/>
          <w:sz w:val="22"/>
          <w:szCs w:val="22"/>
          <w:lang w:eastAsia="sk-SK"/>
        </w:rPr>
        <w:t xml:space="preserve">Návrhom zákona sa rieši niekoľko vecných okruhov, ktoré majú zlepšiť celkové fungovanie e-Governmentu a súčasne priniesť kvalitnejšie elektronické služby pre verejnosť pri komunikácií s orgánmi verejnej moci. Súčasťou návrhu zákona je aj odstránenie aplikačných problémov, ktoré sa ukázali v priebehu predchádzajúcich rokov, resp. od ostatnej revízie právneho predpisu. Implementácia návrhov bude riešená v rámci kapitoly MIRRI SR, pričom väčšina návrhov bude implementovaná v prostredí príspevkovej organizácie MIRRI SR - Národnej agentúre pre sieťové a elektronické služby (ďalej len „NASES“), ktorá je poverená prevádzkou a rozvojom Ústredného portálu verejnej správy (ďalej len „ÚPVS“), ide o výdavky spojené s aplikačnou a technickou zmenou tohto portálu.  </w:t>
      </w:r>
    </w:p>
    <w:p w14:paraId="2D9BC435" w14:textId="77777777" w:rsidR="00D777B9" w:rsidRPr="00D777B9" w:rsidRDefault="00D777B9" w:rsidP="00D777B9">
      <w:pPr>
        <w:jc w:val="both"/>
        <w:rPr>
          <w:i/>
          <w:sz w:val="22"/>
          <w:szCs w:val="22"/>
          <w:lang w:eastAsia="sk-SK"/>
        </w:rPr>
      </w:pPr>
      <w:r w:rsidRPr="00D777B9">
        <w:rPr>
          <w:i/>
          <w:sz w:val="22"/>
          <w:szCs w:val="22"/>
          <w:lang w:eastAsia="sk-SK"/>
        </w:rPr>
        <w:t>Z pohľadu dopadov na verejné financie je možné vecné okruhy rozdeliť nasledovne:</w:t>
      </w:r>
    </w:p>
    <w:p w14:paraId="4BC2FA72" w14:textId="77777777" w:rsidR="00D777B9" w:rsidRPr="00D777B9" w:rsidRDefault="00D777B9" w:rsidP="00D777B9">
      <w:pPr>
        <w:jc w:val="both"/>
        <w:rPr>
          <w:i/>
          <w:sz w:val="22"/>
          <w:szCs w:val="22"/>
          <w:lang w:eastAsia="sk-SK"/>
        </w:rPr>
      </w:pPr>
    </w:p>
    <w:p w14:paraId="120ED569" w14:textId="4302146E" w:rsidR="00D777B9" w:rsidRDefault="00D777B9" w:rsidP="00D777B9">
      <w:pPr>
        <w:jc w:val="both"/>
        <w:rPr>
          <w:b/>
          <w:i/>
          <w:sz w:val="22"/>
          <w:szCs w:val="22"/>
          <w:lang w:eastAsia="sk-SK"/>
        </w:rPr>
      </w:pPr>
      <w:r w:rsidRPr="00D777B9">
        <w:rPr>
          <w:b/>
          <w:i/>
          <w:sz w:val="22"/>
          <w:szCs w:val="22"/>
          <w:lang w:eastAsia="sk-SK"/>
        </w:rPr>
        <w:t>Okruh 1: Jedna schránka pre orgány verejnej moci a s tým spojené úpravy v doručovaní elektronických dokumentov (§ 12 ods. 2, § 32 ods. 5, § 60j odseky 1 až 4)</w:t>
      </w:r>
    </w:p>
    <w:p w14:paraId="41D6A377" w14:textId="77777777" w:rsidR="00D777B9" w:rsidRPr="00D777B9" w:rsidRDefault="00D777B9" w:rsidP="00D777B9">
      <w:pPr>
        <w:jc w:val="both"/>
        <w:rPr>
          <w:b/>
          <w:i/>
          <w:sz w:val="22"/>
          <w:szCs w:val="22"/>
          <w:lang w:eastAsia="sk-SK"/>
        </w:rPr>
      </w:pPr>
    </w:p>
    <w:p w14:paraId="5E1DE97F" w14:textId="77777777" w:rsidR="00D777B9" w:rsidRPr="00D777B9" w:rsidRDefault="00D777B9" w:rsidP="00D777B9">
      <w:pPr>
        <w:pStyle w:val="Nadpis3"/>
        <w:jc w:val="both"/>
        <w:rPr>
          <w:rFonts w:ascii="Times New Roman" w:eastAsia="Times New Roman" w:hAnsi="Times New Roman" w:cs="Times New Roman"/>
          <w:b/>
          <w:bCs/>
          <w:i/>
          <w:color w:val="auto"/>
          <w:sz w:val="22"/>
          <w:szCs w:val="22"/>
          <w:lang w:eastAsia="sk-SK"/>
        </w:rPr>
      </w:pPr>
      <w:r w:rsidRPr="00D777B9">
        <w:rPr>
          <w:rFonts w:ascii="Times New Roman" w:eastAsia="Times New Roman" w:hAnsi="Times New Roman" w:cs="Times New Roman"/>
          <w:i/>
          <w:color w:val="auto"/>
          <w:sz w:val="22"/>
          <w:szCs w:val="22"/>
          <w:u w:val="single"/>
          <w:lang w:eastAsia="sk-SK"/>
        </w:rPr>
        <w:t>Súčasný stav</w:t>
      </w:r>
      <w:r w:rsidRPr="00D777B9">
        <w:rPr>
          <w:rFonts w:ascii="Times New Roman" w:eastAsia="Times New Roman" w:hAnsi="Times New Roman" w:cs="Times New Roman"/>
          <w:i/>
          <w:color w:val="auto"/>
          <w:sz w:val="22"/>
          <w:szCs w:val="22"/>
          <w:lang w:eastAsia="sk-SK"/>
        </w:rPr>
        <w:t>: Schránky orgánov verejnej moci (ďalej len „OVM“) sa na ÚPVS zriaďujú na základe prijatej elektronickej alebo listinnej žiadosti alebo na základe údajov z referenčných registrov (RFO, RPO). Dnes však existujú subjekty, ktoré majú pre to isté IČO zriadené viaceré schránky v odlišných právnych postaveniach (napr. obec je s rovnakým IČO v postavení OVM aj právnickej osoby). NASES ako prevádzkovateľ ÚPVS dnes nemá k dispozícii nástroje, ktoré by uľahčili prípadné spájanie obsahu dvoch schránok do jednej schránky pre rovnaké IČO. Spájanie je potrebné riešiť manuálne, čo je pri vyšších počtoch schránok a pri vyšších počtoch správ v schránkach zdĺhavé a náchylné na možnosť vzniku chýb. Potreba spájania takýchto schránok vyplynula okrem iného aj z aplikačných problémov súvisiacich s doručovaním a inými pravidlami pre počítanie lehôt podľa zákona o e-Governmente. Navrhovanou úpravou sa tieto problémy odstránia a dôjde k zjednoteniu obsahu týchto elektronických schránok. NASES identifikoval ako dotknuté moduly ÚPVS : IAM admin a eDesk, ktoré je potrebné upraviť a z pohľadu súvisiaceho doručovania modul G2G.</w:t>
      </w:r>
    </w:p>
    <w:p w14:paraId="67D8328F" w14:textId="77777777" w:rsidR="00D777B9" w:rsidRDefault="00D777B9" w:rsidP="00D777B9">
      <w:pPr>
        <w:rPr>
          <w:i/>
          <w:sz w:val="22"/>
          <w:szCs w:val="22"/>
          <w:lang w:eastAsia="sk-SK"/>
        </w:rPr>
      </w:pPr>
    </w:p>
    <w:p w14:paraId="3C938A7F" w14:textId="2E43531C" w:rsidR="00D777B9" w:rsidRPr="00D777B9" w:rsidRDefault="00D777B9" w:rsidP="00D777B9">
      <w:pPr>
        <w:rPr>
          <w:i/>
          <w:sz w:val="22"/>
          <w:szCs w:val="22"/>
          <w:lang w:eastAsia="sk-SK"/>
        </w:rPr>
      </w:pPr>
      <w:r w:rsidRPr="00D777B9">
        <w:rPr>
          <w:i/>
          <w:sz w:val="22"/>
          <w:szCs w:val="22"/>
          <w:lang w:eastAsia="sk-SK"/>
        </w:rPr>
        <w:t>Celkový dopad na ÚPVS: 100 000 EUR</w:t>
      </w:r>
    </w:p>
    <w:p w14:paraId="0335106B" w14:textId="77777777" w:rsidR="00D777B9" w:rsidRPr="00D777B9" w:rsidRDefault="00D777B9" w:rsidP="00D777B9">
      <w:pPr>
        <w:rPr>
          <w:i/>
          <w:sz w:val="22"/>
          <w:szCs w:val="22"/>
          <w:lang w:eastAsia="sk-SK"/>
        </w:rPr>
      </w:pPr>
      <w:r w:rsidRPr="00D777B9">
        <w:rPr>
          <w:i/>
          <w:sz w:val="22"/>
          <w:szCs w:val="22"/>
          <w:lang w:eastAsia="sk-SK"/>
        </w:rPr>
        <w:t>Implementácia v roku 2023.</w:t>
      </w:r>
    </w:p>
    <w:p w14:paraId="25C38A07" w14:textId="77777777" w:rsidR="00D777B9" w:rsidRPr="00D777B9" w:rsidRDefault="00D777B9" w:rsidP="00D777B9">
      <w:pPr>
        <w:rPr>
          <w:i/>
          <w:sz w:val="22"/>
          <w:szCs w:val="22"/>
          <w:lang w:eastAsia="sk-SK"/>
        </w:rPr>
      </w:pPr>
    </w:p>
    <w:p w14:paraId="5992E804" w14:textId="77777777" w:rsidR="00D777B9" w:rsidRPr="00D777B9" w:rsidRDefault="00D777B9" w:rsidP="00D777B9">
      <w:pPr>
        <w:rPr>
          <w:b/>
          <w:i/>
          <w:sz w:val="22"/>
          <w:szCs w:val="22"/>
          <w:lang w:eastAsia="sk-SK"/>
        </w:rPr>
      </w:pPr>
      <w:r w:rsidRPr="00D777B9">
        <w:rPr>
          <w:b/>
          <w:i/>
          <w:sz w:val="22"/>
          <w:szCs w:val="22"/>
          <w:lang w:eastAsia="sk-SK"/>
        </w:rPr>
        <w:t>Okruh 2:  Návrhy zmien v oblasti autentifikácie (§ 22)</w:t>
      </w:r>
    </w:p>
    <w:p w14:paraId="73DBB824" w14:textId="77777777" w:rsidR="00D777B9" w:rsidRPr="00D777B9" w:rsidRDefault="00D777B9" w:rsidP="00D777B9">
      <w:pPr>
        <w:spacing w:before="100" w:beforeAutospacing="1" w:after="100" w:afterAutospacing="1"/>
        <w:jc w:val="both"/>
        <w:rPr>
          <w:rFonts w:eastAsiaTheme="minorEastAsia"/>
          <w:i/>
          <w:sz w:val="22"/>
          <w:szCs w:val="22"/>
          <w:lang w:eastAsia="sk-SK"/>
        </w:rPr>
      </w:pPr>
      <w:r w:rsidRPr="00D777B9">
        <w:rPr>
          <w:rFonts w:eastAsiaTheme="minorEastAsia"/>
          <w:i/>
          <w:sz w:val="22"/>
          <w:szCs w:val="22"/>
          <w:lang w:eastAsia="sk-SK"/>
        </w:rPr>
        <w:t xml:space="preserve">Implementáciu zmien v autentifikácii podľa zákona o e-Governmente a zabezpečovanie plnenia novej povinnosti v zmysle navrhovaného § 22 zákona o e-Governmente bude zabezpečovať MIRRI SR. Činnosti v rámci tejto povinnosti sú spojené najmä s vedením evidencie autentifikačných prostriedkov, príjem žiadostí o zápis nových autentifikačných prostriedkov, posudzovanie žiadostí a posudzovanie splnenia podmienok podľa zákona o e-Governmente, zápis autentifikačných prostriedkov do Metainformačného systému a ich zverejnenie na ÚPVS v súlade s § 22 ods. 1 zákona o e-Governmente. </w:t>
      </w:r>
      <w:r w:rsidRPr="00D777B9">
        <w:rPr>
          <w:rFonts w:eastAsiaTheme="minorEastAsia"/>
          <w:i/>
          <w:sz w:val="22"/>
          <w:szCs w:val="22"/>
          <w:lang w:eastAsia="sk-SK"/>
        </w:rPr>
        <w:lastRenderedPageBreak/>
        <w:t>Vzhľadom na to, že ide o novú povinnosť, ktorej plnenie nie je možné pokryť súčasnými personálnymi kapacitami MIRRI SR, tabuľka č. 5 zohľadňuje požadované náklady MIRRI SR na 2 zamestnancov pre posudzovanie splnenia podmienok podľa § 22 zákona v oblasti bezpečnosti a štandardov ITVS.</w:t>
      </w:r>
    </w:p>
    <w:p w14:paraId="4F344359" w14:textId="77777777" w:rsidR="00D777B9" w:rsidRPr="00D777B9" w:rsidRDefault="00D777B9" w:rsidP="00D777B9">
      <w:pPr>
        <w:rPr>
          <w:rFonts w:eastAsiaTheme="minorEastAsia"/>
          <w:i/>
          <w:sz w:val="22"/>
          <w:szCs w:val="22"/>
          <w:lang w:eastAsia="sk-SK"/>
        </w:rPr>
      </w:pPr>
      <w:r w:rsidRPr="00D777B9">
        <w:rPr>
          <w:rFonts w:eastAsiaTheme="minorEastAsia"/>
          <w:i/>
          <w:sz w:val="22"/>
          <w:szCs w:val="22"/>
          <w:lang w:eastAsia="sk-SK"/>
        </w:rPr>
        <w:t>Dopad na MIRRI SR: 129 552 EUR</w:t>
      </w:r>
    </w:p>
    <w:p w14:paraId="23089A5B" w14:textId="77777777" w:rsidR="00D777B9" w:rsidRPr="00D777B9" w:rsidRDefault="00D777B9" w:rsidP="00D777B9">
      <w:pPr>
        <w:rPr>
          <w:i/>
          <w:sz w:val="22"/>
          <w:szCs w:val="22"/>
          <w:lang w:eastAsia="sk-SK"/>
        </w:rPr>
      </w:pPr>
      <w:r w:rsidRPr="00D777B9">
        <w:rPr>
          <w:i/>
          <w:sz w:val="22"/>
          <w:szCs w:val="22"/>
          <w:lang w:eastAsia="sk-SK"/>
        </w:rPr>
        <w:t>Implementácia od roku 2023.</w:t>
      </w:r>
    </w:p>
    <w:p w14:paraId="1C16538D" w14:textId="77777777" w:rsidR="00D777B9" w:rsidRPr="00D777B9" w:rsidRDefault="00D777B9" w:rsidP="00D777B9">
      <w:pPr>
        <w:rPr>
          <w:b/>
          <w:i/>
          <w:sz w:val="22"/>
          <w:szCs w:val="22"/>
          <w:lang w:eastAsia="sk-SK"/>
        </w:rPr>
      </w:pPr>
    </w:p>
    <w:p w14:paraId="1F900E6F" w14:textId="77777777" w:rsidR="00D777B9" w:rsidRPr="00D777B9" w:rsidRDefault="00D777B9" w:rsidP="00D777B9">
      <w:pPr>
        <w:spacing w:after="120"/>
        <w:rPr>
          <w:b/>
          <w:i/>
          <w:sz w:val="22"/>
          <w:szCs w:val="22"/>
          <w:lang w:eastAsia="sk-SK"/>
        </w:rPr>
      </w:pPr>
      <w:r w:rsidRPr="00D777B9">
        <w:rPr>
          <w:b/>
          <w:i/>
          <w:sz w:val="22"/>
          <w:szCs w:val="22"/>
          <w:lang w:eastAsia="sk-SK"/>
        </w:rPr>
        <w:t>Okruh 3: Návrhy zmien v oblasti autorizácie (§ 23 ods. 1 písm. a) druhý bod, § 23 ods. 9)</w:t>
      </w:r>
    </w:p>
    <w:p w14:paraId="7486735D" w14:textId="77777777" w:rsidR="00D777B9" w:rsidRPr="00D777B9" w:rsidRDefault="00D777B9" w:rsidP="00D777B9">
      <w:pPr>
        <w:pStyle w:val="Nadpis3"/>
        <w:spacing w:before="0" w:after="120"/>
        <w:jc w:val="both"/>
        <w:rPr>
          <w:rFonts w:ascii="Times New Roman" w:hAnsi="Times New Roman" w:cs="Times New Roman"/>
          <w:b/>
          <w:bCs/>
          <w:i/>
          <w:color w:val="auto"/>
          <w:sz w:val="22"/>
          <w:szCs w:val="22"/>
          <w:lang w:eastAsia="sk-SK"/>
        </w:rPr>
      </w:pPr>
      <w:r w:rsidRPr="00D777B9">
        <w:rPr>
          <w:rFonts w:ascii="Times New Roman" w:eastAsia="Times New Roman" w:hAnsi="Times New Roman" w:cs="Times New Roman"/>
          <w:i/>
          <w:color w:val="auto"/>
          <w:sz w:val="22"/>
          <w:szCs w:val="22"/>
          <w:u w:val="single"/>
          <w:lang w:eastAsia="sk-SK"/>
        </w:rPr>
        <w:t xml:space="preserve">Súčasný stav: </w:t>
      </w:r>
      <w:r w:rsidRPr="00D777B9">
        <w:rPr>
          <w:rFonts w:ascii="Times New Roman" w:hAnsi="Times New Roman" w:cs="Times New Roman"/>
          <w:i/>
          <w:color w:val="auto"/>
          <w:sz w:val="22"/>
          <w:szCs w:val="22"/>
          <w:lang w:eastAsia="sk-SK"/>
        </w:rPr>
        <w:t xml:space="preserve">Ak je adresátom OVM a ak používa CEP ÚPVS ako svoju podateľňu a ak sa doručuje elektronické podanie alebo elektronický úradný dokument, tak CEP v spolupráci s G2G vytvára a do schránky adresáta odosiela výsledok úplného overenia podpisov. Služby CEP informatívneho a úplného overenia podpisov neoverujú autorizáciu klikom t.j. autorizáciu použitím na to určenej funkcie informačného systému prístupového miesta v zmysle §23 zákona o e-Governmente. </w:t>
      </w:r>
    </w:p>
    <w:p w14:paraId="6504BC15" w14:textId="77777777" w:rsidR="00D777B9" w:rsidRPr="00D777B9" w:rsidRDefault="00D777B9" w:rsidP="00D777B9">
      <w:pPr>
        <w:pStyle w:val="Nadpis3"/>
        <w:spacing w:before="0" w:after="120"/>
        <w:jc w:val="both"/>
        <w:rPr>
          <w:rFonts w:ascii="Times New Roman" w:eastAsia="Times New Roman" w:hAnsi="Times New Roman" w:cs="Times New Roman"/>
          <w:i/>
          <w:color w:val="auto"/>
          <w:sz w:val="22"/>
          <w:szCs w:val="22"/>
          <w:lang w:eastAsia="sk-SK"/>
        </w:rPr>
      </w:pPr>
      <w:r w:rsidRPr="00D777B9">
        <w:rPr>
          <w:rFonts w:ascii="Times New Roman" w:hAnsi="Times New Roman" w:cs="Times New Roman"/>
          <w:i/>
          <w:color w:val="auto"/>
          <w:sz w:val="22"/>
          <w:szCs w:val="22"/>
          <w:lang w:eastAsia="sk-SK"/>
        </w:rPr>
        <w:t>Z dôvodu povinnej podpory autorizácie klikom na ÚPVS v zmysle navrhovaného § 23 ods. 9 bude potrebné vytvoriť nové verzie služieb úplného overenia, zaevidovania podania a informatívneho overenia, ktorých výstup bude rozšírený o výsledok overenia autorizácie klikom a o údaje z autorizačnej doložky v súlade s § 48 ods. 2 vyhlášky Úradu podpredsedu vlády Slovenskej republiky pre investície a informatizáciu č. 78/2020 Z. z. o štandardoch pre informačné systémy verejnej správy v znení vyhlášky MIRRI SR č. 546/2021 Z. z. a reintegrovať existujúce moduly ÚPVS: G2G, eDesk, CÚD, služba vytvárania doložky o autorizácii a MDURZ na tieto nové služby a realizovať zmeny vo viacerých moduloch ÚPVS, a to eDesk, MDURZ,CÚD, G2G, CEP, EDESK, nové úpravy v „Službe  vytvárania Doložky o autorizácii“ a  vytvorenie nových elektronických formulárov.</w:t>
      </w:r>
    </w:p>
    <w:p w14:paraId="01B050DE" w14:textId="77777777" w:rsidR="00D777B9" w:rsidRPr="00D777B9" w:rsidRDefault="00D777B9" w:rsidP="00D777B9">
      <w:pPr>
        <w:pStyle w:val="Normlnywebov"/>
        <w:spacing w:after="0" w:afterAutospacing="0"/>
        <w:rPr>
          <w:i/>
          <w:sz w:val="22"/>
          <w:szCs w:val="22"/>
          <w:lang w:eastAsia="sk-SK"/>
        </w:rPr>
      </w:pPr>
      <w:r w:rsidRPr="00D777B9">
        <w:rPr>
          <w:i/>
          <w:sz w:val="22"/>
          <w:szCs w:val="22"/>
          <w:lang w:eastAsia="sk-SK"/>
        </w:rPr>
        <w:t>Pri registrácii služieb v ÚPVS (v module Lokátor služieb) je možné vybrať niektorý z nasledovných povolených spôsobov autorizácie:</w:t>
      </w:r>
    </w:p>
    <w:p w14:paraId="641B02F4" w14:textId="77777777" w:rsidR="00D777B9" w:rsidRPr="00D777B9" w:rsidRDefault="00D777B9" w:rsidP="00D777B9">
      <w:pPr>
        <w:numPr>
          <w:ilvl w:val="0"/>
          <w:numId w:val="8"/>
        </w:numPr>
        <w:ind w:left="714" w:hanging="357"/>
        <w:contextualSpacing/>
        <w:rPr>
          <w:rFonts w:eastAsiaTheme="minorEastAsia"/>
          <w:i/>
          <w:sz w:val="22"/>
          <w:szCs w:val="22"/>
          <w:lang w:eastAsia="sk-SK"/>
        </w:rPr>
      </w:pPr>
      <w:r w:rsidRPr="00D777B9">
        <w:rPr>
          <w:rFonts w:eastAsiaTheme="minorEastAsia"/>
          <w:i/>
          <w:sz w:val="22"/>
          <w:szCs w:val="22"/>
          <w:lang w:eastAsia="sk-SK"/>
        </w:rPr>
        <w:t>nevyžaduje sa žiadna autorizácia</w:t>
      </w:r>
    </w:p>
    <w:p w14:paraId="7B4D2E38" w14:textId="77777777" w:rsidR="00D777B9" w:rsidRPr="00D777B9" w:rsidRDefault="00D777B9" w:rsidP="00D777B9">
      <w:pPr>
        <w:numPr>
          <w:ilvl w:val="0"/>
          <w:numId w:val="8"/>
        </w:numPr>
        <w:spacing w:before="100" w:beforeAutospacing="1"/>
        <w:ind w:left="714" w:hanging="357"/>
        <w:contextualSpacing/>
        <w:rPr>
          <w:rFonts w:eastAsiaTheme="minorEastAsia"/>
          <w:i/>
          <w:sz w:val="22"/>
          <w:szCs w:val="22"/>
          <w:lang w:eastAsia="sk-SK"/>
        </w:rPr>
      </w:pPr>
      <w:r w:rsidRPr="00D777B9">
        <w:rPr>
          <w:rFonts w:eastAsiaTheme="minorEastAsia"/>
          <w:i/>
          <w:sz w:val="22"/>
          <w:szCs w:val="22"/>
          <w:lang w:eastAsia="sk-SK"/>
        </w:rPr>
        <w:t>vyžaduje sa autorizácia opakovaným prihlásením (na to určenou funkciou ÚPVS)</w:t>
      </w:r>
    </w:p>
    <w:p w14:paraId="5AF31A8B" w14:textId="77777777" w:rsidR="00D777B9" w:rsidRPr="00D777B9" w:rsidRDefault="00D777B9" w:rsidP="00D777B9">
      <w:pPr>
        <w:numPr>
          <w:ilvl w:val="0"/>
          <w:numId w:val="8"/>
        </w:numPr>
        <w:spacing w:before="100" w:beforeAutospacing="1"/>
        <w:ind w:left="714" w:hanging="357"/>
        <w:contextualSpacing/>
        <w:rPr>
          <w:rFonts w:eastAsiaTheme="minorEastAsia"/>
          <w:i/>
          <w:sz w:val="22"/>
          <w:szCs w:val="22"/>
          <w:lang w:eastAsia="sk-SK"/>
        </w:rPr>
      </w:pPr>
      <w:r w:rsidRPr="00D777B9">
        <w:rPr>
          <w:rFonts w:eastAsiaTheme="minorEastAsia"/>
          <w:i/>
          <w:sz w:val="22"/>
          <w:szCs w:val="22"/>
          <w:lang w:eastAsia="sk-SK"/>
        </w:rPr>
        <w:t>vyžaduje sa autorizácia kvalifikovaným elektronickým podpisom / pečaťou.</w:t>
      </w:r>
    </w:p>
    <w:p w14:paraId="3B4E3E9B" w14:textId="77777777" w:rsidR="00D777B9" w:rsidRPr="00D777B9" w:rsidRDefault="00D777B9" w:rsidP="00D777B9">
      <w:pPr>
        <w:pStyle w:val="Normlnywebov"/>
        <w:spacing w:before="0" w:beforeAutospacing="0" w:after="0" w:afterAutospacing="0"/>
        <w:contextualSpacing/>
        <w:jc w:val="both"/>
        <w:rPr>
          <w:i/>
          <w:sz w:val="22"/>
          <w:szCs w:val="22"/>
          <w:lang w:eastAsia="sk-SK"/>
        </w:rPr>
      </w:pPr>
      <w:r w:rsidRPr="00D777B9">
        <w:rPr>
          <w:i/>
          <w:sz w:val="22"/>
          <w:szCs w:val="22"/>
          <w:lang w:eastAsia="sk-SK"/>
        </w:rPr>
        <w:t xml:space="preserve">Používateľské rozhranie konštruktora správ, v ktorom používateľ vytvára, autorizuje a odosiela elektronické správy vyžaduje od používateľa použitie takého spôsobu autorizácie, aký je pre danú elektronickú službu zaevidovaný v Lokátore služieb. Na tento účel je konštruktor správ integrovaný s Lokátorom služieb. Konštruktor správ však dnes nemá funkčnú podporu pre autorizáciu klikom a z tohto dôvodu je potrebné administračné rozhranie, evidenciu a integračné rozhrania Lokátora služieb rozšíriť o nový spôsob autorizácie - autorizácia klikom. Konštruktor správ bude potrebné preintegrovať na rozšírené integračné rozhrania Lokátora služieb aby ponúkol všetky spôsoby autorizácie, aké sú danú službu povolené v Lokátore služieb (teda navyše oproti súčasnému stavu aj autorizáciu klikom). Konštruktor správ bude rozšírený o funkcionalitu autorizácie elektronických podaní klikom. Nová funkcionalita v zmysle zákona o e- Governmente bude dostupná po úspešnej autentifikácii osoby (zodpovedajúcej najmenej úrovni zabezpečenia pokročilá) a zabezpečí </w:t>
      </w:r>
    </w:p>
    <w:p w14:paraId="43C4A0AB" w14:textId="77777777" w:rsidR="00D777B9" w:rsidRPr="00D777B9" w:rsidRDefault="00D777B9" w:rsidP="00D777B9">
      <w:pPr>
        <w:numPr>
          <w:ilvl w:val="0"/>
          <w:numId w:val="9"/>
        </w:numPr>
        <w:ind w:left="714" w:hanging="357"/>
        <w:contextualSpacing/>
        <w:jc w:val="both"/>
        <w:rPr>
          <w:rFonts w:eastAsiaTheme="minorEastAsia"/>
          <w:i/>
          <w:sz w:val="22"/>
          <w:szCs w:val="22"/>
          <w:lang w:eastAsia="sk-SK"/>
        </w:rPr>
      </w:pPr>
      <w:r w:rsidRPr="00D777B9">
        <w:rPr>
          <w:rFonts w:eastAsiaTheme="minorEastAsia"/>
          <w:i/>
          <w:sz w:val="22"/>
          <w:szCs w:val="22"/>
          <w:lang w:eastAsia="sk-SK"/>
        </w:rPr>
        <w:t xml:space="preserve">nemennosť obsahu autorizovaného dokumentu do momentu uloženia v elektronickej schránke adresáta, </w:t>
      </w:r>
    </w:p>
    <w:p w14:paraId="69548A39" w14:textId="77777777" w:rsidR="00D777B9" w:rsidRPr="00D777B9" w:rsidRDefault="00D777B9" w:rsidP="00D777B9">
      <w:pPr>
        <w:numPr>
          <w:ilvl w:val="0"/>
          <w:numId w:val="9"/>
        </w:numPr>
        <w:spacing w:before="100" w:beforeAutospacing="1"/>
        <w:ind w:left="714" w:hanging="357"/>
        <w:contextualSpacing/>
        <w:jc w:val="both"/>
        <w:rPr>
          <w:rFonts w:eastAsiaTheme="minorEastAsia"/>
          <w:i/>
          <w:sz w:val="22"/>
          <w:szCs w:val="22"/>
          <w:lang w:eastAsia="sk-SK"/>
        </w:rPr>
      </w:pPr>
      <w:r w:rsidRPr="00D777B9">
        <w:rPr>
          <w:rFonts w:eastAsiaTheme="minorEastAsia"/>
          <w:i/>
          <w:sz w:val="22"/>
          <w:szCs w:val="22"/>
          <w:lang w:eastAsia="sk-SK"/>
        </w:rPr>
        <w:t>spojenie autorizovaného dokumentu s identifikátorom osoby odosielateľa a zachovanie väzby medzi nimi,</w:t>
      </w:r>
    </w:p>
    <w:p w14:paraId="6B479F32" w14:textId="77777777" w:rsidR="00D777B9" w:rsidRPr="00D777B9" w:rsidRDefault="00D777B9" w:rsidP="00D777B9">
      <w:pPr>
        <w:numPr>
          <w:ilvl w:val="0"/>
          <w:numId w:val="9"/>
        </w:numPr>
        <w:spacing w:after="120"/>
        <w:ind w:left="714" w:hanging="357"/>
        <w:jc w:val="both"/>
        <w:rPr>
          <w:rFonts w:eastAsiaTheme="minorEastAsia"/>
          <w:i/>
          <w:sz w:val="22"/>
          <w:szCs w:val="22"/>
          <w:lang w:eastAsia="sk-SK"/>
        </w:rPr>
      </w:pPr>
      <w:r w:rsidRPr="00D777B9">
        <w:rPr>
          <w:rFonts w:eastAsiaTheme="minorEastAsia"/>
          <w:i/>
          <w:sz w:val="22"/>
          <w:szCs w:val="22"/>
          <w:lang w:eastAsia="sk-SK"/>
        </w:rPr>
        <w:t>splnenie povinnosti uvádzania autentifikovanej osoby ako odosielateľa elektronickej správy. </w:t>
      </w:r>
    </w:p>
    <w:p w14:paraId="35B32FFC" w14:textId="77777777" w:rsidR="00D777B9" w:rsidRPr="00D777B9" w:rsidRDefault="00D777B9" w:rsidP="00D777B9">
      <w:pPr>
        <w:rPr>
          <w:i/>
          <w:sz w:val="22"/>
          <w:szCs w:val="22"/>
          <w:lang w:eastAsia="sk-SK"/>
        </w:rPr>
      </w:pPr>
      <w:r w:rsidRPr="00D777B9">
        <w:rPr>
          <w:rFonts w:eastAsiaTheme="minorEastAsia"/>
          <w:i/>
          <w:sz w:val="22"/>
          <w:szCs w:val="22"/>
          <w:lang w:eastAsia="sk-SK"/>
        </w:rPr>
        <w:t xml:space="preserve">Navrhovaná úprava nie je úpravou vyvolanou projektom Slovensko v mobile. Navyše, Slovensko v mobile je súčasťou ústredného portálu verejnej správy, čiže nejde ani o duplicitu a ani o dopĺňajúce sa funkcionality. Pre zabezpečenie funkčnosti autorizácie klikom vytváranej na ÚPVS je potrebné zrealizovať centrálne riešenie overenia a spracovania autorizácie klikom v spoločných moduloch UPVS s doložkou preukazujúcou vykonanú autorizáciu klikom v zmysle štandardov, čo má dopady na spoločné moduly ako je centrálna elektronická podateľňa pre úpravu centrálne zasielaného výsledku overenia, modul elektronických schránok pre zobrazovanie informácií o autorizácii klikom, modul elektronického doručovania pre spracovanie výsledku overenia v autorizačnej doložke listinného rovnopisu a modul dlhodobého uchovávania pre spracovanie upraveného výsledku overenia podpisov. </w:t>
      </w:r>
      <w:r w:rsidRPr="00D777B9">
        <w:rPr>
          <w:rFonts w:eastAsiaTheme="minorEastAsia"/>
          <w:i/>
          <w:sz w:val="22"/>
          <w:szCs w:val="22"/>
          <w:lang w:eastAsia="sk-SK"/>
        </w:rPr>
        <w:lastRenderedPageBreak/>
        <w:t>Zároveň je potrebné zabezpečiť vytváranie autorizácie klikom v súlade s ustanovením a štandardmi pre podania vytvárané na ÚPVS s doložkou preukazujúcou autorizáciu klikom. Autorizácia klikom v súčasnosti nie je zrealizovaná na ústrednom portáli a riešenie centrálneho overovania v spoločných moduloch a vytvárania na ÚPVS nie sú pokryté projektom Slovensko v mobile.</w:t>
      </w:r>
      <w:r w:rsidRPr="00D777B9">
        <w:rPr>
          <w:i/>
          <w:sz w:val="22"/>
          <w:szCs w:val="22"/>
          <w:lang w:eastAsia="sk-SK"/>
        </w:rPr>
        <w:t>Dopad na ÚPVS: 610 000 EUR</w:t>
      </w:r>
    </w:p>
    <w:p w14:paraId="3644A2E6" w14:textId="77777777" w:rsidR="00D777B9" w:rsidRPr="00D777B9" w:rsidRDefault="00D777B9" w:rsidP="00D777B9">
      <w:pPr>
        <w:rPr>
          <w:i/>
          <w:sz w:val="22"/>
          <w:szCs w:val="22"/>
          <w:lang w:eastAsia="sk-SK"/>
        </w:rPr>
      </w:pPr>
      <w:r w:rsidRPr="00D777B9">
        <w:rPr>
          <w:i/>
          <w:sz w:val="22"/>
          <w:szCs w:val="22"/>
          <w:lang w:eastAsia="sk-SK"/>
        </w:rPr>
        <w:t>Implementácia v roku 2023.</w:t>
      </w:r>
    </w:p>
    <w:p w14:paraId="022A2EEB" w14:textId="77777777" w:rsidR="00D777B9" w:rsidRPr="00D777B9" w:rsidRDefault="00D777B9" w:rsidP="00D777B9">
      <w:pPr>
        <w:rPr>
          <w:i/>
          <w:sz w:val="22"/>
          <w:szCs w:val="22"/>
          <w:lang w:eastAsia="sk-SK"/>
        </w:rPr>
      </w:pPr>
    </w:p>
    <w:p w14:paraId="2756AD49" w14:textId="77777777" w:rsidR="00D777B9" w:rsidRPr="00D777B9" w:rsidRDefault="00D777B9" w:rsidP="00D777B9">
      <w:pPr>
        <w:spacing w:after="120"/>
        <w:rPr>
          <w:b/>
          <w:i/>
          <w:sz w:val="22"/>
          <w:szCs w:val="22"/>
          <w:lang w:eastAsia="sk-SK"/>
        </w:rPr>
      </w:pPr>
      <w:r w:rsidRPr="00D777B9">
        <w:rPr>
          <w:b/>
          <w:i/>
          <w:sz w:val="22"/>
          <w:szCs w:val="22"/>
          <w:lang w:eastAsia="sk-SK"/>
        </w:rPr>
        <w:t>Okruh 4: Návrhy zmien v oblasti povinnosti vytvárania elektronického formulára pre elektronické úradné dokumenty (úpravy § 26 ods. 2 a 7, § 27 ods. 4 a 5,  vypustenie § 28 ods. 6)</w:t>
      </w:r>
    </w:p>
    <w:p w14:paraId="4342A10A" w14:textId="77777777" w:rsidR="00D777B9" w:rsidRPr="00D777B9" w:rsidRDefault="00D777B9" w:rsidP="00D777B9">
      <w:pPr>
        <w:pStyle w:val="Nadpis3"/>
        <w:spacing w:before="0" w:after="120"/>
        <w:jc w:val="both"/>
        <w:rPr>
          <w:rFonts w:ascii="Times New Roman" w:hAnsi="Times New Roman" w:cs="Times New Roman"/>
          <w:b/>
          <w:bCs/>
          <w:i/>
          <w:color w:val="auto"/>
          <w:sz w:val="22"/>
          <w:szCs w:val="22"/>
          <w:lang w:eastAsia="sk-SK"/>
        </w:rPr>
      </w:pPr>
      <w:r w:rsidRPr="00D777B9">
        <w:rPr>
          <w:rFonts w:ascii="Times New Roman" w:eastAsia="Times New Roman" w:hAnsi="Times New Roman" w:cs="Times New Roman"/>
          <w:i/>
          <w:color w:val="auto"/>
          <w:sz w:val="22"/>
          <w:szCs w:val="22"/>
          <w:u w:val="single"/>
          <w:lang w:eastAsia="sk-SK"/>
        </w:rPr>
        <w:t>Súčasný stav: OVM je povinné vytvárať elektronické úradné dokumenty ako údaje vyplnené podľa elektronického formulára, čo predstavuje značné finančné náklady pre orgány verejnej moci a technické komplikácie pri vytváraní formátovaného textu v rámci obsahu elektronického úradného dokumentu. Údaje elektronického úradného dokumentu vyplneného podľa elektronického formulára sa v elektronickej úradnej správe automatizovane identifikujú pre účely vytvorenie autorizačnej doložky listinného rovnopisu vytváraného podľa § 31a zákona. V súčasnom stave sa nepočíta s tým, že príloha v elektronickej úradnej správe je elektronický úradný dokument.</w:t>
      </w:r>
    </w:p>
    <w:p w14:paraId="6E28CD1A" w14:textId="77777777" w:rsidR="00D777B9" w:rsidRPr="00D777B9" w:rsidRDefault="00D777B9" w:rsidP="00D777B9">
      <w:pPr>
        <w:pStyle w:val="Nadpis3"/>
        <w:spacing w:before="0" w:after="120"/>
        <w:jc w:val="both"/>
        <w:rPr>
          <w:rFonts w:ascii="Times New Roman" w:hAnsi="Times New Roman" w:cs="Times New Roman"/>
          <w:b/>
          <w:bCs/>
          <w:i/>
          <w:color w:val="auto"/>
          <w:sz w:val="22"/>
          <w:szCs w:val="22"/>
          <w:lang w:eastAsia="sk-SK"/>
        </w:rPr>
      </w:pPr>
      <w:r w:rsidRPr="00D777B9">
        <w:rPr>
          <w:rFonts w:ascii="Times New Roman" w:hAnsi="Times New Roman" w:cs="Times New Roman"/>
          <w:i/>
          <w:color w:val="auto"/>
          <w:sz w:val="22"/>
          <w:szCs w:val="22"/>
          <w:lang w:eastAsia="sk-SK"/>
        </w:rPr>
        <w:t xml:space="preserve">Požadovaný stav: </w:t>
      </w:r>
      <w:r w:rsidRPr="00D777B9">
        <w:rPr>
          <w:rFonts w:ascii="Times New Roman" w:hAnsi="Times New Roman" w:cs="Times New Roman"/>
          <w:i/>
          <w:color w:val="auto"/>
          <w:sz w:val="22"/>
          <w:szCs w:val="22"/>
          <w:lang w:eastAsia="sk-SK"/>
        </w:rPr>
        <w:br/>
        <w:t>Na základe zásadnej pripomienky k novele zákona a zámerov v pracovných skupinách Komisie pre štandardizáciu bude vytváranie elektronického formulára pre elektronický úradný dokument nepovinné a bude možné vytvárať elektronické úradné dokumenty aj ako iné elektronické dokumenty. Na základe tejto úpravy je potrebné upraviť funkciu vytvárania listinného rovnopisu elektronického úradného dokumentu vytváraného podľa § 31a zákona OVM v elektronickej schránke ÚPVS a úpravu zverejneného vzoru autorizačnej doložky, aby v nich nebol ako elektronický úradný dokument označovaný výlučne vyplnený elektronický formulár. Úpravu je potrebné vykonať v rámci elektronického formulára, ktorý bude zverejnený ako nová verzia formulára a následne implementovaný vo funkcii vytvárania listinného rovnopisu. Bez implementácie úpravy by dochádzalo k chybnému označovaniu obsahu doručovaných listinných rovnopisov.</w:t>
      </w:r>
    </w:p>
    <w:p w14:paraId="2E5161CC" w14:textId="77777777" w:rsidR="00D777B9" w:rsidRPr="00D777B9" w:rsidRDefault="00D777B9" w:rsidP="00D777B9">
      <w:pPr>
        <w:pStyle w:val="Nadpis3"/>
        <w:spacing w:before="0" w:after="120"/>
        <w:jc w:val="both"/>
        <w:rPr>
          <w:rFonts w:ascii="Times New Roman" w:hAnsi="Times New Roman" w:cs="Times New Roman"/>
          <w:b/>
          <w:bCs/>
          <w:i/>
          <w:color w:val="auto"/>
          <w:sz w:val="22"/>
          <w:szCs w:val="22"/>
          <w:lang w:eastAsia="sk-SK"/>
        </w:rPr>
      </w:pPr>
      <w:r w:rsidRPr="00D777B9">
        <w:rPr>
          <w:rFonts w:ascii="Times New Roman" w:hAnsi="Times New Roman" w:cs="Times New Roman"/>
          <w:i/>
          <w:color w:val="auto"/>
          <w:sz w:val="22"/>
          <w:szCs w:val="22"/>
          <w:lang w:eastAsia="sk-SK"/>
        </w:rPr>
        <w:t>Zároveň je žiadúce pre účely obmedzenia nákladov na strane OVM pri vytváraní dátovej štruktúry podľa § 27 vytvoriť vzorovú dátovú štruktúru s povinnými základnými metaúdajmi elektronického úradného dokumentu pre účely automatizovaného spracovania a jeho sprístupnenie na ÚPVS. Nevytvorením dátovej štruktúry by vznikli náklady na samostatné vytváranie štruktúry v množstve OVM. Dátová štruktúra je určená na automatizované spracovanie doručovaných elektronických úradných dokumentov na ÚPVS a na strane adresátov.</w:t>
      </w:r>
    </w:p>
    <w:p w14:paraId="032192A0" w14:textId="77777777" w:rsidR="00D777B9" w:rsidRPr="00D777B9" w:rsidRDefault="00D777B9" w:rsidP="00D777B9">
      <w:pPr>
        <w:pStyle w:val="Nadpis3"/>
        <w:spacing w:before="0" w:after="120"/>
        <w:jc w:val="both"/>
        <w:rPr>
          <w:rFonts w:ascii="Times New Roman" w:hAnsi="Times New Roman" w:cs="Times New Roman"/>
          <w:b/>
          <w:bCs/>
          <w:i/>
          <w:color w:val="auto"/>
          <w:sz w:val="22"/>
          <w:szCs w:val="22"/>
          <w:lang w:eastAsia="sk-SK"/>
        </w:rPr>
      </w:pPr>
      <w:r w:rsidRPr="00D777B9">
        <w:rPr>
          <w:rFonts w:ascii="Times New Roman" w:hAnsi="Times New Roman" w:cs="Times New Roman"/>
          <w:i/>
          <w:color w:val="auto"/>
          <w:sz w:val="22"/>
          <w:szCs w:val="22"/>
          <w:lang w:eastAsia="sk-SK"/>
        </w:rPr>
        <w:t>V rámci ukončenia povinného postupu podľa § 28 ods. 6 je zároveň žiadúce upraviť postup pre vytváranie spoločnej autorizácie elektronických úradných dokumentov, aby nedochádzalo k vytváraniu dokumentov v rozpore s novelizovaným znením.</w:t>
      </w:r>
    </w:p>
    <w:p w14:paraId="3A02AA7D" w14:textId="77777777" w:rsidR="00D777B9" w:rsidRPr="00D777B9" w:rsidRDefault="00D777B9" w:rsidP="00D777B9">
      <w:pPr>
        <w:rPr>
          <w:i/>
          <w:sz w:val="22"/>
          <w:szCs w:val="22"/>
          <w:lang w:eastAsia="sk-SK"/>
        </w:rPr>
      </w:pPr>
      <w:r w:rsidRPr="00D777B9">
        <w:rPr>
          <w:i/>
          <w:sz w:val="22"/>
          <w:szCs w:val="22"/>
          <w:lang w:eastAsia="sk-SK"/>
        </w:rPr>
        <w:t>Dopad na ÚPVS: 100 000 EUR</w:t>
      </w:r>
    </w:p>
    <w:p w14:paraId="13535741" w14:textId="77777777" w:rsidR="00D777B9" w:rsidRPr="00D777B9" w:rsidRDefault="00D777B9" w:rsidP="00D777B9">
      <w:pPr>
        <w:rPr>
          <w:i/>
          <w:sz w:val="22"/>
          <w:szCs w:val="22"/>
          <w:lang w:eastAsia="sk-SK"/>
        </w:rPr>
      </w:pPr>
      <w:r w:rsidRPr="00D777B9">
        <w:rPr>
          <w:i/>
          <w:sz w:val="22"/>
          <w:szCs w:val="22"/>
          <w:lang w:eastAsia="sk-SK"/>
        </w:rPr>
        <w:t>Implementácia v roku 2023.</w:t>
      </w:r>
    </w:p>
    <w:p w14:paraId="7F471AEC" w14:textId="77777777" w:rsidR="00D777B9" w:rsidRPr="00D777B9" w:rsidRDefault="00D777B9" w:rsidP="00D777B9">
      <w:pPr>
        <w:pStyle w:val="Nadpis3"/>
        <w:spacing w:before="0" w:after="120"/>
        <w:jc w:val="both"/>
        <w:rPr>
          <w:rFonts w:ascii="Times New Roman" w:hAnsi="Times New Roman" w:cs="Times New Roman"/>
          <w:b/>
          <w:bCs/>
          <w:i/>
          <w:color w:val="auto"/>
          <w:sz w:val="22"/>
          <w:szCs w:val="22"/>
          <w:lang w:eastAsia="sk-SK"/>
        </w:rPr>
      </w:pPr>
    </w:p>
    <w:p w14:paraId="65E0C66B" w14:textId="77777777" w:rsidR="00D777B9" w:rsidRPr="00D777B9" w:rsidRDefault="00D777B9" w:rsidP="00D777B9">
      <w:pPr>
        <w:spacing w:after="120"/>
        <w:rPr>
          <w:b/>
          <w:i/>
          <w:sz w:val="22"/>
          <w:szCs w:val="22"/>
          <w:lang w:eastAsia="sk-SK"/>
        </w:rPr>
      </w:pPr>
      <w:r w:rsidRPr="00D777B9">
        <w:rPr>
          <w:b/>
          <w:i/>
          <w:sz w:val="22"/>
          <w:szCs w:val="22"/>
          <w:lang w:eastAsia="sk-SK"/>
        </w:rPr>
        <w:t>Okruh 5: (Návrhy zmien v oblasti automatickej deaktivácie schránok podľa § 14 ods. 2 písm. d)</w:t>
      </w:r>
    </w:p>
    <w:p w14:paraId="7B28EC48" w14:textId="77777777" w:rsidR="00D777B9" w:rsidRPr="00D777B9" w:rsidRDefault="00D777B9" w:rsidP="00D777B9">
      <w:pPr>
        <w:pStyle w:val="Nadpis3"/>
        <w:spacing w:before="0" w:after="120"/>
        <w:jc w:val="both"/>
        <w:rPr>
          <w:rFonts w:ascii="Times New Roman" w:eastAsia="Times New Roman" w:hAnsi="Times New Roman" w:cs="Times New Roman"/>
          <w:b/>
          <w:bCs/>
          <w:i/>
          <w:color w:val="auto"/>
          <w:sz w:val="22"/>
          <w:szCs w:val="22"/>
          <w:u w:val="single"/>
          <w:lang w:eastAsia="sk-SK"/>
        </w:rPr>
      </w:pPr>
      <w:r w:rsidRPr="00D777B9">
        <w:rPr>
          <w:rFonts w:ascii="Times New Roman" w:eastAsia="Times New Roman" w:hAnsi="Times New Roman" w:cs="Times New Roman"/>
          <w:i/>
          <w:color w:val="auto"/>
          <w:sz w:val="22"/>
          <w:szCs w:val="22"/>
          <w:u w:val="single"/>
          <w:lang w:eastAsia="sk-SK"/>
        </w:rPr>
        <w:t>Súčasný stav: Elektronické schránky fyzických osôb podnikateľov sa deaktivujú manuálne na žiadosť danej osoby a údaje sú spracúvané samostatne.</w:t>
      </w:r>
    </w:p>
    <w:p w14:paraId="6BFD7832" w14:textId="77777777" w:rsidR="00D777B9" w:rsidRPr="00D777B9" w:rsidRDefault="00D777B9" w:rsidP="00D777B9">
      <w:pPr>
        <w:pStyle w:val="Nadpis3"/>
        <w:spacing w:before="0" w:after="120"/>
        <w:jc w:val="both"/>
        <w:rPr>
          <w:rFonts w:ascii="Times New Roman" w:hAnsi="Times New Roman" w:cs="Times New Roman"/>
          <w:b/>
          <w:bCs/>
          <w:i/>
          <w:color w:val="auto"/>
          <w:sz w:val="22"/>
          <w:szCs w:val="22"/>
          <w:lang w:eastAsia="sk-SK"/>
        </w:rPr>
      </w:pPr>
      <w:r w:rsidRPr="00D777B9">
        <w:rPr>
          <w:rFonts w:ascii="Times New Roman" w:eastAsia="Times New Roman" w:hAnsi="Times New Roman" w:cs="Times New Roman"/>
          <w:i/>
          <w:color w:val="auto"/>
          <w:sz w:val="22"/>
          <w:szCs w:val="22"/>
          <w:u w:val="single"/>
          <w:lang w:eastAsia="sk-SK"/>
        </w:rPr>
        <w:t>Požadovaný stav: Automatizované deaktivovanie schránok v prípade zániku právneho postavenia podnikateľa na základe konsolidovaných údajov z registra právnických osôb. Je potrebné upraviť komponent ÚPVS spracúvajúci denné dávky z RPO, ktoré budú sumarizovať údaje o začiatku a konci vykonávania činností fyzickej osoby podnikateľa.</w:t>
      </w:r>
    </w:p>
    <w:p w14:paraId="75F901AF" w14:textId="77777777" w:rsidR="00D777B9" w:rsidRPr="00D777B9" w:rsidRDefault="00D777B9" w:rsidP="00D777B9">
      <w:pPr>
        <w:rPr>
          <w:i/>
          <w:sz w:val="22"/>
          <w:szCs w:val="22"/>
          <w:lang w:eastAsia="sk-SK"/>
        </w:rPr>
      </w:pPr>
      <w:r w:rsidRPr="00D777B9">
        <w:rPr>
          <w:i/>
          <w:sz w:val="22"/>
          <w:szCs w:val="22"/>
          <w:lang w:eastAsia="sk-SK"/>
        </w:rPr>
        <w:t>Dopad na ÚPVS: 30 000 EUR</w:t>
      </w:r>
    </w:p>
    <w:p w14:paraId="6CC28996" w14:textId="77777777" w:rsidR="00D777B9" w:rsidRPr="00D777B9" w:rsidRDefault="00D777B9" w:rsidP="00D777B9">
      <w:pPr>
        <w:rPr>
          <w:i/>
          <w:sz w:val="22"/>
          <w:szCs w:val="22"/>
          <w:lang w:eastAsia="sk-SK"/>
        </w:rPr>
      </w:pPr>
      <w:r w:rsidRPr="00D777B9">
        <w:rPr>
          <w:i/>
          <w:sz w:val="22"/>
          <w:szCs w:val="22"/>
          <w:lang w:eastAsia="sk-SK"/>
        </w:rPr>
        <w:t>Implementácia v roku 2023.</w:t>
      </w:r>
    </w:p>
    <w:p w14:paraId="7E2538CC" w14:textId="77777777" w:rsidR="00D777B9" w:rsidRPr="00D777B9" w:rsidRDefault="00D777B9" w:rsidP="00D777B9">
      <w:pPr>
        <w:rPr>
          <w:sz w:val="22"/>
          <w:szCs w:val="22"/>
          <w:lang w:eastAsia="sk-SK"/>
        </w:rPr>
      </w:pPr>
    </w:p>
    <w:p w14:paraId="7500ED4E" w14:textId="77777777" w:rsidR="00D777B9" w:rsidRPr="00654641" w:rsidRDefault="00D777B9" w:rsidP="00D777B9">
      <w:pPr>
        <w:rPr>
          <w:lang w:eastAsia="sk-SK"/>
        </w:rPr>
      </w:pPr>
    </w:p>
    <w:p w14:paraId="3F9CCBA3" w14:textId="77777777" w:rsidR="00D777B9" w:rsidRPr="00D777B9" w:rsidRDefault="00D777B9" w:rsidP="00D777B9">
      <w:pPr>
        <w:rPr>
          <w:b/>
          <w:bCs/>
          <w:sz w:val="22"/>
          <w:lang w:eastAsia="sk-SK"/>
        </w:rPr>
      </w:pPr>
      <w:r w:rsidRPr="00D777B9">
        <w:rPr>
          <w:b/>
          <w:bCs/>
          <w:sz w:val="22"/>
          <w:lang w:eastAsia="sk-SK"/>
        </w:rPr>
        <w:lastRenderedPageBreak/>
        <w:t>2.2.2. Charakteristika návrhu:</w:t>
      </w:r>
    </w:p>
    <w:p w14:paraId="7D3D0141" w14:textId="77777777" w:rsidR="00D777B9" w:rsidRPr="00D777B9" w:rsidRDefault="00D777B9" w:rsidP="00D777B9">
      <w:pPr>
        <w:rPr>
          <w:sz w:val="22"/>
          <w:lang w:eastAsia="sk-SK"/>
        </w:rPr>
      </w:pPr>
    </w:p>
    <w:p w14:paraId="28662109" w14:textId="77777777" w:rsidR="00D777B9" w:rsidRPr="00D777B9" w:rsidRDefault="00D777B9" w:rsidP="00D777B9">
      <w:pPr>
        <w:rPr>
          <w:sz w:val="22"/>
          <w:lang w:eastAsia="sk-SK"/>
        </w:rPr>
      </w:pPr>
      <w:r w:rsidRPr="00D777B9">
        <w:rPr>
          <w:b/>
          <w:sz w:val="22"/>
          <w:bdr w:val="single" w:sz="4" w:space="0" w:color="auto"/>
          <w:lang w:eastAsia="sk-SK"/>
        </w:rPr>
        <w:t xml:space="preserve">     </w:t>
      </w:r>
      <w:r w:rsidRPr="00D777B9">
        <w:rPr>
          <w:b/>
          <w:sz w:val="22"/>
          <w:lang w:eastAsia="sk-SK"/>
        </w:rPr>
        <w:t xml:space="preserve">  </w:t>
      </w:r>
      <w:r w:rsidRPr="00D777B9">
        <w:rPr>
          <w:sz w:val="22"/>
          <w:lang w:eastAsia="sk-SK"/>
        </w:rPr>
        <w:t>zmena sadzby</w:t>
      </w:r>
    </w:p>
    <w:p w14:paraId="710E2B03" w14:textId="77777777" w:rsidR="00D777B9" w:rsidRPr="00D777B9" w:rsidRDefault="00D777B9" w:rsidP="00D777B9">
      <w:pPr>
        <w:rPr>
          <w:sz w:val="22"/>
          <w:lang w:eastAsia="sk-SK"/>
        </w:rPr>
      </w:pPr>
      <w:r w:rsidRPr="00D777B9">
        <w:rPr>
          <w:sz w:val="22"/>
          <w:bdr w:val="single" w:sz="4" w:space="0" w:color="auto"/>
          <w:lang w:eastAsia="sk-SK"/>
        </w:rPr>
        <w:t xml:space="preserve">     </w:t>
      </w:r>
      <w:r w:rsidRPr="00D777B9">
        <w:rPr>
          <w:sz w:val="22"/>
          <w:lang w:eastAsia="sk-SK"/>
        </w:rPr>
        <w:t xml:space="preserve">  zmena v nároku</w:t>
      </w:r>
    </w:p>
    <w:p w14:paraId="4794FCA3" w14:textId="77777777" w:rsidR="00D777B9" w:rsidRPr="00D777B9" w:rsidRDefault="00D777B9" w:rsidP="00D777B9">
      <w:pPr>
        <w:rPr>
          <w:sz w:val="22"/>
          <w:lang w:eastAsia="sk-SK"/>
        </w:rPr>
      </w:pPr>
      <w:r w:rsidRPr="00D777B9">
        <w:rPr>
          <w:sz w:val="22"/>
          <w:bdr w:val="single" w:sz="4" w:space="0" w:color="auto"/>
          <w:lang w:eastAsia="sk-SK"/>
        </w:rPr>
        <w:t xml:space="preserve">     </w:t>
      </w:r>
      <w:r w:rsidRPr="00D777B9">
        <w:rPr>
          <w:sz w:val="22"/>
          <w:lang w:eastAsia="sk-SK"/>
        </w:rPr>
        <w:t xml:space="preserve">  nová služba alebo nariadenie (alebo ich zrušenie)</w:t>
      </w:r>
    </w:p>
    <w:p w14:paraId="39ACDE72" w14:textId="77777777" w:rsidR="00D777B9" w:rsidRPr="00D777B9" w:rsidRDefault="00D777B9" w:rsidP="00D777B9">
      <w:pPr>
        <w:rPr>
          <w:sz w:val="22"/>
          <w:lang w:eastAsia="sk-SK"/>
        </w:rPr>
      </w:pPr>
      <w:r w:rsidRPr="00D777B9">
        <w:rPr>
          <w:sz w:val="22"/>
          <w:bdr w:val="single" w:sz="4" w:space="0" w:color="auto"/>
          <w:lang w:eastAsia="sk-SK"/>
        </w:rPr>
        <w:t xml:space="preserve">  X   </w:t>
      </w:r>
      <w:r w:rsidRPr="00D777B9">
        <w:rPr>
          <w:sz w:val="22"/>
          <w:lang w:eastAsia="sk-SK"/>
        </w:rPr>
        <w:t xml:space="preserve">  kombinovaný návrh</w:t>
      </w:r>
    </w:p>
    <w:p w14:paraId="37DE7E1A" w14:textId="77777777" w:rsidR="00D777B9" w:rsidRPr="00D777B9" w:rsidRDefault="00D777B9" w:rsidP="00D777B9">
      <w:pPr>
        <w:rPr>
          <w:sz w:val="22"/>
          <w:lang w:eastAsia="sk-SK"/>
        </w:rPr>
      </w:pPr>
      <w:r w:rsidRPr="00D777B9">
        <w:rPr>
          <w:sz w:val="22"/>
          <w:bdr w:val="single" w:sz="4" w:space="0" w:color="auto"/>
          <w:lang w:eastAsia="sk-SK"/>
        </w:rPr>
        <w:t xml:space="preserve">     </w:t>
      </w:r>
      <w:r w:rsidRPr="00D777B9">
        <w:rPr>
          <w:sz w:val="22"/>
          <w:lang w:eastAsia="sk-SK"/>
        </w:rPr>
        <w:t xml:space="preserve">  iné </w:t>
      </w:r>
    </w:p>
    <w:p w14:paraId="6D98783F" w14:textId="77777777" w:rsidR="00D777B9" w:rsidRPr="00D777B9" w:rsidRDefault="00D777B9" w:rsidP="00D777B9">
      <w:pPr>
        <w:rPr>
          <w:sz w:val="22"/>
          <w:lang w:eastAsia="sk-SK"/>
        </w:rPr>
      </w:pPr>
    </w:p>
    <w:p w14:paraId="0D49E9B3" w14:textId="77777777" w:rsidR="00D777B9" w:rsidRPr="00D777B9" w:rsidRDefault="00D777B9" w:rsidP="00D777B9">
      <w:pPr>
        <w:rPr>
          <w:sz w:val="22"/>
          <w:lang w:eastAsia="sk-SK"/>
        </w:rPr>
      </w:pPr>
    </w:p>
    <w:p w14:paraId="67971F36" w14:textId="77777777" w:rsidR="00D777B9" w:rsidRPr="00D777B9" w:rsidRDefault="00D777B9" w:rsidP="00D777B9">
      <w:pPr>
        <w:rPr>
          <w:sz w:val="22"/>
          <w:lang w:eastAsia="sk-SK"/>
        </w:rPr>
      </w:pPr>
      <w:r w:rsidRPr="00D777B9">
        <w:rPr>
          <w:b/>
          <w:bCs/>
          <w:sz w:val="22"/>
          <w:lang w:eastAsia="sk-SK"/>
        </w:rPr>
        <w:t>2.2.3. Predpoklady vývoja objemu aktivít:</w:t>
      </w:r>
    </w:p>
    <w:p w14:paraId="2B955ABF" w14:textId="77777777" w:rsidR="00D777B9" w:rsidRPr="00D777B9" w:rsidRDefault="00D777B9" w:rsidP="00D777B9">
      <w:pPr>
        <w:rPr>
          <w:sz w:val="22"/>
          <w:lang w:eastAsia="sk-SK"/>
        </w:rPr>
      </w:pPr>
    </w:p>
    <w:p w14:paraId="1BC71C18" w14:textId="77777777" w:rsidR="00D777B9" w:rsidRPr="00D777B9" w:rsidRDefault="00D777B9" w:rsidP="00D777B9">
      <w:pPr>
        <w:ind w:firstLine="708"/>
        <w:jc w:val="both"/>
        <w:rPr>
          <w:sz w:val="22"/>
          <w:lang w:eastAsia="sk-SK"/>
        </w:rPr>
      </w:pPr>
      <w:r w:rsidRPr="00D777B9">
        <w:rPr>
          <w:sz w:val="22"/>
          <w:lang w:eastAsia="sk-SK"/>
        </w:rPr>
        <w:t>Jasne popíšte, v prípade potreby použite nižšie uvedenú tabuľku. Uveďte aj odhady základov daní a/alebo poplatkov, ak sa ich táto zmena týka.</w:t>
      </w:r>
    </w:p>
    <w:p w14:paraId="408D7BDE" w14:textId="77777777" w:rsidR="00D777B9" w:rsidRPr="00654641" w:rsidRDefault="00D777B9" w:rsidP="00D777B9">
      <w:pPr>
        <w:ind w:firstLine="708"/>
        <w:jc w:val="both"/>
        <w:rPr>
          <w:lang w:eastAsia="sk-SK"/>
        </w:rPr>
      </w:pPr>
    </w:p>
    <w:p w14:paraId="0ED5C181" w14:textId="77777777" w:rsidR="00D777B9" w:rsidRPr="00D777B9" w:rsidRDefault="00D777B9" w:rsidP="00D777B9">
      <w:pPr>
        <w:jc w:val="right"/>
        <w:rPr>
          <w:sz w:val="22"/>
          <w:lang w:eastAsia="sk-SK"/>
        </w:rPr>
      </w:pPr>
      <w:r w:rsidRPr="00D777B9">
        <w:rPr>
          <w:sz w:val="22"/>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777B9" w:rsidRPr="00D777B9" w14:paraId="5338C699" w14:textId="77777777" w:rsidTr="00D777B9">
        <w:trPr>
          <w:cantSplit/>
          <w:trHeight w:val="70"/>
        </w:trPr>
        <w:tc>
          <w:tcPr>
            <w:tcW w:w="4530" w:type="dxa"/>
            <w:vMerge w:val="restart"/>
            <w:shd w:val="clear" w:color="auto" w:fill="BFBFBF" w:themeFill="background1" w:themeFillShade="BF"/>
            <w:vAlign w:val="center"/>
          </w:tcPr>
          <w:p w14:paraId="396D1AC6" w14:textId="77777777" w:rsidR="00D777B9" w:rsidRPr="00D777B9" w:rsidRDefault="00D777B9" w:rsidP="00D777B9">
            <w:pPr>
              <w:autoSpaceDE w:val="0"/>
              <w:autoSpaceDN w:val="0"/>
              <w:adjustRightInd w:val="0"/>
              <w:jc w:val="center"/>
              <w:rPr>
                <w:b/>
                <w:bCs/>
                <w:sz w:val="22"/>
                <w:lang w:eastAsia="sk-SK"/>
              </w:rPr>
            </w:pPr>
            <w:r w:rsidRPr="00D777B9">
              <w:rPr>
                <w:b/>
                <w:bCs/>
                <w:sz w:val="22"/>
                <w:lang w:eastAsia="sk-SK"/>
              </w:rPr>
              <w:t>Objem aktivít</w:t>
            </w:r>
          </w:p>
        </w:tc>
        <w:tc>
          <w:tcPr>
            <w:tcW w:w="4536" w:type="dxa"/>
            <w:gridSpan w:val="4"/>
            <w:shd w:val="clear" w:color="auto" w:fill="BFBFBF" w:themeFill="background1" w:themeFillShade="BF"/>
            <w:vAlign w:val="center"/>
          </w:tcPr>
          <w:p w14:paraId="29A8FE84" w14:textId="77777777" w:rsidR="00D777B9" w:rsidRPr="00D777B9" w:rsidRDefault="00D777B9" w:rsidP="00D777B9">
            <w:pPr>
              <w:autoSpaceDE w:val="0"/>
              <w:autoSpaceDN w:val="0"/>
              <w:adjustRightInd w:val="0"/>
              <w:jc w:val="center"/>
              <w:rPr>
                <w:b/>
                <w:bCs/>
                <w:sz w:val="22"/>
                <w:lang w:eastAsia="sk-SK"/>
              </w:rPr>
            </w:pPr>
            <w:r w:rsidRPr="00D777B9">
              <w:rPr>
                <w:b/>
                <w:bCs/>
                <w:sz w:val="22"/>
                <w:lang w:eastAsia="sk-SK"/>
              </w:rPr>
              <w:t>Odhadované objemy</w:t>
            </w:r>
          </w:p>
        </w:tc>
      </w:tr>
      <w:tr w:rsidR="00D777B9" w:rsidRPr="00D777B9" w14:paraId="3C4516A5" w14:textId="77777777" w:rsidTr="00D777B9">
        <w:trPr>
          <w:cantSplit/>
          <w:trHeight w:val="70"/>
        </w:trPr>
        <w:tc>
          <w:tcPr>
            <w:tcW w:w="4530" w:type="dxa"/>
            <w:vMerge/>
            <w:shd w:val="clear" w:color="auto" w:fill="BFBFBF" w:themeFill="background1" w:themeFillShade="BF"/>
          </w:tcPr>
          <w:p w14:paraId="4427C1B6" w14:textId="77777777" w:rsidR="00D777B9" w:rsidRPr="00D777B9" w:rsidRDefault="00D777B9" w:rsidP="00D777B9">
            <w:pPr>
              <w:autoSpaceDE w:val="0"/>
              <w:autoSpaceDN w:val="0"/>
              <w:adjustRightInd w:val="0"/>
              <w:jc w:val="center"/>
              <w:rPr>
                <w:b/>
                <w:bCs/>
                <w:sz w:val="22"/>
                <w:lang w:eastAsia="sk-SK"/>
              </w:rPr>
            </w:pPr>
          </w:p>
        </w:tc>
        <w:tc>
          <w:tcPr>
            <w:tcW w:w="1134" w:type="dxa"/>
            <w:shd w:val="clear" w:color="auto" w:fill="BFBFBF" w:themeFill="background1" w:themeFillShade="BF"/>
            <w:vAlign w:val="center"/>
          </w:tcPr>
          <w:p w14:paraId="443F2CB2" w14:textId="77777777" w:rsidR="00D777B9" w:rsidRPr="00D777B9" w:rsidRDefault="00D777B9" w:rsidP="00D777B9">
            <w:pPr>
              <w:autoSpaceDE w:val="0"/>
              <w:autoSpaceDN w:val="0"/>
              <w:adjustRightInd w:val="0"/>
              <w:jc w:val="center"/>
              <w:rPr>
                <w:b/>
                <w:bCs/>
                <w:sz w:val="22"/>
                <w:lang w:eastAsia="sk-SK"/>
              </w:rPr>
            </w:pPr>
            <w:r w:rsidRPr="00D777B9">
              <w:rPr>
                <w:b/>
                <w:bCs/>
                <w:sz w:val="22"/>
                <w:lang w:eastAsia="sk-SK"/>
              </w:rPr>
              <w:t>2021</w:t>
            </w:r>
          </w:p>
        </w:tc>
        <w:tc>
          <w:tcPr>
            <w:tcW w:w="1134" w:type="dxa"/>
            <w:shd w:val="clear" w:color="auto" w:fill="BFBFBF" w:themeFill="background1" w:themeFillShade="BF"/>
            <w:vAlign w:val="center"/>
          </w:tcPr>
          <w:p w14:paraId="46A290BD" w14:textId="77777777" w:rsidR="00D777B9" w:rsidRPr="00D777B9" w:rsidRDefault="00D777B9" w:rsidP="00D777B9">
            <w:pPr>
              <w:autoSpaceDE w:val="0"/>
              <w:autoSpaceDN w:val="0"/>
              <w:adjustRightInd w:val="0"/>
              <w:jc w:val="center"/>
              <w:rPr>
                <w:b/>
                <w:bCs/>
                <w:sz w:val="22"/>
                <w:lang w:eastAsia="sk-SK"/>
              </w:rPr>
            </w:pPr>
            <w:r w:rsidRPr="00D777B9">
              <w:rPr>
                <w:b/>
                <w:bCs/>
                <w:sz w:val="22"/>
                <w:lang w:eastAsia="sk-SK"/>
              </w:rPr>
              <w:t>2022</w:t>
            </w:r>
          </w:p>
        </w:tc>
        <w:tc>
          <w:tcPr>
            <w:tcW w:w="1134" w:type="dxa"/>
            <w:shd w:val="clear" w:color="auto" w:fill="BFBFBF" w:themeFill="background1" w:themeFillShade="BF"/>
            <w:vAlign w:val="center"/>
          </w:tcPr>
          <w:p w14:paraId="659787F6" w14:textId="77777777" w:rsidR="00D777B9" w:rsidRPr="00D777B9" w:rsidRDefault="00D777B9" w:rsidP="00D777B9">
            <w:pPr>
              <w:autoSpaceDE w:val="0"/>
              <w:autoSpaceDN w:val="0"/>
              <w:adjustRightInd w:val="0"/>
              <w:jc w:val="center"/>
              <w:rPr>
                <w:b/>
                <w:bCs/>
                <w:sz w:val="22"/>
                <w:lang w:eastAsia="sk-SK"/>
              </w:rPr>
            </w:pPr>
            <w:r w:rsidRPr="00D777B9">
              <w:rPr>
                <w:b/>
                <w:bCs/>
                <w:sz w:val="22"/>
                <w:lang w:eastAsia="sk-SK"/>
              </w:rPr>
              <w:t>2023</w:t>
            </w:r>
          </w:p>
        </w:tc>
        <w:tc>
          <w:tcPr>
            <w:tcW w:w="1134" w:type="dxa"/>
            <w:shd w:val="clear" w:color="auto" w:fill="BFBFBF" w:themeFill="background1" w:themeFillShade="BF"/>
            <w:vAlign w:val="center"/>
          </w:tcPr>
          <w:p w14:paraId="0147D864" w14:textId="77777777" w:rsidR="00D777B9" w:rsidRPr="00D777B9" w:rsidRDefault="00D777B9" w:rsidP="00D777B9">
            <w:pPr>
              <w:autoSpaceDE w:val="0"/>
              <w:autoSpaceDN w:val="0"/>
              <w:adjustRightInd w:val="0"/>
              <w:jc w:val="center"/>
              <w:rPr>
                <w:b/>
                <w:bCs/>
                <w:sz w:val="22"/>
                <w:lang w:eastAsia="sk-SK"/>
              </w:rPr>
            </w:pPr>
            <w:r w:rsidRPr="00D777B9">
              <w:rPr>
                <w:b/>
                <w:bCs/>
                <w:sz w:val="22"/>
                <w:lang w:eastAsia="sk-SK"/>
              </w:rPr>
              <w:t>2024</w:t>
            </w:r>
          </w:p>
        </w:tc>
      </w:tr>
      <w:tr w:rsidR="00D777B9" w:rsidRPr="00D777B9" w14:paraId="71821F72" w14:textId="77777777" w:rsidTr="00D777B9">
        <w:trPr>
          <w:trHeight w:val="70"/>
        </w:trPr>
        <w:tc>
          <w:tcPr>
            <w:tcW w:w="4530" w:type="dxa"/>
          </w:tcPr>
          <w:p w14:paraId="41829920" w14:textId="77777777" w:rsidR="00D777B9" w:rsidRPr="00D777B9" w:rsidRDefault="00D777B9" w:rsidP="00D777B9">
            <w:pPr>
              <w:autoSpaceDE w:val="0"/>
              <w:autoSpaceDN w:val="0"/>
              <w:adjustRightInd w:val="0"/>
              <w:rPr>
                <w:color w:val="000000"/>
                <w:sz w:val="22"/>
                <w:lang w:eastAsia="sk-SK"/>
              </w:rPr>
            </w:pPr>
            <w:r w:rsidRPr="00D777B9">
              <w:rPr>
                <w:color w:val="000000"/>
                <w:sz w:val="22"/>
                <w:lang w:eastAsia="sk-SK"/>
              </w:rPr>
              <w:t>Indikátor ABC</w:t>
            </w:r>
          </w:p>
        </w:tc>
        <w:tc>
          <w:tcPr>
            <w:tcW w:w="1134" w:type="dxa"/>
          </w:tcPr>
          <w:p w14:paraId="4A39361E" w14:textId="77777777" w:rsidR="00D777B9" w:rsidRPr="00D777B9" w:rsidRDefault="00D777B9" w:rsidP="00D777B9">
            <w:pPr>
              <w:autoSpaceDE w:val="0"/>
              <w:autoSpaceDN w:val="0"/>
              <w:adjustRightInd w:val="0"/>
              <w:jc w:val="right"/>
              <w:rPr>
                <w:color w:val="000000"/>
                <w:sz w:val="22"/>
                <w:lang w:eastAsia="sk-SK"/>
              </w:rPr>
            </w:pPr>
          </w:p>
        </w:tc>
        <w:tc>
          <w:tcPr>
            <w:tcW w:w="1134" w:type="dxa"/>
          </w:tcPr>
          <w:p w14:paraId="0FDE0068" w14:textId="77777777" w:rsidR="00D777B9" w:rsidRPr="00D777B9" w:rsidRDefault="00D777B9" w:rsidP="00D777B9">
            <w:pPr>
              <w:autoSpaceDE w:val="0"/>
              <w:autoSpaceDN w:val="0"/>
              <w:adjustRightInd w:val="0"/>
              <w:jc w:val="right"/>
              <w:rPr>
                <w:color w:val="000000"/>
                <w:sz w:val="22"/>
                <w:lang w:eastAsia="sk-SK"/>
              </w:rPr>
            </w:pPr>
          </w:p>
        </w:tc>
        <w:tc>
          <w:tcPr>
            <w:tcW w:w="1134" w:type="dxa"/>
          </w:tcPr>
          <w:p w14:paraId="52C251A6" w14:textId="77777777" w:rsidR="00D777B9" w:rsidRPr="00D777B9" w:rsidRDefault="00D777B9" w:rsidP="00D777B9">
            <w:pPr>
              <w:autoSpaceDE w:val="0"/>
              <w:autoSpaceDN w:val="0"/>
              <w:adjustRightInd w:val="0"/>
              <w:jc w:val="right"/>
              <w:rPr>
                <w:color w:val="000000"/>
                <w:sz w:val="22"/>
                <w:lang w:eastAsia="sk-SK"/>
              </w:rPr>
            </w:pPr>
          </w:p>
        </w:tc>
        <w:tc>
          <w:tcPr>
            <w:tcW w:w="1134" w:type="dxa"/>
          </w:tcPr>
          <w:p w14:paraId="03C32C2B" w14:textId="77777777" w:rsidR="00D777B9" w:rsidRPr="00D777B9" w:rsidRDefault="00D777B9" w:rsidP="00D777B9">
            <w:pPr>
              <w:autoSpaceDE w:val="0"/>
              <w:autoSpaceDN w:val="0"/>
              <w:adjustRightInd w:val="0"/>
              <w:jc w:val="right"/>
              <w:rPr>
                <w:color w:val="000000"/>
                <w:sz w:val="22"/>
                <w:lang w:eastAsia="sk-SK"/>
              </w:rPr>
            </w:pPr>
          </w:p>
        </w:tc>
      </w:tr>
      <w:tr w:rsidR="00D777B9" w:rsidRPr="00D777B9" w14:paraId="06A1104B" w14:textId="77777777" w:rsidTr="00D777B9">
        <w:trPr>
          <w:trHeight w:val="70"/>
        </w:trPr>
        <w:tc>
          <w:tcPr>
            <w:tcW w:w="4530" w:type="dxa"/>
          </w:tcPr>
          <w:p w14:paraId="27FD509A" w14:textId="77777777" w:rsidR="00D777B9" w:rsidRPr="00D777B9" w:rsidRDefault="00D777B9" w:rsidP="00D777B9">
            <w:pPr>
              <w:autoSpaceDE w:val="0"/>
              <w:autoSpaceDN w:val="0"/>
              <w:adjustRightInd w:val="0"/>
              <w:rPr>
                <w:color w:val="000000"/>
                <w:sz w:val="22"/>
                <w:lang w:eastAsia="sk-SK"/>
              </w:rPr>
            </w:pPr>
            <w:r w:rsidRPr="00D777B9">
              <w:rPr>
                <w:color w:val="000000"/>
                <w:sz w:val="22"/>
                <w:lang w:eastAsia="sk-SK"/>
              </w:rPr>
              <w:t>Indikátor KLM</w:t>
            </w:r>
          </w:p>
        </w:tc>
        <w:tc>
          <w:tcPr>
            <w:tcW w:w="1134" w:type="dxa"/>
          </w:tcPr>
          <w:p w14:paraId="3C09E4E9" w14:textId="77777777" w:rsidR="00D777B9" w:rsidRPr="00D777B9" w:rsidRDefault="00D777B9" w:rsidP="00D777B9">
            <w:pPr>
              <w:autoSpaceDE w:val="0"/>
              <w:autoSpaceDN w:val="0"/>
              <w:adjustRightInd w:val="0"/>
              <w:jc w:val="right"/>
              <w:rPr>
                <w:color w:val="000000"/>
                <w:sz w:val="22"/>
                <w:lang w:eastAsia="sk-SK"/>
              </w:rPr>
            </w:pPr>
          </w:p>
        </w:tc>
        <w:tc>
          <w:tcPr>
            <w:tcW w:w="1134" w:type="dxa"/>
          </w:tcPr>
          <w:p w14:paraId="629F84A0" w14:textId="77777777" w:rsidR="00D777B9" w:rsidRPr="00D777B9" w:rsidRDefault="00D777B9" w:rsidP="00D777B9">
            <w:pPr>
              <w:autoSpaceDE w:val="0"/>
              <w:autoSpaceDN w:val="0"/>
              <w:adjustRightInd w:val="0"/>
              <w:jc w:val="right"/>
              <w:rPr>
                <w:color w:val="000000"/>
                <w:sz w:val="22"/>
                <w:lang w:eastAsia="sk-SK"/>
              </w:rPr>
            </w:pPr>
          </w:p>
        </w:tc>
        <w:tc>
          <w:tcPr>
            <w:tcW w:w="1134" w:type="dxa"/>
          </w:tcPr>
          <w:p w14:paraId="1CAFE0FE" w14:textId="77777777" w:rsidR="00D777B9" w:rsidRPr="00D777B9" w:rsidRDefault="00D777B9" w:rsidP="00D777B9">
            <w:pPr>
              <w:autoSpaceDE w:val="0"/>
              <w:autoSpaceDN w:val="0"/>
              <w:adjustRightInd w:val="0"/>
              <w:jc w:val="right"/>
              <w:rPr>
                <w:color w:val="000000"/>
                <w:sz w:val="22"/>
                <w:lang w:eastAsia="sk-SK"/>
              </w:rPr>
            </w:pPr>
          </w:p>
        </w:tc>
        <w:tc>
          <w:tcPr>
            <w:tcW w:w="1134" w:type="dxa"/>
          </w:tcPr>
          <w:p w14:paraId="22573536" w14:textId="77777777" w:rsidR="00D777B9" w:rsidRPr="00D777B9" w:rsidRDefault="00D777B9" w:rsidP="00D777B9">
            <w:pPr>
              <w:autoSpaceDE w:val="0"/>
              <w:autoSpaceDN w:val="0"/>
              <w:adjustRightInd w:val="0"/>
              <w:jc w:val="right"/>
              <w:rPr>
                <w:color w:val="000000"/>
                <w:sz w:val="22"/>
                <w:lang w:eastAsia="sk-SK"/>
              </w:rPr>
            </w:pPr>
          </w:p>
        </w:tc>
      </w:tr>
      <w:tr w:rsidR="00D777B9" w:rsidRPr="00D777B9" w14:paraId="03AF0F72" w14:textId="77777777" w:rsidTr="00D777B9">
        <w:trPr>
          <w:trHeight w:val="70"/>
        </w:trPr>
        <w:tc>
          <w:tcPr>
            <w:tcW w:w="4530" w:type="dxa"/>
          </w:tcPr>
          <w:p w14:paraId="6BFABF25" w14:textId="77777777" w:rsidR="00D777B9" w:rsidRPr="00D777B9" w:rsidRDefault="00D777B9" w:rsidP="00D777B9">
            <w:pPr>
              <w:autoSpaceDE w:val="0"/>
              <w:autoSpaceDN w:val="0"/>
              <w:adjustRightInd w:val="0"/>
              <w:rPr>
                <w:color w:val="000000"/>
                <w:sz w:val="22"/>
                <w:lang w:eastAsia="sk-SK"/>
              </w:rPr>
            </w:pPr>
            <w:r w:rsidRPr="00D777B9">
              <w:rPr>
                <w:color w:val="000000"/>
                <w:sz w:val="22"/>
                <w:lang w:eastAsia="sk-SK"/>
              </w:rPr>
              <w:t>Indikátor XYZ</w:t>
            </w:r>
          </w:p>
        </w:tc>
        <w:tc>
          <w:tcPr>
            <w:tcW w:w="1134" w:type="dxa"/>
          </w:tcPr>
          <w:p w14:paraId="0D83ED99" w14:textId="77777777" w:rsidR="00D777B9" w:rsidRPr="00D777B9" w:rsidRDefault="00D777B9" w:rsidP="00D777B9">
            <w:pPr>
              <w:autoSpaceDE w:val="0"/>
              <w:autoSpaceDN w:val="0"/>
              <w:adjustRightInd w:val="0"/>
              <w:jc w:val="right"/>
              <w:rPr>
                <w:color w:val="000000"/>
                <w:sz w:val="22"/>
                <w:lang w:eastAsia="sk-SK"/>
              </w:rPr>
            </w:pPr>
          </w:p>
        </w:tc>
        <w:tc>
          <w:tcPr>
            <w:tcW w:w="1134" w:type="dxa"/>
          </w:tcPr>
          <w:p w14:paraId="193EC380" w14:textId="77777777" w:rsidR="00D777B9" w:rsidRPr="00D777B9" w:rsidRDefault="00D777B9" w:rsidP="00D777B9">
            <w:pPr>
              <w:autoSpaceDE w:val="0"/>
              <w:autoSpaceDN w:val="0"/>
              <w:adjustRightInd w:val="0"/>
              <w:jc w:val="right"/>
              <w:rPr>
                <w:color w:val="000000"/>
                <w:sz w:val="22"/>
                <w:lang w:eastAsia="sk-SK"/>
              </w:rPr>
            </w:pPr>
          </w:p>
        </w:tc>
        <w:tc>
          <w:tcPr>
            <w:tcW w:w="1134" w:type="dxa"/>
          </w:tcPr>
          <w:p w14:paraId="17DED2D4" w14:textId="77777777" w:rsidR="00D777B9" w:rsidRPr="00D777B9" w:rsidRDefault="00D777B9" w:rsidP="00D777B9">
            <w:pPr>
              <w:autoSpaceDE w:val="0"/>
              <w:autoSpaceDN w:val="0"/>
              <w:adjustRightInd w:val="0"/>
              <w:jc w:val="right"/>
              <w:rPr>
                <w:color w:val="000000"/>
                <w:sz w:val="22"/>
                <w:lang w:eastAsia="sk-SK"/>
              </w:rPr>
            </w:pPr>
          </w:p>
        </w:tc>
        <w:tc>
          <w:tcPr>
            <w:tcW w:w="1134" w:type="dxa"/>
          </w:tcPr>
          <w:p w14:paraId="5A4AD3E0" w14:textId="77777777" w:rsidR="00D777B9" w:rsidRPr="00D777B9" w:rsidRDefault="00D777B9" w:rsidP="00D777B9">
            <w:pPr>
              <w:autoSpaceDE w:val="0"/>
              <w:autoSpaceDN w:val="0"/>
              <w:adjustRightInd w:val="0"/>
              <w:jc w:val="right"/>
              <w:rPr>
                <w:color w:val="000000"/>
                <w:sz w:val="22"/>
                <w:lang w:eastAsia="sk-SK"/>
              </w:rPr>
            </w:pPr>
          </w:p>
        </w:tc>
      </w:tr>
    </w:tbl>
    <w:p w14:paraId="6DF03E6F" w14:textId="77777777" w:rsidR="00D777B9" w:rsidRPr="00D777B9" w:rsidRDefault="00D777B9" w:rsidP="00D777B9">
      <w:pPr>
        <w:rPr>
          <w:sz w:val="22"/>
          <w:lang w:eastAsia="sk-SK"/>
        </w:rPr>
      </w:pPr>
    </w:p>
    <w:p w14:paraId="3498271B" w14:textId="77777777" w:rsidR="00D777B9" w:rsidRPr="00D777B9" w:rsidRDefault="00D777B9" w:rsidP="00D777B9">
      <w:pPr>
        <w:rPr>
          <w:sz w:val="22"/>
          <w:lang w:eastAsia="sk-SK"/>
        </w:rPr>
      </w:pPr>
    </w:p>
    <w:p w14:paraId="4C20F72C" w14:textId="77777777" w:rsidR="00D777B9" w:rsidRPr="007D5748" w:rsidRDefault="00D777B9" w:rsidP="00D777B9">
      <w:pPr>
        <w:rPr>
          <w:b/>
          <w:bCs/>
          <w:lang w:eastAsia="sk-SK"/>
        </w:rPr>
      </w:pPr>
      <w:r w:rsidRPr="007D5748">
        <w:rPr>
          <w:b/>
          <w:bCs/>
          <w:lang w:eastAsia="sk-SK"/>
        </w:rPr>
        <w:t>2.2.4. Výpočty vplyvov na verejné financie</w:t>
      </w:r>
    </w:p>
    <w:p w14:paraId="27B72DF3" w14:textId="77777777" w:rsidR="00D777B9" w:rsidRPr="007D5748" w:rsidRDefault="00D777B9" w:rsidP="00D777B9">
      <w:pPr>
        <w:rPr>
          <w:lang w:eastAsia="sk-SK"/>
        </w:rPr>
      </w:pPr>
    </w:p>
    <w:p w14:paraId="396A8A63" w14:textId="77777777" w:rsidR="00D777B9" w:rsidRPr="00D777B9" w:rsidRDefault="00D777B9" w:rsidP="00D777B9">
      <w:pPr>
        <w:ind w:firstLine="708"/>
        <w:jc w:val="both"/>
        <w:rPr>
          <w:sz w:val="22"/>
          <w:lang w:eastAsia="sk-SK"/>
        </w:rPr>
      </w:pPr>
      <w:r w:rsidRPr="00D777B9">
        <w:rPr>
          <w:sz w:val="22"/>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474BB9E7" w14:textId="77777777" w:rsidR="00D777B9" w:rsidRPr="00D777B9" w:rsidRDefault="00D777B9" w:rsidP="00D777B9">
      <w:pPr>
        <w:ind w:firstLine="708"/>
        <w:jc w:val="both"/>
        <w:rPr>
          <w:sz w:val="22"/>
          <w:lang w:eastAsia="sk-SK"/>
        </w:rPr>
      </w:pPr>
    </w:p>
    <w:p w14:paraId="3F27A6C3" w14:textId="77777777" w:rsidR="00D777B9" w:rsidRPr="00D777B9" w:rsidRDefault="00D777B9" w:rsidP="00D777B9">
      <w:pPr>
        <w:jc w:val="both"/>
        <w:rPr>
          <w:i/>
          <w:sz w:val="22"/>
          <w:lang w:eastAsia="sk-SK"/>
        </w:rPr>
      </w:pPr>
      <w:r w:rsidRPr="00D777B9">
        <w:rPr>
          <w:i/>
          <w:sz w:val="22"/>
          <w:lang w:eastAsia="sk-SK"/>
        </w:rPr>
        <w:t>NASES</w:t>
      </w:r>
      <w:r w:rsidRPr="00D777B9">
        <w:rPr>
          <w:i/>
          <w:spacing w:val="-2"/>
          <w:sz w:val="22"/>
          <w:lang w:eastAsia="sk-SK"/>
        </w:rPr>
        <w:t xml:space="preserve"> </w:t>
      </w:r>
      <w:r w:rsidRPr="00D777B9">
        <w:rPr>
          <w:i/>
          <w:sz w:val="22"/>
          <w:lang w:eastAsia="sk-SK"/>
        </w:rPr>
        <w:t>pri</w:t>
      </w:r>
      <w:r w:rsidRPr="00D777B9">
        <w:rPr>
          <w:i/>
          <w:spacing w:val="-2"/>
          <w:sz w:val="22"/>
          <w:lang w:eastAsia="sk-SK"/>
        </w:rPr>
        <w:t xml:space="preserve"> </w:t>
      </w:r>
      <w:r w:rsidRPr="00D777B9">
        <w:rPr>
          <w:i/>
          <w:sz w:val="22"/>
          <w:lang w:eastAsia="sk-SK"/>
        </w:rPr>
        <w:t>výpočte</w:t>
      </w:r>
      <w:r w:rsidRPr="00D777B9">
        <w:rPr>
          <w:i/>
          <w:spacing w:val="-2"/>
          <w:sz w:val="22"/>
          <w:lang w:eastAsia="sk-SK"/>
        </w:rPr>
        <w:t xml:space="preserve"> </w:t>
      </w:r>
      <w:r w:rsidRPr="00D777B9">
        <w:rPr>
          <w:i/>
          <w:sz w:val="22"/>
          <w:lang w:eastAsia="sk-SK"/>
        </w:rPr>
        <w:t>finančných</w:t>
      </w:r>
      <w:r w:rsidRPr="00D777B9">
        <w:rPr>
          <w:i/>
          <w:spacing w:val="-2"/>
          <w:sz w:val="22"/>
          <w:lang w:eastAsia="sk-SK"/>
        </w:rPr>
        <w:t xml:space="preserve"> </w:t>
      </w:r>
      <w:r w:rsidRPr="00D777B9">
        <w:rPr>
          <w:i/>
          <w:sz w:val="22"/>
          <w:lang w:eastAsia="sk-SK"/>
        </w:rPr>
        <w:t>dopadov návrhu</w:t>
      </w:r>
      <w:r w:rsidRPr="00D777B9">
        <w:rPr>
          <w:i/>
          <w:spacing w:val="88"/>
          <w:sz w:val="22"/>
          <w:lang w:eastAsia="sk-SK"/>
        </w:rPr>
        <w:t xml:space="preserve"> </w:t>
      </w:r>
      <w:r w:rsidRPr="00D777B9">
        <w:rPr>
          <w:i/>
          <w:sz w:val="22"/>
          <w:lang w:eastAsia="sk-SK"/>
        </w:rPr>
        <w:t>novely</w:t>
      </w:r>
      <w:r w:rsidRPr="00D777B9">
        <w:rPr>
          <w:i/>
          <w:spacing w:val="88"/>
          <w:sz w:val="22"/>
          <w:lang w:eastAsia="sk-SK"/>
        </w:rPr>
        <w:t xml:space="preserve"> </w:t>
      </w:r>
      <w:r w:rsidRPr="00D777B9">
        <w:rPr>
          <w:i/>
          <w:sz w:val="22"/>
          <w:lang w:eastAsia="sk-SK"/>
        </w:rPr>
        <w:t>zákona</w:t>
      </w:r>
      <w:r w:rsidRPr="00D777B9">
        <w:rPr>
          <w:i/>
          <w:spacing w:val="88"/>
          <w:sz w:val="22"/>
          <w:lang w:eastAsia="sk-SK"/>
        </w:rPr>
        <w:t xml:space="preserve"> </w:t>
      </w:r>
      <w:r w:rsidRPr="00D777B9">
        <w:rPr>
          <w:i/>
          <w:sz w:val="22"/>
          <w:lang w:eastAsia="sk-SK"/>
        </w:rPr>
        <w:t>zohľadnila doterajšie zmluvné vzťahy a s tým súvisiace pravidlá vytvárania cenotvorby týkajúce sa ÚPVS, vlastné</w:t>
      </w:r>
      <w:r w:rsidRPr="00D777B9">
        <w:rPr>
          <w:i/>
          <w:spacing w:val="88"/>
          <w:sz w:val="22"/>
          <w:lang w:eastAsia="sk-SK"/>
        </w:rPr>
        <w:t xml:space="preserve"> </w:t>
      </w:r>
      <w:r w:rsidRPr="00D777B9">
        <w:rPr>
          <w:i/>
          <w:sz w:val="22"/>
          <w:lang w:eastAsia="sk-SK"/>
        </w:rPr>
        <w:t>skúsenosti</w:t>
      </w:r>
      <w:r w:rsidRPr="00D777B9">
        <w:rPr>
          <w:i/>
          <w:spacing w:val="88"/>
          <w:sz w:val="22"/>
          <w:lang w:eastAsia="sk-SK"/>
        </w:rPr>
        <w:t xml:space="preserve"> </w:t>
      </w:r>
      <w:r w:rsidRPr="00D777B9">
        <w:rPr>
          <w:i/>
          <w:sz w:val="22"/>
          <w:lang w:eastAsia="sk-SK"/>
        </w:rPr>
        <w:t>s poskytovaním</w:t>
      </w:r>
      <w:r w:rsidRPr="00D777B9">
        <w:rPr>
          <w:i/>
          <w:spacing w:val="88"/>
          <w:sz w:val="22"/>
          <w:lang w:eastAsia="sk-SK"/>
        </w:rPr>
        <w:t xml:space="preserve"> </w:t>
      </w:r>
      <w:r w:rsidRPr="00D777B9">
        <w:rPr>
          <w:i/>
          <w:sz w:val="22"/>
          <w:lang w:eastAsia="sk-SK"/>
        </w:rPr>
        <w:t>služieb</w:t>
      </w:r>
      <w:r w:rsidRPr="00D777B9">
        <w:rPr>
          <w:i/>
          <w:spacing w:val="88"/>
          <w:sz w:val="22"/>
          <w:lang w:eastAsia="sk-SK"/>
        </w:rPr>
        <w:t xml:space="preserve"> </w:t>
      </w:r>
      <w:r w:rsidRPr="00D777B9">
        <w:rPr>
          <w:i/>
          <w:sz w:val="22"/>
          <w:lang w:eastAsia="sk-SK"/>
        </w:rPr>
        <w:t>technickej podpory,</w:t>
      </w:r>
      <w:r w:rsidRPr="00D777B9">
        <w:rPr>
          <w:i/>
          <w:spacing w:val="86"/>
          <w:sz w:val="22"/>
          <w:lang w:eastAsia="sk-SK"/>
        </w:rPr>
        <w:t xml:space="preserve"> </w:t>
      </w:r>
      <w:r w:rsidRPr="00D777B9">
        <w:rPr>
          <w:i/>
          <w:sz w:val="22"/>
          <w:lang w:eastAsia="sk-SK"/>
        </w:rPr>
        <w:t>údržby</w:t>
      </w:r>
      <w:r w:rsidRPr="00D777B9">
        <w:rPr>
          <w:i/>
          <w:spacing w:val="86"/>
          <w:sz w:val="22"/>
          <w:lang w:eastAsia="sk-SK"/>
        </w:rPr>
        <w:t xml:space="preserve"> </w:t>
      </w:r>
      <w:r w:rsidRPr="00D777B9">
        <w:rPr>
          <w:i/>
          <w:sz w:val="22"/>
          <w:lang w:eastAsia="sk-SK"/>
        </w:rPr>
        <w:t>a</w:t>
      </w:r>
      <w:r w:rsidRPr="00D777B9">
        <w:rPr>
          <w:i/>
          <w:spacing w:val="86"/>
          <w:sz w:val="22"/>
          <w:lang w:eastAsia="sk-SK"/>
        </w:rPr>
        <w:t xml:space="preserve"> </w:t>
      </w:r>
      <w:r w:rsidRPr="00D777B9">
        <w:rPr>
          <w:i/>
          <w:sz w:val="22"/>
          <w:lang w:eastAsia="sk-SK"/>
        </w:rPr>
        <w:t>poskytovaním</w:t>
      </w:r>
      <w:r w:rsidRPr="00D777B9">
        <w:rPr>
          <w:i/>
          <w:spacing w:val="86"/>
          <w:sz w:val="22"/>
          <w:lang w:eastAsia="sk-SK"/>
        </w:rPr>
        <w:t xml:space="preserve"> </w:t>
      </w:r>
      <w:r w:rsidRPr="00D777B9">
        <w:rPr>
          <w:i/>
          <w:sz w:val="22"/>
          <w:lang w:eastAsia="sk-SK"/>
        </w:rPr>
        <w:t>servisných</w:t>
      </w:r>
      <w:r w:rsidRPr="00D777B9">
        <w:rPr>
          <w:i/>
          <w:spacing w:val="86"/>
          <w:sz w:val="22"/>
          <w:lang w:eastAsia="sk-SK"/>
        </w:rPr>
        <w:t xml:space="preserve"> </w:t>
      </w:r>
      <w:r w:rsidRPr="00D777B9">
        <w:rPr>
          <w:i/>
          <w:sz w:val="22"/>
          <w:lang w:eastAsia="sk-SK"/>
        </w:rPr>
        <w:t>služieb,</w:t>
      </w:r>
      <w:r w:rsidRPr="00D777B9">
        <w:rPr>
          <w:i/>
          <w:spacing w:val="86"/>
          <w:sz w:val="22"/>
          <w:lang w:eastAsia="sk-SK"/>
        </w:rPr>
        <w:t xml:space="preserve"> </w:t>
      </w:r>
      <w:r w:rsidRPr="00D777B9">
        <w:rPr>
          <w:i/>
          <w:sz w:val="22"/>
          <w:lang w:eastAsia="sk-SK"/>
        </w:rPr>
        <w:t>integrácii</w:t>
      </w:r>
      <w:r w:rsidRPr="00D777B9">
        <w:rPr>
          <w:i/>
          <w:spacing w:val="86"/>
          <w:sz w:val="22"/>
          <w:lang w:eastAsia="sk-SK"/>
        </w:rPr>
        <w:t xml:space="preserve"> </w:t>
      </w:r>
      <w:r w:rsidRPr="00D777B9">
        <w:rPr>
          <w:i/>
          <w:sz w:val="22"/>
          <w:lang w:eastAsia="sk-SK"/>
        </w:rPr>
        <w:t>a</w:t>
      </w:r>
      <w:r w:rsidRPr="00D777B9">
        <w:rPr>
          <w:i/>
          <w:spacing w:val="86"/>
          <w:sz w:val="22"/>
          <w:lang w:eastAsia="sk-SK"/>
        </w:rPr>
        <w:t xml:space="preserve"> </w:t>
      </w:r>
      <w:r w:rsidRPr="00D777B9">
        <w:rPr>
          <w:i/>
          <w:sz w:val="22"/>
          <w:lang w:eastAsia="sk-SK"/>
        </w:rPr>
        <w:t>komplexných</w:t>
      </w:r>
      <w:r w:rsidRPr="00D777B9">
        <w:rPr>
          <w:i/>
          <w:spacing w:val="86"/>
          <w:sz w:val="22"/>
          <w:lang w:eastAsia="sk-SK"/>
        </w:rPr>
        <w:t xml:space="preserve"> </w:t>
      </w:r>
      <w:r w:rsidRPr="00D777B9">
        <w:rPr>
          <w:i/>
          <w:sz w:val="22"/>
          <w:lang w:eastAsia="sk-SK"/>
        </w:rPr>
        <w:t>služieb implementácie spoločných modulov.</w:t>
      </w:r>
    </w:p>
    <w:p w14:paraId="6F356A7E" w14:textId="77777777" w:rsidR="00D777B9" w:rsidRPr="00D777B9" w:rsidRDefault="00D777B9" w:rsidP="00D777B9">
      <w:pPr>
        <w:jc w:val="both"/>
        <w:rPr>
          <w:i/>
          <w:sz w:val="22"/>
          <w:lang w:eastAsia="sk-SK"/>
        </w:rPr>
      </w:pPr>
    </w:p>
    <w:p w14:paraId="6F4353F0" w14:textId="77777777" w:rsidR="00D777B9" w:rsidRPr="00D777B9" w:rsidRDefault="00D777B9" w:rsidP="00D777B9">
      <w:pPr>
        <w:jc w:val="both"/>
        <w:rPr>
          <w:i/>
          <w:sz w:val="22"/>
          <w:lang w:eastAsia="sk-SK"/>
        </w:rPr>
      </w:pPr>
      <w:r w:rsidRPr="00D777B9">
        <w:rPr>
          <w:i/>
          <w:sz w:val="22"/>
          <w:lang w:eastAsia="sk-SK"/>
        </w:rPr>
        <w:t>Výpočet finančných dopadov bol vykonaný metodikou UCP, pričom základom</w:t>
      </w:r>
      <w:r w:rsidRPr="00D777B9">
        <w:rPr>
          <w:i/>
          <w:spacing w:val="60"/>
          <w:sz w:val="22"/>
          <w:lang w:eastAsia="sk-SK"/>
        </w:rPr>
        <w:t xml:space="preserve"> </w:t>
      </w:r>
      <w:r w:rsidRPr="00D777B9">
        <w:rPr>
          <w:i/>
          <w:sz w:val="22"/>
          <w:lang w:eastAsia="sk-SK"/>
        </w:rPr>
        <w:t>výpočtu</w:t>
      </w:r>
      <w:r w:rsidRPr="00D777B9">
        <w:rPr>
          <w:i/>
          <w:spacing w:val="60"/>
          <w:sz w:val="22"/>
          <w:lang w:eastAsia="sk-SK"/>
        </w:rPr>
        <w:t xml:space="preserve"> </w:t>
      </w:r>
      <w:r w:rsidRPr="00D777B9">
        <w:rPr>
          <w:i/>
          <w:sz w:val="22"/>
          <w:lang w:eastAsia="sk-SK"/>
        </w:rPr>
        <w:t>je</w:t>
      </w:r>
      <w:r w:rsidRPr="00D777B9">
        <w:rPr>
          <w:i/>
          <w:spacing w:val="60"/>
          <w:sz w:val="22"/>
          <w:lang w:eastAsia="sk-SK"/>
        </w:rPr>
        <w:t xml:space="preserve"> </w:t>
      </w:r>
      <w:r w:rsidRPr="00D777B9">
        <w:rPr>
          <w:i/>
          <w:sz w:val="22"/>
          <w:lang w:eastAsia="sk-SK"/>
        </w:rPr>
        <w:t>prenesenie legislatívnych návrhov do zmien ÚPVS a jednotlivých modulov formou</w:t>
      </w:r>
      <w:r w:rsidRPr="00D777B9">
        <w:rPr>
          <w:i/>
          <w:spacing w:val="25"/>
          <w:sz w:val="22"/>
          <w:lang w:eastAsia="sk-SK"/>
        </w:rPr>
        <w:t xml:space="preserve"> </w:t>
      </w:r>
      <w:r w:rsidRPr="00D777B9">
        <w:rPr>
          <w:i/>
          <w:sz w:val="22"/>
          <w:lang w:eastAsia="sk-SK"/>
        </w:rPr>
        <w:t>use-case</w:t>
      </w:r>
      <w:r w:rsidRPr="00D777B9">
        <w:rPr>
          <w:i/>
          <w:spacing w:val="25"/>
          <w:sz w:val="22"/>
          <w:lang w:eastAsia="sk-SK"/>
        </w:rPr>
        <w:t xml:space="preserve"> </w:t>
      </w:r>
      <w:r w:rsidRPr="00D777B9">
        <w:rPr>
          <w:i/>
          <w:sz w:val="22"/>
          <w:lang w:eastAsia="sk-SK"/>
        </w:rPr>
        <w:t>points</w:t>
      </w:r>
      <w:r w:rsidRPr="00D777B9">
        <w:rPr>
          <w:i/>
          <w:spacing w:val="25"/>
          <w:sz w:val="22"/>
          <w:lang w:eastAsia="sk-SK"/>
        </w:rPr>
        <w:t xml:space="preserve"> </w:t>
      </w:r>
      <w:r w:rsidRPr="00D777B9">
        <w:rPr>
          <w:i/>
          <w:sz w:val="22"/>
          <w:lang w:eastAsia="sk-SK"/>
        </w:rPr>
        <w:t>(prípadov</w:t>
      </w:r>
      <w:r w:rsidRPr="00D777B9">
        <w:rPr>
          <w:i/>
          <w:spacing w:val="25"/>
          <w:sz w:val="22"/>
          <w:lang w:eastAsia="sk-SK"/>
        </w:rPr>
        <w:t xml:space="preserve"> </w:t>
      </w:r>
      <w:r w:rsidRPr="00D777B9">
        <w:rPr>
          <w:i/>
          <w:sz w:val="22"/>
          <w:lang w:eastAsia="sk-SK"/>
        </w:rPr>
        <w:t>použitia)</w:t>
      </w:r>
      <w:r w:rsidRPr="00D777B9">
        <w:rPr>
          <w:i/>
          <w:spacing w:val="25"/>
          <w:sz w:val="22"/>
          <w:lang w:eastAsia="sk-SK"/>
        </w:rPr>
        <w:t xml:space="preserve"> </w:t>
      </w:r>
      <w:r w:rsidRPr="00D777B9">
        <w:rPr>
          <w:i/>
          <w:sz w:val="22"/>
          <w:lang w:eastAsia="sk-SK"/>
        </w:rPr>
        <w:t>a ich</w:t>
      </w:r>
      <w:r w:rsidRPr="00D777B9">
        <w:rPr>
          <w:i/>
          <w:spacing w:val="25"/>
          <w:sz w:val="22"/>
          <w:lang w:eastAsia="sk-SK"/>
        </w:rPr>
        <w:t xml:space="preserve"> </w:t>
      </w:r>
      <w:r w:rsidRPr="00D777B9">
        <w:rPr>
          <w:i/>
          <w:sz w:val="22"/>
          <w:lang w:eastAsia="sk-SK"/>
        </w:rPr>
        <w:t>následný</w:t>
      </w:r>
      <w:r w:rsidRPr="00D777B9">
        <w:rPr>
          <w:i/>
          <w:spacing w:val="25"/>
          <w:sz w:val="22"/>
          <w:lang w:eastAsia="sk-SK"/>
        </w:rPr>
        <w:t xml:space="preserve"> </w:t>
      </w:r>
      <w:r w:rsidRPr="00D777B9">
        <w:rPr>
          <w:i/>
          <w:sz w:val="22"/>
          <w:lang w:eastAsia="sk-SK"/>
        </w:rPr>
        <w:t>odhad</w:t>
      </w:r>
      <w:r w:rsidRPr="00D777B9">
        <w:rPr>
          <w:i/>
          <w:spacing w:val="25"/>
          <w:sz w:val="22"/>
          <w:lang w:eastAsia="sk-SK"/>
        </w:rPr>
        <w:t xml:space="preserve"> </w:t>
      </w:r>
      <w:r w:rsidRPr="00D777B9">
        <w:rPr>
          <w:i/>
          <w:sz w:val="22"/>
          <w:lang w:eastAsia="sk-SK"/>
        </w:rPr>
        <w:t>prácnosti.</w:t>
      </w:r>
      <w:r w:rsidRPr="00D777B9">
        <w:rPr>
          <w:i/>
          <w:spacing w:val="25"/>
          <w:sz w:val="22"/>
          <w:lang w:eastAsia="sk-SK"/>
        </w:rPr>
        <w:t xml:space="preserve"> </w:t>
      </w:r>
      <w:r w:rsidRPr="00D777B9">
        <w:rPr>
          <w:i/>
          <w:sz w:val="22"/>
          <w:lang w:eastAsia="sk-SK"/>
        </w:rPr>
        <w:t>Samotný výpočet sa realizuje v nasledovných krokoch:</w:t>
      </w:r>
    </w:p>
    <w:p w14:paraId="04F81B3F" w14:textId="77777777" w:rsidR="00D777B9" w:rsidRPr="00D777B9" w:rsidRDefault="00D777B9" w:rsidP="00D777B9">
      <w:pPr>
        <w:jc w:val="both"/>
        <w:rPr>
          <w:i/>
          <w:sz w:val="22"/>
          <w:lang w:eastAsia="sk-SK"/>
        </w:rPr>
      </w:pPr>
      <w:r w:rsidRPr="00D777B9">
        <w:rPr>
          <w:i/>
          <w:sz w:val="22"/>
          <w:lang w:eastAsia="sk-SK"/>
        </w:rPr>
        <w:t>•Výpočet hodnoty UUCW,</w:t>
      </w:r>
    </w:p>
    <w:p w14:paraId="3D39F982" w14:textId="77777777" w:rsidR="00D777B9" w:rsidRPr="00D777B9" w:rsidRDefault="00D777B9" w:rsidP="00D777B9">
      <w:pPr>
        <w:jc w:val="both"/>
        <w:rPr>
          <w:i/>
          <w:sz w:val="22"/>
          <w:lang w:eastAsia="sk-SK"/>
        </w:rPr>
      </w:pPr>
      <w:r w:rsidRPr="00D777B9">
        <w:rPr>
          <w:i/>
          <w:sz w:val="22"/>
          <w:lang w:eastAsia="sk-SK"/>
        </w:rPr>
        <w:t>•Výpočet hodnoty UAW,</w:t>
      </w:r>
    </w:p>
    <w:p w14:paraId="7425BDD9" w14:textId="77777777" w:rsidR="00D777B9" w:rsidRPr="00D777B9" w:rsidRDefault="00D777B9" w:rsidP="00D777B9">
      <w:pPr>
        <w:jc w:val="both"/>
        <w:rPr>
          <w:i/>
          <w:sz w:val="22"/>
          <w:lang w:eastAsia="sk-SK"/>
        </w:rPr>
      </w:pPr>
      <w:r w:rsidRPr="00D777B9">
        <w:rPr>
          <w:i/>
          <w:sz w:val="22"/>
          <w:lang w:eastAsia="sk-SK"/>
        </w:rPr>
        <w:t>•Výpočet hodnoty TCF,</w:t>
      </w:r>
    </w:p>
    <w:p w14:paraId="66F134ED" w14:textId="77777777" w:rsidR="00D777B9" w:rsidRPr="00D777B9" w:rsidRDefault="00D777B9" w:rsidP="00D777B9">
      <w:pPr>
        <w:jc w:val="both"/>
        <w:rPr>
          <w:i/>
          <w:sz w:val="22"/>
          <w:lang w:eastAsia="sk-SK"/>
        </w:rPr>
      </w:pPr>
      <w:r w:rsidRPr="00D777B9">
        <w:rPr>
          <w:i/>
          <w:sz w:val="22"/>
          <w:lang w:eastAsia="sk-SK"/>
        </w:rPr>
        <w:t>•Výpočet hodnoty ECF,</w:t>
      </w:r>
    </w:p>
    <w:p w14:paraId="4E88551E" w14:textId="77777777" w:rsidR="00D777B9" w:rsidRPr="00D777B9" w:rsidRDefault="00D777B9" w:rsidP="00D777B9">
      <w:pPr>
        <w:jc w:val="both"/>
        <w:rPr>
          <w:i/>
          <w:sz w:val="22"/>
          <w:lang w:eastAsia="sk-SK"/>
        </w:rPr>
      </w:pPr>
      <w:r w:rsidRPr="00D777B9">
        <w:rPr>
          <w:i/>
          <w:sz w:val="22"/>
          <w:lang w:eastAsia="sk-SK"/>
        </w:rPr>
        <w:t>•Výpočet hodnoty UCP.</w:t>
      </w:r>
    </w:p>
    <w:p w14:paraId="5F3644C0" w14:textId="77777777" w:rsidR="00D777B9" w:rsidRPr="00E61C2C" w:rsidRDefault="00D777B9" w:rsidP="00D777B9">
      <w:pPr>
        <w:jc w:val="both"/>
        <w:rPr>
          <w:i/>
          <w:lang w:eastAsia="sk-SK"/>
        </w:rPr>
        <w:sectPr w:rsidR="00D777B9" w:rsidRPr="00E61C2C" w:rsidSect="00D777B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D777B9">
        <w:rPr>
          <w:i/>
          <w:sz w:val="22"/>
          <w:lang w:eastAsia="sk-SK"/>
        </w:rPr>
        <w:t>Určenie</w:t>
      </w:r>
      <w:r w:rsidRPr="00D777B9">
        <w:rPr>
          <w:i/>
          <w:spacing w:val="26"/>
          <w:sz w:val="22"/>
          <w:lang w:eastAsia="sk-SK"/>
        </w:rPr>
        <w:t xml:space="preserve"> </w:t>
      </w:r>
      <w:r w:rsidRPr="00D777B9">
        <w:rPr>
          <w:i/>
          <w:sz w:val="22"/>
          <w:lang w:eastAsia="sk-SK"/>
        </w:rPr>
        <w:t>predpokladaných</w:t>
      </w:r>
      <w:r w:rsidRPr="00D777B9">
        <w:rPr>
          <w:i/>
          <w:spacing w:val="26"/>
          <w:sz w:val="22"/>
          <w:lang w:eastAsia="sk-SK"/>
        </w:rPr>
        <w:t xml:space="preserve"> </w:t>
      </w:r>
      <w:r w:rsidRPr="00D777B9">
        <w:rPr>
          <w:i/>
          <w:sz w:val="22"/>
          <w:lang w:eastAsia="sk-SK"/>
        </w:rPr>
        <w:t>finančných</w:t>
      </w:r>
      <w:r w:rsidRPr="00D777B9">
        <w:rPr>
          <w:i/>
          <w:spacing w:val="26"/>
          <w:sz w:val="22"/>
          <w:lang w:eastAsia="sk-SK"/>
        </w:rPr>
        <w:t xml:space="preserve"> </w:t>
      </w:r>
      <w:r w:rsidRPr="00D777B9">
        <w:rPr>
          <w:i/>
          <w:sz w:val="22"/>
          <w:lang w:eastAsia="sk-SK"/>
        </w:rPr>
        <w:t>dopadov</w:t>
      </w:r>
      <w:r w:rsidRPr="00D777B9">
        <w:rPr>
          <w:i/>
          <w:spacing w:val="26"/>
          <w:sz w:val="22"/>
          <w:lang w:eastAsia="sk-SK"/>
        </w:rPr>
        <w:t xml:space="preserve"> </w:t>
      </w:r>
      <w:r w:rsidRPr="00D777B9">
        <w:rPr>
          <w:i/>
          <w:sz w:val="22"/>
          <w:lang w:eastAsia="sk-SK"/>
        </w:rPr>
        <w:t>prebehlo</w:t>
      </w:r>
      <w:r w:rsidRPr="00D777B9">
        <w:rPr>
          <w:i/>
          <w:spacing w:val="26"/>
          <w:sz w:val="22"/>
          <w:lang w:eastAsia="sk-SK"/>
        </w:rPr>
        <w:t xml:space="preserve"> </w:t>
      </w:r>
      <w:r w:rsidRPr="00D777B9">
        <w:rPr>
          <w:i/>
          <w:sz w:val="22"/>
          <w:lang w:eastAsia="sk-SK"/>
        </w:rPr>
        <w:t>na</w:t>
      </w:r>
      <w:r w:rsidRPr="00D777B9">
        <w:rPr>
          <w:i/>
          <w:spacing w:val="26"/>
          <w:sz w:val="22"/>
          <w:lang w:eastAsia="sk-SK"/>
        </w:rPr>
        <w:t xml:space="preserve"> </w:t>
      </w:r>
      <w:r w:rsidRPr="00D777B9">
        <w:rPr>
          <w:i/>
          <w:sz w:val="22"/>
          <w:lang w:eastAsia="sk-SK"/>
        </w:rPr>
        <w:t>základe</w:t>
      </w:r>
      <w:r w:rsidRPr="00D777B9">
        <w:rPr>
          <w:i/>
          <w:spacing w:val="26"/>
          <w:sz w:val="22"/>
          <w:lang w:eastAsia="sk-SK"/>
        </w:rPr>
        <w:t xml:space="preserve"> </w:t>
      </w:r>
      <w:r w:rsidRPr="00D777B9">
        <w:rPr>
          <w:i/>
          <w:sz w:val="22"/>
          <w:lang w:eastAsia="sk-SK"/>
        </w:rPr>
        <w:t>predpokladaných hodinových sadzieb expertov. NASES použila pri výpočte priemer doteraz zazmluvnených kontraktov a PHZ z iných obstarávaní podobných úprav na ÚPVS. Popis jednotlivých návrhov a bližšie dopady na ÚPVS a jednotlivý moduly je bližšie popísaný v kapitole vyššie. Výdavky sa plánujú čerpať v roku 2022 a 2023, kedy NASES plánuje obstarať alebo realizovať jednotlivé zmeny v rámci novely</w:t>
      </w:r>
      <w:r>
        <w:rPr>
          <w:i/>
          <w:lang w:eastAsia="sk-SK"/>
        </w:rPr>
        <w:t>.</w:t>
      </w:r>
    </w:p>
    <w:p w14:paraId="3FF86652" w14:textId="77777777" w:rsidR="00D777B9" w:rsidRDefault="00D777B9" w:rsidP="00D777B9">
      <w:pPr>
        <w:tabs>
          <w:tab w:val="num" w:pos="1080"/>
        </w:tabs>
        <w:rPr>
          <w:bCs/>
          <w:lang w:eastAsia="sk-SK"/>
        </w:rPr>
      </w:pPr>
    </w:p>
    <w:tbl>
      <w:tblPr>
        <w:tblpPr w:leftFromText="141" w:rightFromText="141" w:vertAnchor="page" w:horzAnchor="margin" w:tblpY="2155"/>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777B9" w:rsidRPr="00D777B9" w14:paraId="2324A03A" w14:textId="77777777" w:rsidTr="00D777B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7A3932" w14:textId="77777777" w:rsidR="00D777B9" w:rsidRPr="00D777B9" w:rsidRDefault="00D777B9" w:rsidP="00D777B9">
            <w:pPr>
              <w:jc w:val="center"/>
              <w:rPr>
                <w:b/>
                <w:bCs/>
                <w:sz w:val="22"/>
                <w:lang w:eastAsia="sk-SK"/>
              </w:rPr>
            </w:pPr>
            <w:r w:rsidRPr="00D777B9">
              <w:rPr>
                <w:b/>
                <w:bCs/>
                <w:sz w:val="22"/>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6F11219" w14:textId="77777777" w:rsidR="00D777B9" w:rsidRPr="00D777B9" w:rsidRDefault="00D777B9" w:rsidP="00D777B9">
            <w:pPr>
              <w:jc w:val="center"/>
              <w:rPr>
                <w:b/>
                <w:bCs/>
                <w:sz w:val="22"/>
                <w:lang w:eastAsia="sk-SK"/>
              </w:rPr>
            </w:pPr>
            <w:r w:rsidRPr="00D777B9">
              <w:rPr>
                <w:b/>
                <w:bCs/>
                <w:sz w:val="22"/>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950283E" w14:textId="77777777" w:rsidR="00D777B9" w:rsidRPr="00D777B9" w:rsidRDefault="00D777B9" w:rsidP="00D777B9">
            <w:pPr>
              <w:jc w:val="center"/>
              <w:rPr>
                <w:b/>
                <w:bCs/>
                <w:sz w:val="22"/>
                <w:lang w:eastAsia="sk-SK"/>
              </w:rPr>
            </w:pPr>
            <w:r w:rsidRPr="00D777B9">
              <w:rPr>
                <w:b/>
                <w:bCs/>
                <w:sz w:val="22"/>
                <w:lang w:eastAsia="sk-SK"/>
              </w:rPr>
              <w:t>poznámka</w:t>
            </w:r>
          </w:p>
        </w:tc>
      </w:tr>
      <w:tr w:rsidR="00D777B9" w:rsidRPr="00D777B9" w14:paraId="242A0ECA" w14:textId="77777777" w:rsidTr="00D777B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F239268" w14:textId="77777777" w:rsidR="00D777B9" w:rsidRPr="00D777B9" w:rsidRDefault="00D777B9" w:rsidP="00D777B9">
            <w:pPr>
              <w:rPr>
                <w:b/>
                <w:bCs/>
                <w:color w:val="FFFFFF"/>
                <w:sz w:val="22"/>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22B4889C" w14:textId="77777777" w:rsidR="00D777B9" w:rsidRPr="00D777B9" w:rsidRDefault="00D777B9" w:rsidP="00D777B9">
            <w:pPr>
              <w:jc w:val="center"/>
              <w:rPr>
                <w:b/>
                <w:bCs/>
                <w:sz w:val="22"/>
                <w:lang w:eastAsia="sk-SK"/>
              </w:rPr>
            </w:pPr>
            <w:r w:rsidRPr="00D777B9">
              <w:rPr>
                <w:b/>
                <w:bCs/>
                <w:sz w:val="22"/>
                <w:lang w:eastAsia="sk-SK"/>
              </w:rPr>
              <w:t>2021</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02E98093" w14:textId="77777777" w:rsidR="00D777B9" w:rsidRPr="00D777B9" w:rsidRDefault="00D777B9" w:rsidP="00D777B9">
            <w:pPr>
              <w:jc w:val="center"/>
              <w:rPr>
                <w:b/>
                <w:bCs/>
                <w:sz w:val="22"/>
                <w:lang w:eastAsia="sk-SK"/>
              </w:rPr>
            </w:pPr>
            <w:r w:rsidRPr="00D777B9">
              <w:rPr>
                <w:b/>
                <w:bCs/>
                <w:sz w:val="22"/>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52F627D8" w14:textId="77777777" w:rsidR="00D777B9" w:rsidRPr="00D777B9" w:rsidRDefault="00D777B9" w:rsidP="00D777B9">
            <w:pPr>
              <w:jc w:val="center"/>
              <w:rPr>
                <w:b/>
                <w:bCs/>
                <w:sz w:val="22"/>
                <w:lang w:eastAsia="sk-SK"/>
              </w:rPr>
            </w:pPr>
            <w:r w:rsidRPr="00D777B9">
              <w:rPr>
                <w:b/>
                <w:bCs/>
                <w:sz w:val="22"/>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14:paraId="48637C43" w14:textId="77777777" w:rsidR="00D777B9" w:rsidRPr="00D777B9" w:rsidRDefault="00D777B9" w:rsidP="00D777B9">
            <w:pPr>
              <w:jc w:val="center"/>
              <w:rPr>
                <w:b/>
                <w:bCs/>
                <w:sz w:val="22"/>
                <w:lang w:eastAsia="sk-SK"/>
              </w:rPr>
            </w:pPr>
            <w:r w:rsidRPr="00D777B9">
              <w:rPr>
                <w:b/>
                <w:bCs/>
                <w:sz w:val="22"/>
                <w:lang w:eastAsia="sk-SK"/>
              </w:rPr>
              <w:t>2024</w:t>
            </w:r>
          </w:p>
        </w:tc>
        <w:tc>
          <w:tcPr>
            <w:tcW w:w="3000" w:type="dxa"/>
            <w:vMerge/>
            <w:tcBorders>
              <w:top w:val="single" w:sz="4" w:space="0" w:color="auto"/>
              <w:left w:val="single" w:sz="4" w:space="0" w:color="auto"/>
              <w:bottom w:val="single" w:sz="4" w:space="0" w:color="auto"/>
              <w:right w:val="single" w:sz="4" w:space="0" w:color="auto"/>
            </w:tcBorders>
            <w:vAlign w:val="center"/>
          </w:tcPr>
          <w:p w14:paraId="2BA2EB4F" w14:textId="77777777" w:rsidR="00D777B9" w:rsidRPr="00D777B9" w:rsidRDefault="00D777B9" w:rsidP="00D777B9">
            <w:pPr>
              <w:rPr>
                <w:b/>
                <w:bCs/>
                <w:color w:val="FFFFFF"/>
                <w:sz w:val="22"/>
                <w:lang w:eastAsia="sk-SK"/>
              </w:rPr>
            </w:pPr>
          </w:p>
        </w:tc>
      </w:tr>
      <w:tr w:rsidR="00D777B9" w:rsidRPr="00D777B9" w14:paraId="4335FFCF" w14:textId="77777777" w:rsidTr="00D777B9">
        <w:trPr>
          <w:trHeight w:val="255"/>
        </w:trPr>
        <w:tc>
          <w:tcPr>
            <w:tcW w:w="4950" w:type="dxa"/>
            <w:tcBorders>
              <w:top w:val="nil"/>
              <w:left w:val="single" w:sz="4" w:space="0" w:color="auto"/>
              <w:bottom w:val="single" w:sz="4" w:space="0" w:color="auto"/>
              <w:right w:val="single" w:sz="4" w:space="0" w:color="auto"/>
            </w:tcBorders>
          </w:tcPr>
          <w:p w14:paraId="7C863418" w14:textId="77777777" w:rsidR="00D777B9" w:rsidRPr="00D777B9" w:rsidRDefault="00D777B9" w:rsidP="00D777B9">
            <w:pPr>
              <w:rPr>
                <w:b/>
                <w:bCs/>
                <w:sz w:val="22"/>
                <w:vertAlign w:val="superscript"/>
                <w:lang w:eastAsia="sk-SK"/>
              </w:rPr>
            </w:pPr>
            <w:r w:rsidRPr="00D777B9">
              <w:rPr>
                <w:b/>
                <w:bCs/>
                <w:sz w:val="22"/>
                <w:lang w:eastAsia="sk-SK"/>
              </w:rPr>
              <w:t>Daňové príjmy (100)</w:t>
            </w:r>
            <w:r w:rsidRPr="00D777B9">
              <w:rPr>
                <w:b/>
                <w:bCs/>
                <w:sz w:val="22"/>
                <w:vertAlign w:val="superscript"/>
                <w:lang w:eastAsia="sk-SK"/>
              </w:rPr>
              <w:t>1</w:t>
            </w:r>
          </w:p>
        </w:tc>
        <w:tc>
          <w:tcPr>
            <w:tcW w:w="1500" w:type="dxa"/>
            <w:tcBorders>
              <w:top w:val="nil"/>
              <w:left w:val="nil"/>
              <w:bottom w:val="single" w:sz="4" w:space="0" w:color="auto"/>
              <w:right w:val="single" w:sz="4" w:space="0" w:color="auto"/>
            </w:tcBorders>
          </w:tcPr>
          <w:p w14:paraId="43897F52" w14:textId="77777777" w:rsidR="00D777B9" w:rsidRPr="00D777B9" w:rsidRDefault="00D777B9" w:rsidP="00D777B9">
            <w:pPr>
              <w:jc w:val="center"/>
              <w:rPr>
                <w:b/>
                <w:bCs/>
                <w:sz w:val="22"/>
                <w:lang w:eastAsia="sk-SK"/>
              </w:rPr>
            </w:pPr>
          </w:p>
        </w:tc>
        <w:tc>
          <w:tcPr>
            <w:tcW w:w="1500" w:type="dxa"/>
            <w:tcBorders>
              <w:top w:val="nil"/>
              <w:left w:val="nil"/>
              <w:bottom w:val="single" w:sz="4" w:space="0" w:color="auto"/>
              <w:right w:val="single" w:sz="4" w:space="0" w:color="auto"/>
            </w:tcBorders>
          </w:tcPr>
          <w:p w14:paraId="0CE63759" w14:textId="77777777" w:rsidR="00D777B9" w:rsidRPr="00D777B9" w:rsidRDefault="00D777B9" w:rsidP="00D777B9">
            <w:pPr>
              <w:jc w:val="center"/>
              <w:rPr>
                <w:b/>
                <w:bCs/>
                <w:sz w:val="22"/>
                <w:lang w:eastAsia="sk-SK"/>
              </w:rPr>
            </w:pPr>
          </w:p>
        </w:tc>
        <w:tc>
          <w:tcPr>
            <w:tcW w:w="1500" w:type="dxa"/>
            <w:tcBorders>
              <w:top w:val="nil"/>
              <w:left w:val="nil"/>
              <w:bottom w:val="single" w:sz="4" w:space="0" w:color="auto"/>
              <w:right w:val="single" w:sz="4" w:space="0" w:color="auto"/>
            </w:tcBorders>
          </w:tcPr>
          <w:p w14:paraId="76E5FA8A" w14:textId="77777777" w:rsidR="00D777B9" w:rsidRPr="00D777B9" w:rsidRDefault="00D777B9" w:rsidP="00D777B9">
            <w:pPr>
              <w:jc w:val="center"/>
              <w:rPr>
                <w:b/>
                <w:bCs/>
                <w:sz w:val="22"/>
                <w:lang w:eastAsia="sk-SK"/>
              </w:rPr>
            </w:pPr>
          </w:p>
        </w:tc>
        <w:tc>
          <w:tcPr>
            <w:tcW w:w="1500" w:type="dxa"/>
            <w:tcBorders>
              <w:top w:val="nil"/>
              <w:left w:val="nil"/>
              <w:bottom w:val="single" w:sz="4" w:space="0" w:color="auto"/>
              <w:right w:val="single" w:sz="4" w:space="0" w:color="auto"/>
            </w:tcBorders>
          </w:tcPr>
          <w:p w14:paraId="6FC97C96" w14:textId="77777777" w:rsidR="00D777B9" w:rsidRPr="00D777B9" w:rsidRDefault="00D777B9" w:rsidP="00D777B9">
            <w:pPr>
              <w:jc w:val="center"/>
              <w:rPr>
                <w:b/>
                <w:bCs/>
                <w:sz w:val="22"/>
                <w:lang w:eastAsia="sk-SK"/>
              </w:rPr>
            </w:pPr>
          </w:p>
        </w:tc>
        <w:tc>
          <w:tcPr>
            <w:tcW w:w="3000" w:type="dxa"/>
            <w:tcBorders>
              <w:top w:val="nil"/>
              <w:left w:val="nil"/>
              <w:bottom w:val="single" w:sz="4" w:space="0" w:color="auto"/>
              <w:right w:val="single" w:sz="4" w:space="0" w:color="auto"/>
            </w:tcBorders>
            <w:noWrap/>
            <w:vAlign w:val="bottom"/>
          </w:tcPr>
          <w:p w14:paraId="1FBD7B75" w14:textId="77777777" w:rsidR="00D777B9" w:rsidRPr="00D777B9" w:rsidRDefault="00D777B9" w:rsidP="00D777B9">
            <w:pPr>
              <w:rPr>
                <w:sz w:val="22"/>
                <w:lang w:eastAsia="sk-SK"/>
              </w:rPr>
            </w:pPr>
            <w:r w:rsidRPr="00D777B9">
              <w:rPr>
                <w:sz w:val="22"/>
                <w:lang w:eastAsia="sk-SK"/>
              </w:rPr>
              <w:t> </w:t>
            </w:r>
          </w:p>
        </w:tc>
      </w:tr>
      <w:tr w:rsidR="00D777B9" w:rsidRPr="00D777B9" w14:paraId="3465B19F" w14:textId="77777777" w:rsidTr="00D777B9">
        <w:trPr>
          <w:trHeight w:val="255"/>
        </w:trPr>
        <w:tc>
          <w:tcPr>
            <w:tcW w:w="4950" w:type="dxa"/>
            <w:tcBorders>
              <w:top w:val="nil"/>
              <w:left w:val="single" w:sz="4" w:space="0" w:color="auto"/>
              <w:bottom w:val="single" w:sz="4" w:space="0" w:color="auto"/>
              <w:right w:val="single" w:sz="4" w:space="0" w:color="auto"/>
            </w:tcBorders>
          </w:tcPr>
          <w:p w14:paraId="09A38CE8" w14:textId="77777777" w:rsidR="00D777B9" w:rsidRPr="00D777B9" w:rsidRDefault="00D777B9" w:rsidP="00D777B9">
            <w:pPr>
              <w:rPr>
                <w:b/>
                <w:bCs/>
                <w:sz w:val="22"/>
                <w:lang w:eastAsia="sk-SK"/>
              </w:rPr>
            </w:pPr>
            <w:r w:rsidRPr="00D777B9">
              <w:rPr>
                <w:b/>
                <w:bCs/>
                <w:sz w:val="22"/>
                <w:lang w:eastAsia="sk-SK"/>
              </w:rPr>
              <w:t>Nedaňové príjmy (200)</w:t>
            </w:r>
            <w:r w:rsidRPr="00D777B9">
              <w:rPr>
                <w:b/>
                <w:bCs/>
                <w:sz w:val="22"/>
                <w:vertAlign w:val="superscript"/>
                <w:lang w:eastAsia="sk-SK"/>
              </w:rPr>
              <w:t>1</w:t>
            </w:r>
          </w:p>
        </w:tc>
        <w:tc>
          <w:tcPr>
            <w:tcW w:w="1500" w:type="dxa"/>
            <w:tcBorders>
              <w:top w:val="nil"/>
              <w:left w:val="nil"/>
              <w:bottom w:val="single" w:sz="4" w:space="0" w:color="auto"/>
              <w:right w:val="single" w:sz="4" w:space="0" w:color="auto"/>
            </w:tcBorders>
          </w:tcPr>
          <w:p w14:paraId="6261588D" w14:textId="77777777" w:rsidR="00D777B9" w:rsidRPr="00D777B9" w:rsidRDefault="00D777B9" w:rsidP="00D777B9">
            <w:pPr>
              <w:jc w:val="center"/>
              <w:rPr>
                <w:b/>
                <w:bCs/>
                <w:sz w:val="22"/>
                <w:lang w:eastAsia="sk-SK"/>
              </w:rPr>
            </w:pPr>
          </w:p>
        </w:tc>
        <w:tc>
          <w:tcPr>
            <w:tcW w:w="1500" w:type="dxa"/>
            <w:tcBorders>
              <w:top w:val="nil"/>
              <w:left w:val="nil"/>
              <w:bottom w:val="single" w:sz="4" w:space="0" w:color="auto"/>
              <w:right w:val="single" w:sz="4" w:space="0" w:color="auto"/>
            </w:tcBorders>
          </w:tcPr>
          <w:p w14:paraId="4B8F02DF" w14:textId="77777777" w:rsidR="00D777B9" w:rsidRPr="00D777B9" w:rsidRDefault="00D777B9" w:rsidP="00D777B9">
            <w:pPr>
              <w:jc w:val="center"/>
              <w:rPr>
                <w:b/>
                <w:bCs/>
                <w:sz w:val="22"/>
                <w:lang w:eastAsia="sk-SK"/>
              </w:rPr>
            </w:pPr>
          </w:p>
        </w:tc>
        <w:tc>
          <w:tcPr>
            <w:tcW w:w="1500" w:type="dxa"/>
            <w:tcBorders>
              <w:top w:val="nil"/>
              <w:left w:val="nil"/>
              <w:bottom w:val="single" w:sz="4" w:space="0" w:color="auto"/>
              <w:right w:val="single" w:sz="4" w:space="0" w:color="auto"/>
            </w:tcBorders>
          </w:tcPr>
          <w:p w14:paraId="486E0332" w14:textId="77777777" w:rsidR="00D777B9" w:rsidRPr="00D777B9" w:rsidRDefault="00D777B9" w:rsidP="00D777B9">
            <w:pPr>
              <w:jc w:val="center"/>
              <w:rPr>
                <w:b/>
                <w:bCs/>
                <w:sz w:val="22"/>
                <w:lang w:eastAsia="sk-SK"/>
              </w:rPr>
            </w:pPr>
          </w:p>
        </w:tc>
        <w:tc>
          <w:tcPr>
            <w:tcW w:w="1500" w:type="dxa"/>
            <w:tcBorders>
              <w:top w:val="nil"/>
              <w:left w:val="nil"/>
              <w:bottom w:val="single" w:sz="4" w:space="0" w:color="auto"/>
              <w:right w:val="single" w:sz="4" w:space="0" w:color="auto"/>
            </w:tcBorders>
          </w:tcPr>
          <w:p w14:paraId="3F7D7B5E" w14:textId="77777777" w:rsidR="00D777B9" w:rsidRPr="00D777B9" w:rsidRDefault="00D777B9" w:rsidP="00D777B9">
            <w:pPr>
              <w:jc w:val="center"/>
              <w:rPr>
                <w:b/>
                <w:bCs/>
                <w:sz w:val="22"/>
                <w:lang w:eastAsia="sk-SK"/>
              </w:rPr>
            </w:pPr>
          </w:p>
        </w:tc>
        <w:tc>
          <w:tcPr>
            <w:tcW w:w="3000" w:type="dxa"/>
            <w:tcBorders>
              <w:top w:val="nil"/>
              <w:left w:val="nil"/>
              <w:bottom w:val="single" w:sz="4" w:space="0" w:color="auto"/>
              <w:right w:val="single" w:sz="4" w:space="0" w:color="auto"/>
            </w:tcBorders>
            <w:noWrap/>
            <w:vAlign w:val="bottom"/>
          </w:tcPr>
          <w:p w14:paraId="4BF295B2" w14:textId="77777777" w:rsidR="00D777B9" w:rsidRPr="00D777B9" w:rsidRDefault="00D777B9" w:rsidP="00D777B9">
            <w:pPr>
              <w:rPr>
                <w:sz w:val="22"/>
                <w:lang w:eastAsia="sk-SK"/>
              </w:rPr>
            </w:pPr>
            <w:r w:rsidRPr="00D777B9">
              <w:rPr>
                <w:sz w:val="22"/>
                <w:lang w:eastAsia="sk-SK"/>
              </w:rPr>
              <w:t> </w:t>
            </w:r>
          </w:p>
        </w:tc>
      </w:tr>
      <w:tr w:rsidR="00D777B9" w:rsidRPr="00D777B9" w14:paraId="03BBEA9C" w14:textId="77777777" w:rsidTr="00D777B9">
        <w:trPr>
          <w:trHeight w:val="255"/>
        </w:trPr>
        <w:tc>
          <w:tcPr>
            <w:tcW w:w="4950" w:type="dxa"/>
            <w:tcBorders>
              <w:top w:val="nil"/>
              <w:left w:val="single" w:sz="4" w:space="0" w:color="auto"/>
              <w:bottom w:val="single" w:sz="4" w:space="0" w:color="auto"/>
              <w:right w:val="single" w:sz="4" w:space="0" w:color="auto"/>
            </w:tcBorders>
          </w:tcPr>
          <w:p w14:paraId="3C5BE014" w14:textId="77777777" w:rsidR="00D777B9" w:rsidRPr="00D777B9" w:rsidRDefault="00D777B9" w:rsidP="00D777B9">
            <w:pPr>
              <w:rPr>
                <w:b/>
                <w:bCs/>
                <w:sz w:val="22"/>
                <w:lang w:eastAsia="sk-SK"/>
              </w:rPr>
            </w:pPr>
            <w:r w:rsidRPr="00D777B9">
              <w:rPr>
                <w:b/>
                <w:bCs/>
                <w:sz w:val="22"/>
                <w:lang w:eastAsia="sk-SK"/>
              </w:rPr>
              <w:t>Granty a transfery (300)</w:t>
            </w:r>
            <w:r w:rsidRPr="00D777B9">
              <w:rPr>
                <w:b/>
                <w:bCs/>
                <w:sz w:val="22"/>
                <w:vertAlign w:val="superscript"/>
                <w:lang w:eastAsia="sk-SK"/>
              </w:rPr>
              <w:t>1</w:t>
            </w:r>
          </w:p>
        </w:tc>
        <w:tc>
          <w:tcPr>
            <w:tcW w:w="1500" w:type="dxa"/>
            <w:tcBorders>
              <w:top w:val="nil"/>
              <w:left w:val="nil"/>
              <w:bottom w:val="single" w:sz="4" w:space="0" w:color="auto"/>
              <w:right w:val="single" w:sz="4" w:space="0" w:color="auto"/>
            </w:tcBorders>
          </w:tcPr>
          <w:p w14:paraId="2BB02566" w14:textId="77777777" w:rsidR="00D777B9" w:rsidRPr="00D777B9" w:rsidRDefault="00D777B9" w:rsidP="00D777B9">
            <w:pPr>
              <w:jc w:val="center"/>
              <w:rPr>
                <w:b/>
                <w:bCs/>
                <w:sz w:val="22"/>
                <w:lang w:eastAsia="sk-SK"/>
              </w:rPr>
            </w:pPr>
          </w:p>
        </w:tc>
        <w:tc>
          <w:tcPr>
            <w:tcW w:w="1500" w:type="dxa"/>
            <w:tcBorders>
              <w:top w:val="nil"/>
              <w:left w:val="nil"/>
              <w:bottom w:val="single" w:sz="4" w:space="0" w:color="auto"/>
              <w:right w:val="single" w:sz="4" w:space="0" w:color="auto"/>
            </w:tcBorders>
          </w:tcPr>
          <w:p w14:paraId="1F97947F" w14:textId="77777777" w:rsidR="00D777B9" w:rsidRPr="00D777B9" w:rsidRDefault="00D777B9" w:rsidP="00D777B9">
            <w:pPr>
              <w:jc w:val="center"/>
              <w:rPr>
                <w:b/>
                <w:bCs/>
                <w:sz w:val="22"/>
                <w:lang w:eastAsia="sk-SK"/>
              </w:rPr>
            </w:pPr>
          </w:p>
        </w:tc>
        <w:tc>
          <w:tcPr>
            <w:tcW w:w="1500" w:type="dxa"/>
            <w:tcBorders>
              <w:top w:val="nil"/>
              <w:left w:val="nil"/>
              <w:bottom w:val="single" w:sz="4" w:space="0" w:color="auto"/>
              <w:right w:val="single" w:sz="4" w:space="0" w:color="auto"/>
            </w:tcBorders>
          </w:tcPr>
          <w:p w14:paraId="152888D5" w14:textId="77777777" w:rsidR="00D777B9" w:rsidRPr="00D777B9" w:rsidRDefault="00D777B9" w:rsidP="00D777B9">
            <w:pPr>
              <w:jc w:val="center"/>
              <w:rPr>
                <w:b/>
                <w:bCs/>
                <w:sz w:val="22"/>
                <w:lang w:eastAsia="sk-SK"/>
              </w:rPr>
            </w:pPr>
          </w:p>
        </w:tc>
        <w:tc>
          <w:tcPr>
            <w:tcW w:w="1500" w:type="dxa"/>
            <w:tcBorders>
              <w:top w:val="nil"/>
              <w:left w:val="nil"/>
              <w:bottom w:val="single" w:sz="4" w:space="0" w:color="auto"/>
              <w:right w:val="single" w:sz="4" w:space="0" w:color="auto"/>
            </w:tcBorders>
          </w:tcPr>
          <w:p w14:paraId="4F160BCD" w14:textId="77777777" w:rsidR="00D777B9" w:rsidRPr="00D777B9" w:rsidRDefault="00D777B9" w:rsidP="00D777B9">
            <w:pPr>
              <w:jc w:val="center"/>
              <w:rPr>
                <w:b/>
                <w:bCs/>
                <w:sz w:val="22"/>
                <w:lang w:eastAsia="sk-SK"/>
              </w:rPr>
            </w:pPr>
          </w:p>
        </w:tc>
        <w:tc>
          <w:tcPr>
            <w:tcW w:w="3000" w:type="dxa"/>
            <w:tcBorders>
              <w:top w:val="nil"/>
              <w:left w:val="nil"/>
              <w:bottom w:val="single" w:sz="4" w:space="0" w:color="auto"/>
              <w:right w:val="single" w:sz="4" w:space="0" w:color="auto"/>
            </w:tcBorders>
            <w:noWrap/>
            <w:vAlign w:val="bottom"/>
          </w:tcPr>
          <w:p w14:paraId="1BCF88B3" w14:textId="77777777" w:rsidR="00D777B9" w:rsidRPr="00D777B9" w:rsidRDefault="00D777B9" w:rsidP="00D777B9">
            <w:pPr>
              <w:rPr>
                <w:sz w:val="22"/>
                <w:lang w:eastAsia="sk-SK"/>
              </w:rPr>
            </w:pPr>
            <w:r w:rsidRPr="00D777B9">
              <w:rPr>
                <w:sz w:val="22"/>
                <w:lang w:eastAsia="sk-SK"/>
              </w:rPr>
              <w:t> </w:t>
            </w:r>
          </w:p>
        </w:tc>
      </w:tr>
      <w:tr w:rsidR="00D777B9" w:rsidRPr="00D777B9" w14:paraId="51456D10" w14:textId="77777777" w:rsidTr="00D777B9">
        <w:trPr>
          <w:trHeight w:val="255"/>
        </w:trPr>
        <w:tc>
          <w:tcPr>
            <w:tcW w:w="4950" w:type="dxa"/>
            <w:tcBorders>
              <w:top w:val="nil"/>
              <w:left w:val="single" w:sz="4" w:space="0" w:color="auto"/>
              <w:bottom w:val="single" w:sz="4" w:space="0" w:color="auto"/>
              <w:right w:val="single" w:sz="4" w:space="0" w:color="auto"/>
            </w:tcBorders>
          </w:tcPr>
          <w:p w14:paraId="5B242342" w14:textId="77777777" w:rsidR="00D777B9" w:rsidRPr="00D777B9" w:rsidRDefault="00D777B9" w:rsidP="00D777B9">
            <w:pPr>
              <w:rPr>
                <w:b/>
                <w:bCs/>
                <w:sz w:val="22"/>
                <w:lang w:eastAsia="sk-SK"/>
              </w:rPr>
            </w:pPr>
            <w:r w:rsidRPr="00D777B9">
              <w:rPr>
                <w:b/>
                <w:bCs/>
                <w:sz w:val="22"/>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14698AD9" w14:textId="77777777" w:rsidR="00D777B9" w:rsidRPr="00D777B9" w:rsidRDefault="00D777B9" w:rsidP="00D777B9">
            <w:pPr>
              <w:jc w:val="center"/>
              <w:rPr>
                <w:b/>
                <w:bCs/>
                <w:sz w:val="22"/>
                <w:lang w:eastAsia="sk-SK"/>
              </w:rPr>
            </w:pPr>
            <w:r w:rsidRPr="00D777B9">
              <w:rPr>
                <w:b/>
                <w:bCs/>
                <w:sz w:val="22"/>
                <w:lang w:eastAsia="sk-SK"/>
              </w:rPr>
              <w:t> </w:t>
            </w:r>
          </w:p>
        </w:tc>
        <w:tc>
          <w:tcPr>
            <w:tcW w:w="1500" w:type="dxa"/>
            <w:tcBorders>
              <w:top w:val="nil"/>
              <w:left w:val="nil"/>
              <w:bottom w:val="single" w:sz="4" w:space="0" w:color="auto"/>
              <w:right w:val="single" w:sz="4" w:space="0" w:color="auto"/>
            </w:tcBorders>
            <w:shd w:val="clear" w:color="auto" w:fill="FFFF99"/>
          </w:tcPr>
          <w:p w14:paraId="30006194" w14:textId="77777777" w:rsidR="00D777B9" w:rsidRPr="00D777B9" w:rsidRDefault="00D777B9" w:rsidP="00D777B9">
            <w:pPr>
              <w:jc w:val="center"/>
              <w:rPr>
                <w:b/>
                <w:bCs/>
                <w:sz w:val="22"/>
                <w:lang w:eastAsia="sk-SK"/>
              </w:rPr>
            </w:pPr>
            <w:r w:rsidRPr="00D777B9">
              <w:rPr>
                <w:b/>
                <w:bCs/>
                <w:sz w:val="22"/>
                <w:lang w:eastAsia="sk-SK"/>
              </w:rPr>
              <w:t> </w:t>
            </w:r>
          </w:p>
        </w:tc>
        <w:tc>
          <w:tcPr>
            <w:tcW w:w="1500" w:type="dxa"/>
            <w:tcBorders>
              <w:top w:val="nil"/>
              <w:left w:val="nil"/>
              <w:bottom w:val="single" w:sz="4" w:space="0" w:color="auto"/>
              <w:right w:val="single" w:sz="4" w:space="0" w:color="auto"/>
            </w:tcBorders>
            <w:shd w:val="clear" w:color="auto" w:fill="FFFF99"/>
          </w:tcPr>
          <w:p w14:paraId="19AC2DD4" w14:textId="77777777" w:rsidR="00D777B9" w:rsidRPr="00D777B9" w:rsidRDefault="00D777B9" w:rsidP="00D777B9">
            <w:pPr>
              <w:jc w:val="center"/>
              <w:rPr>
                <w:b/>
                <w:bCs/>
                <w:sz w:val="22"/>
                <w:lang w:eastAsia="sk-SK"/>
              </w:rPr>
            </w:pPr>
            <w:r w:rsidRPr="00D777B9">
              <w:rPr>
                <w:b/>
                <w:bCs/>
                <w:sz w:val="22"/>
                <w:lang w:eastAsia="sk-SK"/>
              </w:rPr>
              <w:t> </w:t>
            </w:r>
          </w:p>
        </w:tc>
        <w:tc>
          <w:tcPr>
            <w:tcW w:w="1500" w:type="dxa"/>
            <w:tcBorders>
              <w:top w:val="nil"/>
              <w:left w:val="nil"/>
              <w:bottom w:val="single" w:sz="4" w:space="0" w:color="auto"/>
              <w:right w:val="single" w:sz="4" w:space="0" w:color="auto"/>
            </w:tcBorders>
            <w:shd w:val="clear" w:color="auto" w:fill="FFFF99"/>
          </w:tcPr>
          <w:p w14:paraId="7D66E74B" w14:textId="77777777" w:rsidR="00D777B9" w:rsidRPr="00D777B9" w:rsidRDefault="00D777B9" w:rsidP="00D777B9">
            <w:pPr>
              <w:jc w:val="center"/>
              <w:rPr>
                <w:b/>
                <w:bCs/>
                <w:sz w:val="22"/>
                <w:lang w:eastAsia="sk-SK"/>
              </w:rPr>
            </w:pPr>
            <w:r w:rsidRPr="00D777B9">
              <w:rPr>
                <w:b/>
                <w:bCs/>
                <w:sz w:val="22"/>
                <w:lang w:eastAsia="sk-SK"/>
              </w:rPr>
              <w:t> </w:t>
            </w:r>
          </w:p>
        </w:tc>
        <w:tc>
          <w:tcPr>
            <w:tcW w:w="3000" w:type="dxa"/>
            <w:tcBorders>
              <w:top w:val="nil"/>
              <w:left w:val="nil"/>
              <w:bottom w:val="single" w:sz="4" w:space="0" w:color="auto"/>
              <w:right w:val="single" w:sz="4" w:space="0" w:color="auto"/>
            </w:tcBorders>
            <w:noWrap/>
            <w:vAlign w:val="bottom"/>
          </w:tcPr>
          <w:p w14:paraId="6FC41ACF" w14:textId="77777777" w:rsidR="00D777B9" w:rsidRPr="00D777B9" w:rsidRDefault="00D777B9" w:rsidP="00D777B9">
            <w:pPr>
              <w:rPr>
                <w:sz w:val="22"/>
                <w:lang w:eastAsia="sk-SK"/>
              </w:rPr>
            </w:pPr>
            <w:r w:rsidRPr="00D777B9">
              <w:rPr>
                <w:sz w:val="22"/>
                <w:lang w:eastAsia="sk-SK"/>
              </w:rPr>
              <w:t> </w:t>
            </w:r>
          </w:p>
        </w:tc>
      </w:tr>
      <w:tr w:rsidR="00D777B9" w:rsidRPr="00D777B9" w14:paraId="2B9D4A9F" w14:textId="77777777" w:rsidTr="00D777B9">
        <w:trPr>
          <w:trHeight w:val="255"/>
        </w:trPr>
        <w:tc>
          <w:tcPr>
            <w:tcW w:w="4950" w:type="dxa"/>
            <w:tcBorders>
              <w:top w:val="nil"/>
              <w:left w:val="single" w:sz="4" w:space="0" w:color="auto"/>
              <w:bottom w:val="single" w:sz="4" w:space="0" w:color="auto"/>
              <w:right w:val="single" w:sz="4" w:space="0" w:color="auto"/>
            </w:tcBorders>
          </w:tcPr>
          <w:p w14:paraId="6F75CE02" w14:textId="77777777" w:rsidR="00D777B9" w:rsidRPr="00D777B9" w:rsidRDefault="00D777B9" w:rsidP="00D777B9">
            <w:pPr>
              <w:rPr>
                <w:b/>
                <w:bCs/>
                <w:sz w:val="22"/>
                <w:lang w:eastAsia="sk-SK"/>
              </w:rPr>
            </w:pPr>
            <w:r w:rsidRPr="00D777B9">
              <w:rPr>
                <w:b/>
                <w:bCs/>
                <w:sz w:val="22"/>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156D22B5" w14:textId="77777777" w:rsidR="00D777B9" w:rsidRPr="00D777B9" w:rsidRDefault="00D777B9" w:rsidP="00D777B9">
            <w:pPr>
              <w:jc w:val="center"/>
              <w:rPr>
                <w:b/>
                <w:bCs/>
                <w:sz w:val="22"/>
                <w:lang w:eastAsia="sk-SK"/>
              </w:rPr>
            </w:pPr>
            <w:r w:rsidRPr="00D777B9">
              <w:rPr>
                <w:b/>
                <w:bCs/>
                <w:sz w:val="22"/>
                <w:lang w:eastAsia="sk-SK"/>
              </w:rPr>
              <w:t> </w:t>
            </w:r>
          </w:p>
        </w:tc>
        <w:tc>
          <w:tcPr>
            <w:tcW w:w="1500" w:type="dxa"/>
            <w:tcBorders>
              <w:top w:val="nil"/>
              <w:left w:val="nil"/>
              <w:bottom w:val="single" w:sz="4" w:space="0" w:color="auto"/>
              <w:right w:val="single" w:sz="4" w:space="0" w:color="auto"/>
            </w:tcBorders>
            <w:shd w:val="clear" w:color="auto" w:fill="FFFF99"/>
          </w:tcPr>
          <w:p w14:paraId="16D93686" w14:textId="77777777" w:rsidR="00D777B9" w:rsidRPr="00D777B9" w:rsidRDefault="00D777B9" w:rsidP="00D777B9">
            <w:pPr>
              <w:jc w:val="center"/>
              <w:rPr>
                <w:b/>
                <w:bCs/>
                <w:sz w:val="22"/>
                <w:lang w:eastAsia="sk-SK"/>
              </w:rPr>
            </w:pPr>
            <w:r w:rsidRPr="00D777B9">
              <w:rPr>
                <w:b/>
                <w:bCs/>
                <w:sz w:val="22"/>
                <w:lang w:eastAsia="sk-SK"/>
              </w:rPr>
              <w:t> </w:t>
            </w:r>
          </w:p>
        </w:tc>
        <w:tc>
          <w:tcPr>
            <w:tcW w:w="1500" w:type="dxa"/>
            <w:tcBorders>
              <w:top w:val="nil"/>
              <w:left w:val="nil"/>
              <w:bottom w:val="single" w:sz="4" w:space="0" w:color="auto"/>
              <w:right w:val="single" w:sz="4" w:space="0" w:color="auto"/>
            </w:tcBorders>
            <w:shd w:val="clear" w:color="auto" w:fill="FFFF99"/>
          </w:tcPr>
          <w:p w14:paraId="260D7212" w14:textId="77777777" w:rsidR="00D777B9" w:rsidRPr="00D777B9" w:rsidRDefault="00D777B9" w:rsidP="00D777B9">
            <w:pPr>
              <w:jc w:val="center"/>
              <w:rPr>
                <w:b/>
                <w:bCs/>
                <w:sz w:val="22"/>
                <w:lang w:eastAsia="sk-SK"/>
              </w:rPr>
            </w:pPr>
            <w:r w:rsidRPr="00D777B9">
              <w:rPr>
                <w:b/>
                <w:bCs/>
                <w:sz w:val="22"/>
                <w:lang w:eastAsia="sk-SK"/>
              </w:rPr>
              <w:t> </w:t>
            </w:r>
          </w:p>
        </w:tc>
        <w:tc>
          <w:tcPr>
            <w:tcW w:w="1500" w:type="dxa"/>
            <w:tcBorders>
              <w:top w:val="nil"/>
              <w:left w:val="nil"/>
              <w:bottom w:val="single" w:sz="4" w:space="0" w:color="auto"/>
              <w:right w:val="single" w:sz="4" w:space="0" w:color="auto"/>
            </w:tcBorders>
            <w:shd w:val="clear" w:color="auto" w:fill="FFFF99"/>
          </w:tcPr>
          <w:p w14:paraId="6CDDE9A3" w14:textId="77777777" w:rsidR="00D777B9" w:rsidRPr="00D777B9" w:rsidRDefault="00D777B9" w:rsidP="00D777B9">
            <w:pPr>
              <w:jc w:val="center"/>
              <w:rPr>
                <w:b/>
                <w:bCs/>
                <w:sz w:val="22"/>
                <w:lang w:eastAsia="sk-SK"/>
              </w:rPr>
            </w:pPr>
            <w:r w:rsidRPr="00D777B9">
              <w:rPr>
                <w:b/>
                <w:bCs/>
                <w:sz w:val="22"/>
                <w:lang w:eastAsia="sk-SK"/>
              </w:rPr>
              <w:t> </w:t>
            </w:r>
          </w:p>
        </w:tc>
        <w:tc>
          <w:tcPr>
            <w:tcW w:w="3000" w:type="dxa"/>
            <w:tcBorders>
              <w:top w:val="nil"/>
              <w:left w:val="nil"/>
              <w:bottom w:val="single" w:sz="4" w:space="0" w:color="auto"/>
              <w:right w:val="single" w:sz="4" w:space="0" w:color="auto"/>
            </w:tcBorders>
            <w:noWrap/>
            <w:vAlign w:val="bottom"/>
          </w:tcPr>
          <w:p w14:paraId="18590EE6" w14:textId="77777777" w:rsidR="00D777B9" w:rsidRPr="00D777B9" w:rsidRDefault="00D777B9" w:rsidP="00D777B9">
            <w:pPr>
              <w:rPr>
                <w:sz w:val="22"/>
                <w:lang w:eastAsia="sk-SK"/>
              </w:rPr>
            </w:pPr>
            <w:r w:rsidRPr="00D777B9">
              <w:rPr>
                <w:sz w:val="22"/>
                <w:lang w:eastAsia="sk-SK"/>
              </w:rPr>
              <w:t> </w:t>
            </w:r>
          </w:p>
        </w:tc>
      </w:tr>
      <w:tr w:rsidR="00D777B9" w:rsidRPr="00D777B9" w14:paraId="48BE7138" w14:textId="77777777" w:rsidTr="00D777B9">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4C449106" w14:textId="77777777" w:rsidR="00D777B9" w:rsidRPr="00D777B9" w:rsidRDefault="00D777B9" w:rsidP="00D777B9">
            <w:pPr>
              <w:rPr>
                <w:b/>
                <w:bCs/>
                <w:sz w:val="22"/>
                <w:lang w:eastAsia="sk-SK"/>
              </w:rPr>
            </w:pPr>
            <w:r w:rsidRPr="00D777B9">
              <w:rPr>
                <w:b/>
                <w:bCs/>
                <w:sz w:val="22"/>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D7C7628" w14:textId="77777777" w:rsidR="00D777B9" w:rsidRPr="00D777B9" w:rsidRDefault="00D777B9" w:rsidP="00D777B9">
            <w:pPr>
              <w:jc w:val="center"/>
              <w:rPr>
                <w:b/>
                <w:bCs/>
                <w:sz w:val="22"/>
                <w:lang w:eastAsia="sk-SK"/>
              </w:rPr>
            </w:pPr>
            <w:r w:rsidRPr="00D777B9">
              <w:rPr>
                <w:b/>
                <w:bCs/>
                <w:sz w:val="22"/>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ACDDAB6" w14:textId="77777777" w:rsidR="00D777B9" w:rsidRPr="00D777B9" w:rsidRDefault="00D777B9" w:rsidP="00D777B9">
            <w:pPr>
              <w:jc w:val="center"/>
              <w:rPr>
                <w:b/>
                <w:bCs/>
                <w:sz w:val="22"/>
                <w:lang w:eastAsia="sk-SK"/>
              </w:rPr>
            </w:pPr>
            <w:r w:rsidRPr="00D777B9">
              <w:rPr>
                <w:b/>
                <w:bCs/>
                <w:sz w:val="22"/>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64C4D76" w14:textId="77777777" w:rsidR="00D777B9" w:rsidRPr="00D777B9" w:rsidRDefault="00D777B9" w:rsidP="00D777B9">
            <w:pPr>
              <w:jc w:val="center"/>
              <w:rPr>
                <w:b/>
                <w:bCs/>
                <w:sz w:val="22"/>
                <w:lang w:eastAsia="sk-SK"/>
              </w:rPr>
            </w:pPr>
            <w:r w:rsidRPr="00D777B9">
              <w:rPr>
                <w:b/>
                <w:bCs/>
                <w:sz w:val="22"/>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8447D70" w14:textId="77777777" w:rsidR="00D777B9" w:rsidRPr="00D777B9" w:rsidRDefault="00D777B9" w:rsidP="00D777B9">
            <w:pPr>
              <w:jc w:val="center"/>
              <w:rPr>
                <w:b/>
                <w:bCs/>
                <w:sz w:val="22"/>
                <w:lang w:eastAsia="sk-SK"/>
              </w:rPr>
            </w:pPr>
            <w:r w:rsidRPr="00D777B9">
              <w:rPr>
                <w:b/>
                <w:bCs/>
                <w:sz w:val="22"/>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668CF5CC" w14:textId="77777777" w:rsidR="00D777B9" w:rsidRPr="00D777B9" w:rsidRDefault="00D777B9" w:rsidP="00D777B9">
            <w:pPr>
              <w:rPr>
                <w:sz w:val="22"/>
                <w:lang w:eastAsia="sk-SK"/>
              </w:rPr>
            </w:pPr>
            <w:r w:rsidRPr="00D777B9">
              <w:rPr>
                <w:sz w:val="22"/>
                <w:lang w:eastAsia="sk-SK"/>
              </w:rPr>
              <w:t> </w:t>
            </w:r>
          </w:p>
        </w:tc>
      </w:tr>
    </w:tbl>
    <w:p w14:paraId="4D0A5094" w14:textId="77777777" w:rsidR="00D777B9" w:rsidRPr="00D777B9" w:rsidRDefault="00D777B9" w:rsidP="00D777B9">
      <w:pPr>
        <w:tabs>
          <w:tab w:val="num" w:pos="1080"/>
        </w:tabs>
        <w:jc w:val="right"/>
        <w:rPr>
          <w:bCs/>
          <w:sz w:val="22"/>
          <w:lang w:eastAsia="sk-SK"/>
        </w:rPr>
      </w:pPr>
      <w:r w:rsidRPr="00D777B9">
        <w:rPr>
          <w:bCs/>
          <w:sz w:val="22"/>
          <w:lang w:eastAsia="sk-SK"/>
        </w:rPr>
        <w:t xml:space="preserve">Tabuľka č. 3 </w:t>
      </w:r>
    </w:p>
    <w:p w14:paraId="1FC21270" w14:textId="77777777" w:rsidR="00D777B9" w:rsidRPr="00654641" w:rsidRDefault="00D777B9" w:rsidP="00D777B9">
      <w:pPr>
        <w:tabs>
          <w:tab w:val="num" w:pos="1080"/>
        </w:tabs>
        <w:ind w:right="-578"/>
        <w:jc w:val="right"/>
        <w:rPr>
          <w:bCs/>
          <w:lang w:eastAsia="sk-SK"/>
        </w:rPr>
      </w:pPr>
    </w:p>
    <w:p w14:paraId="734A0FE7" w14:textId="77777777" w:rsidR="00D777B9" w:rsidRPr="00D777B9" w:rsidRDefault="00D777B9" w:rsidP="00D777B9">
      <w:pPr>
        <w:tabs>
          <w:tab w:val="num" w:pos="1080"/>
        </w:tabs>
        <w:jc w:val="both"/>
        <w:rPr>
          <w:bCs/>
          <w:sz w:val="22"/>
          <w:lang w:eastAsia="sk-SK"/>
        </w:rPr>
      </w:pPr>
    </w:p>
    <w:p w14:paraId="7B50FA1D" w14:textId="77777777" w:rsidR="00D777B9" w:rsidRPr="00D777B9" w:rsidRDefault="00D777B9" w:rsidP="00D777B9">
      <w:pPr>
        <w:tabs>
          <w:tab w:val="num" w:pos="1080"/>
        </w:tabs>
        <w:jc w:val="both"/>
        <w:rPr>
          <w:bCs/>
          <w:sz w:val="22"/>
          <w:lang w:eastAsia="sk-SK"/>
        </w:rPr>
      </w:pPr>
    </w:p>
    <w:p w14:paraId="6C982BA2" w14:textId="77777777" w:rsidR="00D777B9" w:rsidRPr="00D777B9" w:rsidRDefault="00D777B9" w:rsidP="00D777B9">
      <w:pPr>
        <w:tabs>
          <w:tab w:val="num" w:pos="1080"/>
        </w:tabs>
        <w:jc w:val="both"/>
        <w:rPr>
          <w:bCs/>
          <w:sz w:val="22"/>
          <w:lang w:eastAsia="sk-SK"/>
        </w:rPr>
      </w:pPr>
      <w:r w:rsidRPr="00D777B9">
        <w:rPr>
          <w:bCs/>
          <w:sz w:val="22"/>
          <w:lang w:eastAsia="sk-SK"/>
        </w:rPr>
        <w:t>1 –  príjmy rozpísať až do položiek platnej ekonomickej klasifikácie</w:t>
      </w:r>
    </w:p>
    <w:p w14:paraId="24CEE4DB" w14:textId="77777777" w:rsidR="00D777B9" w:rsidRPr="00D777B9" w:rsidRDefault="00D777B9" w:rsidP="00D777B9">
      <w:pPr>
        <w:tabs>
          <w:tab w:val="num" w:pos="1080"/>
        </w:tabs>
        <w:jc w:val="both"/>
        <w:rPr>
          <w:bCs/>
          <w:sz w:val="22"/>
          <w:lang w:eastAsia="sk-SK"/>
        </w:rPr>
      </w:pPr>
    </w:p>
    <w:p w14:paraId="302E7AE7" w14:textId="77777777" w:rsidR="00D777B9" w:rsidRPr="00D777B9" w:rsidRDefault="00D777B9" w:rsidP="00D777B9">
      <w:pPr>
        <w:tabs>
          <w:tab w:val="num" w:pos="1080"/>
        </w:tabs>
        <w:jc w:val="both"/>
        <w:rPr>
          <w:b/>
          <w:bCs/>
          <w:sz w:val="22"/>
          <w:lang w:eastAsia="sk-SK"/>
        </w:rPr>
      </w:pPr>
      <w:r w:rsidRPr="00D777B9">
        <w:rPr>
          <w:b/>
          <w:bCs/>
          <w:sz w:val="22"/>
          <w:lang w:eastAsia="sk-SK"/>
        </w:rPr>
        <w:t>Poznámka:</w:t>
      </w:r>
    </w:p>
    <w:p w14:paraId="022DC57D" w14:textId="77777777" w:rsidR="00D777B9" w:rsidRPr="00D777B9" w:rsidRDefault="00D777B9" w:rsidP="00D777B9">
      <w:pPr>
        <w:tabs>
          <w:tab w:val="num" w:pos="1080"/>
        </w:tabs>
        <w:jc w:val="both"/>
        <w:rPr>
          <w:bCs/>
          <w:sz w:val="22"/>
          <w:lang w:eastAsia="sk-SK"/>
        </w:rPr>
      </w:pPr>
      <w:r w:rsidRPr="00D777B9">
        <w:rPr>
          <w:bCs/>
          <w:sz w:val="22"/>
          <w:lang w:eastAsia="sk-SK"/>
        </w:rPr>
        <w:t>Ak sa vplyv týka viacerých subjektov verejnej správy, vypĺňa sa samostatná tabuľka za každý subjekt.</w:t>
      </w:r>
    </w:p>
    <w:p w14:paraId="30FE1085" w14:textId="77777777" w:rsidR="00D777B9" w:rsidRDefault="00D777B9" w:rsidP="00D777B9">
      <w:pPr>
        <w:rPr>
          <w:bCs/>
          <w:lang w:eastAsia="sk-SK"/>
        </w:rPr>
      </w:pPr>
      <w:r w:rsidRPr="00D777B9">
        <w:rPr>
          <w:bCs/>
          <w:sz w:val="22"/>
          <w:lang w:eastAsia="sk-SK"/>
        </w:rPr>
        <w:br w:type="page"/>
      </w:r>
    </w:p>
    <w:p w14:paraId="1DCC9C6E" w14:textId="77777777" w:rsidR="00D777B9" w:rsidRPr="00FA364E" w:rsidRDefault="00D777B9" w:rsidP="00D777B9">
      <w:pPr>
        <w:tabs>
          <w:tab w:val="num" w:pos="1080"/>
        </w:tabs>
        <w:ind w:right="-32"/>
        <w:jc w:val="right"/>
        <w:rPr>
          <w:bCs/>
          <w:lang w:eastAsia="sk-SK"/>
        </w:rPr>
      </w:pPr>
      <w:r w:rsidRPr="00FA364E">
        <w:rPr>
          <w:bCs/>
          <w:lang w:eastAsia="sk-SK"/>
        </w:rPr>
        <w:lastRenderedPageBreak/>
        <w:t xml:space="preserve">Tabuľka č. 4 </w:t>
      </w:r>
    </w:p>
    <w:p w14:paraId="4D99F7D6" w14:textId="77777777" w:rsidR="00D777B9" w:rsidRPr="002732B1" w:rsidRDefault="00D777B9" w:rsidP="00D777B9">
      <w:pPr>
        <w:tabs>
          <w:tab w:val="num" w:pos="1080"/>
        </w:tabs>
        <w:ind w:right="-32"/>
        <w:jc w:val="right"/>
        <w:rPr>
          <w:bCs/>
          <w:sz w:val="22"/>
          <w:lang w:eastAsia="sk-SK"/>
        </w:rPr>
      </w:pPr>
      <w:r w:rsidRPr="002732B1">
        <w:rPr>
          <w:bCs/>
          <w:sz w:val="22"/>
          <w:lang w:eastAsia="sk-SK"/>
        </w:rPr>
        <w:t>Ministerstvo investícií, regionálneho rozvoja a informatizácie SR</w:t>
      </w:r>
    </w:p>
    <w:p w14:paraId="26C59859" w14:textId="77777777" w:rsidR="00D777B9" w:rsidRPr="002732B1" w:rsidRDefault="00D777B9" w:rsidP="00D777B9">
      <w:pPr>
        <w:tabs>
          <w:tab w:val="num" w:pos="1080"/>
        </w:tabs>
        <w:jc w:val="both"/>
        <w:rPr>
          <w:bCs/>
          <w:sz w:val="22"/>
          <w:lang w:eastAsia="sk-SK"/>
        </w:rPr>
      </w:pPr>
    </w:p>
    <w:tbl>
      <w:tblPr>
        <w:tblpPr w:leftFromText="141" w:rightFromText="141" w:vertAnchor="text" w:horzAnchor="margin" w:tblpXSpec="center" w:tblpY="-73"/>
        <w:tblW w:w="14454" w:type="dxa"/>
        <w:tblCellMar>
          <w:left w:w="70" w:type="dxa"/>
          <w:right w:w="70" w:type="dxa"/>
        </w:tblCellMar>
        <w:tblLook w:val="0000" w:firstRow="0" w:lastRow="0" w:firstColumn="0" w:lastColumn="0" w:noHBand="0" w:noVBand="0"/>
      </w:tblPr>
      <w:tblGrid>
        <w:gridCol w:w="6965"/>
        <w:gridCol w:w="1252"/>
        <w:gridCol w:w="1294"/>
        <w:gridCol w:w="1683"/>
        <w:gridCol w:w="1701"/>
        <w:gridCol w:w="1559"/>
      </w:tblGrid>
      <w:tr w:rsidR="00D777B9" w:rsidRPr="002732B1" w14:paraId="7777693B" w14:textId="77777777" w:rsidTr="00D777B9">
        <w:trPr>
          <w:cantSplit/>
          <w:trHeight w:val="255"/>
        </w:trPr>
        <w:tc>
          <w:tcPr>
            <w:tcW w:w="696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5724C60" w14:textId="77777777" w:rsidR="00D777B9" w:rsidRPr="002732B1" w:rsidRDefault="00D777B9" w:rsidP="00D777B9">
            <w:pPr>
              <w:jc w:val="center"/>
              <w:rPr>
                <w:b/>
                <w:bCs/>
                <w:sz w:val="22"/>
                <w:lang w:eastAsia="sk-SK"/>
              </w:rPr>
            </w:pPr>
            <w:r w:rsidRPr="002732B1">
              <w:rPr>
                <w:b/>
                <w:bCs/>
                <w:sz w:val="22"/>
                <w:lang w:eastAsia="sk-SK"/>
              </w:rPr>
              <w:t>Výdavky (v eurách)</w:t>
            </w:r>
          </w:p>
        </w:tc>
        <w:tc>
          <w:tcPr>
            <w:tcW w:w="593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CE8C1A4" w14:textId="77777777" w:rsidR="00D777B9" w:rsidRPr="002732B1" w:rsidRDefault="00D777B9" w:rsidP="00D777B9">
            <w:pPr>
              <w:jc w:val="center"/>
              <w:rPr>
                <w:b/>
                <w:bCs/>
                <w:sz w:val="22"/>
                <w:lang w:eastAsia="sk-SK"/>
              </w:rPr>
            </w:pPr>
            <w:r w:rsidRPr="002732B1">
              <w:rPr>
                <w:b/>
                <w:bCs/>
                <w:sz w:val="22"/>
                <w:lang w:eastAsia="sk-SK"/>
              </w:rPr>
              <w:t>Vplyv na rozpočet verejnej správy</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8595DFC" w14:textId="77777777" w:rsidR="00D777B9" w:rsidRPr="002732B1" w:rsidRDefault="00D777B9" w:rsidP="00D777B9">
            <w:pPr>
              <w:jc w:val="center"/>
              <w:rPr>
                <w:b/>
                <w:bCs/>
                <w:sz w:val="22"/>
                <w:lang w:eastAsia="sk-SK"/>
              </w:rPr>
            </w:pPr>
            <w:r w:rsidRPr="002732B1">
              <w:rPr>
                <w:b/>
                <w:bCs/>
                <w:sz w:val="22"/>
                <w:lang w:eastAsia="sk-SK"/>
              </w:rPr>
              <w:t>poznámka</w:t>
            </w:r>
          </w:p>
        </w:tc>
      </w:tr>
      <w:tr w:rsidR="00D777B9" w:rsidRPr="002732B1" w14:paraId="2509B5C6" w14:textId="77777777" w:rsidTr="00D777B9">
        <w:trPr>
          <w:cantSplit/>
          <w:trHeight w:val="255"/>
        </w:trPr>
        <w:tc>
          <w:tcPr>
            <w:tcW w:w="6965" w:type="dxa"/>
            <w:vMerge/>
            <w:tcBorders>
              <w:top w:val="single" w:sz="4" w:space="0" w:color="auto"/>
              <w:left w:val="single" w:sz="4" w:space="0" w:color="auto"/>
              <w:bottom w:val="single" w:sz="4" w:space="0" w:color="000000"/>
              <w:right w:val="single" w:sz="4" w:space="0" w:color="auto"/>
            </w:tcBorders>
            <w:vAlign w:val="center"/>
          </w:tcPr>
          <w:p w14:paraId="3B0CF0B9" w14:textId="77777777" w:rsidR="00D777B9" w:rsidRPr="002732B1" w:rsidRDefault="00D777B9" w:rsidP="00D777B9">
            <w:pPr>
              <w:rPr>
                <w:b/>
                <w:bCs/>
                <w:color w:val="FFFFFF"/>
                <w:sz w:val="22"/>
                <w:lang w:eastAsia="sk-SK"/>
              </w:rPr>
            </w:pPr>
          </w:p>
        </w:tc>
        <w:tc>
          <w:tcPr>
            <w:tcW w:w="1252" w:type="dxa"/>
            <w:tcBorders>
              <w:top w:val="nil"/>
              <w:left w:val="nil"/>
              <w:bottom w:val="single" w:sz="4" w:space="0" w:color="auto"/>
              <w:right w:val="single" w:sz="4" w:space="0" w:color="auto"/>
            </w:tcBorders>
            <w:shd w:val="clear" w:color="auto" w:fill="BFBFBF" w:themeFill="background1" w:themeFillShade="BF"/>
            <w:vAlign w:val="center"/>
          </w:tcPr>
          <w:p w14:paraId="7A7BBF72" w14:textId="77777777" w:rsidR="00D777B9" w:rsidRPr="002732B1" w:rsidRDefault="00D777B9" w:rsidP="002732B1">
            <w:pPr>
              <w:spacing w:after="200"/>
              <w:jc w:val="center"/>
              <w:rPr>
                <w:b/>
                <w:bCs/>
                <w:sz w:val="22"/>
                <w:lang w:eastAsia="sk-SK"/>
              </w:rPr>
            </w:pPr>
            <w:r w:rsidRPr="002732B1">
              <w:rPr>
                <w:b/>
                <w:bCs/>
                <w:sz w:val="22"/>
                <w:lang w:eastAsia="sk-SK"/>
              </w:rPr>
              <w:t>2021</w:t>
            </w:r>
          </w:p>
        </w:tc>
        <w:tc>
          <w:tcPr>
            <w:tcW w:w="1294" w:type="dxa"/>
            <w:tcBorders>
              <w:top w:val="nil"/>
              <w:left w:val="nil"/>
              <w:bottom w:val="single" w:sz="4" w:space="0" w:color="auto"/>
              <w:right w:val="single" w:sz="4" w:space="0" w:color="auto"/>
            </w:tcBorders>
            <w:shd w:val="clear" w:color="auto" w:fill="BFBFBF" w:themeFill="background1" w:themeFillShade="BF"/>
            <w:vAlign w:val="center"/>
          </w:tcPr>
          <w:p w14:paraId="786C7B3C" w14:textId="77777777" w:rsidR="00D777B9" w:rsidRPr="002732B1" w:rsidRDefault="00D777B9" w:rsidP="002732B1">
            <w:pPr>
              <w:spacing w:after="200"/>
              <w:jc w:val="center"/>
              <w:rPr>
                <w:b/>
                <w:bCs/>
                <w:sz w:val="22"/>
                <w:lang w:eastAsia="sk-SK"/>
              </w:rPr>
            </w:pPr>
            <w:r w:rsidRPr="002732B1">
              <w:rPr>
                <w:b/>
                <w:bCs/>
                <w:sz w:val="22"/>
                <w:lang w:eastAsia="sk-SK"/>
              </w:rPr>
              <w:t>2022</w:t>
            </w:r>
          </w:p>
        </w:tc>
        <w:tc>
          <w:tcPr>
            <w:tcW w:w="1683" w:type="dxa"/>
            <w:tcBorders>
              <w:top w:val="nil"/>
              <w:left w:val="nil"/>
              <w:bottom w:val="single" w:sz="4" w:space="0" w:color="auto"/>
              <w:right w:val="single" w:sz="4" w:space="0" w:color="auto"/>
            </w:tcBorders>
            <w:shd w:val="clear" w:color="auto" w:fill="BFBFBF" w:themeFill="background1" w:themeFillShade="BF"/>
            <w:vAlign w:val="center"/>
          </w:tcPr>
          <w:p w14:paraId="74C0B2B1" w14:textId="77777777" w:rsidR="00D777B9" w:rsidRPr="002732B1" w:rsidRDefault="00D777B9" w:rsidP="002732B1">
            <w:pPr>
              <w:spacing w:after="200"/>
              <w:jc w:val="center"/>
              <w:rPr>
                <w:b/>
                <w:bCs/>
                <w:sz w:val="22"/>
                <w:lang w:eastAsia="sk-SK"/>
              </w:rPr>
            </w:pPr>
            <w:r w:rsidRPr="002732B1">
              <w:rPr>
                <w:b/>
                <w:bCs/>
                <w:sz w:val="22"/>
                <w:lang w:eastAsia="sk-SK"/>
              </w:rPr>
              <w:t>2023</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14:paraId="1F9420EC" w14:textId="77777777" w:rsidR="00D777B9" w:rsidRPr="002732B1" w:rsidRDefault="00D777B9" w:rsidP="002732B1">
            <w:pPr>
              <w:spacing w:after="200"/>
              <w:jc w:val="center"/>
              <w:rPr>
                <w:b/>
                <w:bCs/>
                <w:sz w:val="22"/>
                <w:lang w:eastAsia="sk-SK"/>
              </w:rPr>
            </w:pPr>
            <w:r w:rsidRPr="002732B1">
              <w:rPr>
                <w:b/>
                <w:bCs/>
                <w:sz w:val="22"/>
                <w:lang w:eastAsia="sk-SK"/>
              </w:rPr>
              <w:t>2024</w:t>
            </w:r>
          </w:p>
        </w:tc>
        <w:tc>
          <w:tcPr>
            <w:tcW w:w="1559" w:type="dxa"/>
            <w:vMerge/>
            <w:tcBorders>
              <w:top w:val="single" w:sz="4" w:space="0" w:color="auto"/>
              <w:left w:val="single" w:sz="4" w:space="0" w:color="auto"/>
              <w:bottom w:val="single" w:sz="4" w:space="0" w:color="auto"/>
              <w:right w:val="single" w:sz="4" w:space="0" w:color="auto"/>
            </w:tcBorders>
            <w:vAlign w:val="center"/>
          </w:tcPr>
          <w:p w14:paraId="10BFB183" w14:textId="77777777" w:rsidR="00D777B9" w:rsidRPr="002732B1" w:rsidRDefault="00D777B9" w:rsidP="00D777B9">
            <w:pPr>
              <w:rPr>
                <w:b/>
                <w:bCs/>
                <w:color w:val="FFFFFF"/>
                <w:sz w:val="22"/>
                <w:lang w:eastAsia="sk-SK"/>
              </w:rPr>
            </w:pPr>
          </w:p>
        </w:tc>
      </w:tr>
      <w:tr w:rsidR="00D777B9" w:rsidRPr="002732B1" w14:paraId="3E7740C2" w14:textId="77777777" w:rsidTr="00D777B9">
        <w:trPr>
          <w:trHeight w:val="255"/>
        </w:trPr>
        <w:tc>
          <w:tcPr>
            <w:tcW w:w="6965" w:type="dxa"/>
            <w:tcBorders>
              <w:top w:val="nil"/>
              <w:left w:val="single" w:sz="4" w:space="0" w:color="auto"/>
              <w:bottom w:val="single" w:sz="4" w:space="0" w:color="auto"/>
              <w:right w:val="single" w:sz="4" w:space="0" w:color="auto"/>
            </w:tcBorders>
          </w:tcPr>
          <w:p w14:paraId="008F35D7" w14:textId="77777777" w:rsidR="00D777B9" w:rsidRPr="002732B1" w:rsidRDefault="00D777B9" w:rsidP="00D777B9">
            <w:pPr>
              <w:rPr>
                <w:b/>
                <w:bCs/>
                <w:sz w:val="22"/>
                <w:lang w:eastAsia="sk-SK"/>
              </w:rPr>
            </w:pPr>
            <w:r w:rsidRPr="002732B1">
              <w:rPr>
                <w:b/>
                <w:bCs/>
                <w:sz w:val="22"/>
                <w:lang w:eastAsia="sk-SK"/>
              </w:rPr>
              <w:t>Bežné výdavky (600)</w:t>
            </w:r>
          </w:p>
        </w:tc>
        <w:tc>
          <w:tcPr>
            <w:tcW w:w="1252" w:type="dxa"/>
            <w:tcBorders>
              <w:top w:val="nil"/>
              <w:left w:val="nil"/>
              <w:bottom w:val="single" w:sz="4" w:space="0" w:color="auto"/>
              <w:right w:val="single" w:sz="4" w:space="0" w:color="auto"/>
            </w:tcBorders>
          </w:tcPr>
          <w:p w14:paraId="11112278" w14:textId="77777777" w:rsidR="00D777B9" w:rsidRPr="002732B1" w:rsidRDefault="00D777B9" w:rsidP="002732B1">
            <w:pPr>
              <w:spacing w:after="200"/>
              <w:rPr>
                <w:sz w:val="22"/>
              </w:rPr>
            </w:pPr>
            <w:r w:rsidRPr="002732B1">
              <w:rPr>
                <w:sz w:val="22"/>
              </w:rPr>
              <w:t>0</w:t>
            </w:r>
          </w:p>
        </w:tc>
        <w:tc>
          <w:tcPr>
            <w:tcW w:w="1294" w:type="dxa"/>
            <w:tcBorders>
              <w:top w:val="nil"/>
              <w:left w:val="nil"/>
              <w:bottom w:val="single" w:sz="4" w:space="0" w:color="auto"/>
              <w:right w:val="single" w:sz="4" w:space="0" w:color="auto"/>
            </w:tcBorders>
          </w:tcPr>
          <w:p w14:paraId="59641342" w14:textId="77777777" w:rsidR="00D777B9" w:rsidRPr="002732B1" w:rsidRDefault="00D777B9" w:rsidP="002732B1">
            <w:pPr>
              <w:spacing w:after="200"/>
              <w:jc w:val="right"/>
              <w:rPr>
                <w:sz w:val="22"/>
              </w:rPr>
            </w:pPr>
            <w:r w:rsidRPr="002732B1">
              <w:rPr>
                <w:sz w:val="22"/>
              </w:rPr>
              <w:t>0</w:t>
            </w:r>
          </w:p>
        </w:tc>
        <w:tc>
          <w:tcPr>
            <w:tcW w:w="1683" w:type="dxa"/>
            <w:tcBorders>
              <w:top w:val="nil"/>
              <w:left w:val="nil"/>
              <w:bottom w:val="single" w:sz="4" w:space="0" w:color="auto"/>
              <w:right w:val="single" w:sz="4" w:space="0" w:color="auto"/>
            </w:tcBorders>
          </w:tcPr>
          <w:p w14:paraId="6F43C31F" w14:textId="77777777" w:rsidR="00D777B9" w:rsidRPr="002732B1" w:rsidRDefault="00D777B9" w:rsidP="002732B1">
            <w:pPr>
              <w:spacing w:after="200"/>
              <w:jc w:val="right"/>
              <w:rPr>
                <w:sz w:val="22"/>
              </w:rPr>
            </w:pPr>
            <w:r w:rsidRPr="002732B1">
              <w:rPr>
                <w:sz w:val="22"/>
              </w:rPr>
              <w:t xml:space="preserve">129 552,00 </w:t>
            </w:r>
          </w:p>
        </w:tc>
        <w:tc>
          <w:tcPr>
            <w:tcW w:w="1701" w:type="dxa"/>
            <w:tcBorders>
              <w:top w:val="nil"/>
              <w:left w:val="nil"/>
              <w:bottom w:val="single" w:sz="4" w:space="0" w:color="auto"/>
              <w:right w:val="single" w:sz="4" w:space="0" w:color="auto"/>
            </w:tcBorders>
          </w:tcPr>
          <w:p w14:paraId="15A17340" w14:textId="77777777" w:rsidR="00D777B9" w:rsidRPr="002732B1" w:rsidRDefault="00D777B9" w:rsidP="002732B1">
            <w:pPr>
              <w:spacing w:after="200"/>
              <w:jc w:val="right"/>
              <w:rPr>
                <w:sz w:val="22"/>
              </w:rPr>
            </w:pPr>
            <w:r w:rsidRPr="002732B1">
              <w:rPr>
                <w:sz w:val="22"/>
              </w:rPr>
              <w:t>129 552,00</w:t>
            </w:r>
          </w:p>
        </w:tc>
        <w:tc>
          <w:tcPr>
            <w:tcW w:w="1559" w:type="dxa"/>
            <w:tcBorders>
              <w:top w:val="nil"/>
              <w:left w:val="nil"/>
              <w:bottom w:val="single" w:sz="4" w:space="0" w:color="auto"/>
              <w:right w:val="single" w:sz="4" w:space="0" w:color="auto"/>
            </w:tcBorders>
            <w:noWrap/>
            <w:vAlign w:val="bottom"/>
          </w:tcPr>
          <w:p w14:paraId="6DCF22CF" w14:textId="77777777" w:rsidR="00D777B9" w:rsidRPr="002732B1" w:rsidRDefault="00D777B9" w:rsidP="00D777B9">
            <w:pPr>
              <w:rPr>
                <w:sz w:val="22"/>
                <w:lang w:eastAsia="sk-SK"/>
              </w:rPr>
            </w:pPr>
            <w:r w:rsidRPr="002732B1">
              <w:rPr>
                <w:sz w:val="22"/>
                <w:lang w:eastAsia="sk-SK"/>
              </w:rPr>
              <w:t> </w:t>
            </w:r>
          </w:p>
        </w:tc>
      </w:tr>
      <w:tr w:rsidR="00D777B9" w:rsidRPr="002732B1" w14:paraId="1A0BB35B" w14:textId="77777777" w:rsidTr="00D777B9">
        <w:trPr>
          <w:trHeight w:val="255"/>
        </w:trPr>
        <w:tc>
          <w:tcPr>
            <w:tcW w:w="6965" w:type="dxa"/>
            <w:tcBorders>
              <w:top w:val="nil"/>
              <w:left w:val="single" w:sz="4" w:space="0" w:color="auto"/>
              <w:bottom w:val="single" w:sz="4" w:space="0" w:color="auto"/>
              <w:right w:val="single" w:sz="4" w:space="0" w:color="auto"/>
            </w:tcBorders>
          </w:tcPr>
          <w:p w14:paraId="7FFC1921" w14:textId="77777777" w:rsidR="00D777B9" w:rsidRPr="002732B1" w:rsidRDefault="00D777B9" w:rsidP="00D777B9">
            <w:pPr>
              <w:rPr>
                <w:sz w:val="22"/>
                <w:lang w:eastAsia="sk-SK"/>
              </w:rPr>
            </w:pPr>
            <w:r w:rsidRPr="002732B1">
              <w:rPr>
                <w:sz w:val="22"/>
                <w:lang w:eastAsia="sk-SK"/>
              </w:rPr>
              <w:t xml:space="preserve">  Mzdy, platy, služobné príjmy a ostatné osobné vyrovnania (610)</w:t>
            </w:r>
          </w:p>
        </w:tc>
        <w:tc>
          <w:tcPr>
            <w:tcW w:w="1252" w:type="dxa"/>
            <w:tcBorders>
              <w:top w:val="nil"/>
              <w:left w:val="nil"/>
              <w:bottom w:val="single" w:sz="4" w:space="0" w:color="auto"/>
              <w:right w:val="single" w:sz="4" w:space="0" w:color="auto"/>
            </w:tcBorders>
          </w:tcPr>
          <w:p w14:paraId="055D1235" w14:textId="77777777" w:rsidR="00D777B9" w:rsidRPr="002732B1" w:rsidRDefault="00D777B9" w:rsidP="002732B1">
            <w:pPr>
              <w:spacing w:after="200"/>
              <w:rPr>
                <w:sz w:val="22"/>
              </w:rPr>
            </w:pPr>
            <w:r w:rsidRPr="002732B1">
              <w:rPr>
                <w:sz w:val="22"/>
              </w:rPr>
              <w:t>0</w:t>
            </w:r>
          </w:p>
        </w:tc>
        <w:tc>
          <w:tcPr>
            <w:tcW w:w="1294" w:type="dxa"/>
            <w:tcBorders>
              <w:top w:val="nil"/>
              <w:left w:val="nil"/>
              <w:bottom w:val="single" w:sz="4" w:space="0" w:color="auto"/>
              <w:right w:val="single" w:sz="4" w:space="0" w:color="auto"/>
            </w:tcBorders>
            <w:vAlign w:val="bottom"/>
          </w:tcPr>
          <w:p w14:paraId="5E90419C" w14:textId="77777777" w:rsidR="00D777B9" w:rsidRPr="002732B1" w:rsidRDefault="00D777B9" w:rsidP="002732B1">
            <w:pPr>
              <w:spacing w:after="200"/>
              <w:jc w:val="right"/>
              <w:rPr>
                <w:sz w:val="22"/>
              </w:rPr>
            </w:pPr>
            <w:r w:rsidRPr="002732B1">
              <w:rPr>
                <w:color w:val="000000"/>
                <w:sz w:val="22"/>
              </w:rPr>
              <w:t>0</w:t>
            </w:r>
          </w:p>
        </w:tc>
        <w:tc>
          <w:tcPr>
            <w:tcW w:w="1683" w:type="dxa"/>
            <w:tcBorders>
              <w:top w:val="nil"/>
              <w:left w:val="nil"/>
              <w:bottom w:val="single" w:sz="4" w:space="0" w:color="auto"/>
              <w:right w:val="single" w:sz="4" w:space="0" w:color="auto"/>
            </w:tcBorders>
            <w:vAlign w:val="bottom"/>
          </w:tcPr>
          <w:p w14:paraId="5F31ED04" w14:textId="77777777" w:rsidR="00D777B9" w:rsidRPr="002732B1" w:rsidRDefault="00D777B9" w:rsidP="002732B1">
            <w:pPr>
              <w:spacing w:after="200"/>
              <w:jc w:val="right"/>
              <w:rPr>
                <w:sz w:val="22"/>
              </w:rPr>
            </w:pPr>
            <w:r w:rsidRPr="002732B1">
              <w:rPr>
                <w:color w:val="000000"/>
                <w:sz w:val="22"/>
              </w:rPr>
              <w:t>96 000,00</w:t>
            </w:r>
          </w:p>
        </w:tc>
        <w:tc>
          <w:tcPr>
            <w:tcW w:w="1701" w:type="dxa"/>
            <w:tcBorders>
              <w:top w:val="nil"/>
              <w:left w:val="nil"/>
              <w:bottom w:val="single" w:sz="4" w:space="0" w:color="auto"/>
              <w:right w:val="single" w:sz="4" w:space="0" w:color="auto"/>
            </w:tcBorders>
            <w:vAlign w:val="bottom"/>
          </w:tcPr>
          <w:p w14:paraId="195E8926" w14:textId="77777777" w:rsidR="00D777B9" w:rsidRPr="002732B1" w:rsidRDefault="00D777B9" w:rsidP="002732B1">
            <w:pPr>
              <w:spacing w:after="200"/>
              <w:jc w:val="right"/>
              <w:rPr>
                <w:sz w:val="22"/>
              </w:rPr>
            </w:pPr>
            <w:r w:rsidRPr="002732B1">
              <w:rPr>
                <w:color w:val="000000"/>
                <w:sz w:val="22"/>
              </w:rPr>
              <w:t>96 000,00</w:t>
            </w:r>
          </w:p>
        </w:tc>
        <w:tc>
          <w:tcPr>
            <w:tcW w:w="1559" w:type="dxa"/>
            <w:tcBorders>
              <w:top w:val="nil"/>
              <w:left w:val="nil"/>
              <w:bottom w:val="single" w:sz="4" w:space="0" w:color="auto"/>
              <w:right w:val="single" w:sz="4" w:space="0" w:color="auto"/>
            </w:tcBorders>
            <w:noWrap/>
            <w:vAlign w:val="bottom"/>
          </w:tcPr>
          <w:p w14:paraId="5AC03059" w14:textId="77777777" w:rsidR="00D777B9" w:rsidRPr="002732B1" w:rsidRDefault="00D777B9" w:rsidP="00D777B9">
            <w:pPr>
              <w:rPr>
                <w:sz w:val="22"/>
                <w:lang w:eastAsia="sk-SK"/>
              </w:rPr>
            </w:pPr>
            <w:r w:rsidRPr="002732B1">
              <w:rPr>
                <w:sz w:val="22"/>
                <w:lang w:eastAsia="sk-SK"/>
              </w:rPr>
              <w:t> </w:t>
            </w:r>
          </w:p>
        </w:tc>
      </w:tr>
      <w:tr w:rsidR="00D777B9" w:rsidRPr="002732B1" w14:paraId="2D16FA8C" w14:textId="77777777" w:rsidTr="00D777B9">
        <w:trPr>
          <w:trHeight w:val="255"/>
        </w:trPr>
        <w:tc>
          <w:tcPr>
            <w:tcW w:w="6965" w:type="dxa"/>
            <w:tcBorders>
              <w:top w:val="nil"/>
              <w:left w:val="single" w:sz="4" w:space="0" w:color="auto"/>
              <w:bottom w:val="single" w:sz="4" w:space="0" w:color="auto"/>
              <w:right w:val="single" w:sz="4" w:space="0" w:color="auto"/>
            </w:tcBorders>
          </w:tcPr>
          <w:p w14:paraId="4DEC688C" w14:textId="77777777" w:rsidR="00D777B9" w:rsidRPr="002732B1" w:rsidRDefault="00D777B9" w:rsidP="00D777B9">
            <w:pPr>
              <w:rPr>
                <w:sz w:val="22"/>
                <w:vertAlign w:val="superscript"/>
                <w:lang w:eastAsia="sk-SK"/>
              </w:rPr>
            </w:pPr>
            <w:r w:rsidRPr="002732B1">
              <w:rPr>
                <w:sz w:val="22"/>
                <w:lang w:eastAsia="sk-SK"/>
              </w:rPr>
              <w:t xml:space="preserve">  Poistné a príspevok do poisťovní (620)</w:t>
            </w:r>
          </w:p>
        </w:tc>
        <w:tc>
          <w:tcPr>
            <w:tcW w:w="1252" w:type="dxa"/>
            <w:tcBorders>
              <w:top w:val="nil"/>
              <w:left w:val="nil"/>
              <w:bottom w:val="single" w:sz="4" w:space="0" w:color="auto"/>
              <w:right w:val="single" w:sz="4" w:space="0" w:color="auto"/>
            </w:tcBorders>
          </w:tcPr>
          <w:p w14:paraId="0173AF6F" w14:textId="77777777" w:rsidR="00D777B9" w:rsidRPr="002732B1" w:rsidRDefault="00D777B9" w:rsidP="002732B1">
            <w:pPr>
              <w:spacing w:after="200"/>
              <w:rPr>
                <w:sz w:val="22"/>
              </w:rPr>
            </w:pPr>
            <w:r w:rsidRPr="002732B1">
              <w:rPr>
                <w:sz w:val="22"/>
              </w:rPr>
              <w:t>0</w:t>
            </w:r>
          </w:p>
        </w:tc>
        <w:tc>
          <w:tcPr>
            <w:tcW w:w="1294" w:type="dxa"/>
            <w:tcBorders>
              <w:top w:val="nil"/>
              <w:left w:val="nil"/>
              <w:bottom w:val="single" w:sz="4" w:space="0" w:color="auto"/>
              <w:right w:val="single" w:sz="4" w:space="0" w:color="auto"/>
            </w:tcBorders>
            <w:vAlign w:val="bottom"/>
          </w:tcPr>
          <w:p w14:paraId="4E1DF05E" w14:textId="77777777" w:rsidR="00D777B9" w:rsidRPr="002732B1" w:rsidRDefault="00D777B9" w:rsidP="002732B1">
            <w:pPr>
              <w:spacing w:after="200"/>
              <w:jc w:val="right"/>
              <w:rPr>
                <w:sz w:val="22"/>
              </w:rPr>
            </w:pPr>
            <w:r w:rsidRPr="002732B1">
              <w:rPr>
                <w:color w:val="000000"/>
                <w:sz w:val="22"/>
              </w:rPr>
              <w:t>0</w:t>
            </w:r>
          </w:p>
        </w:tc>
        <w:tc>
          <w:tcPr>
            <w:tcW w:w="1683" w:type="dxa"/>
            <w:tcBorders>
              <w:top w:val="nil"/>
              <w:left w:val="nil"/>
              <w:bottom w:val="single" w:sz="4" w:space="0" w:color="auto"/>
              <w:right w:val="single" w:sz="4" w:space="0" w:color="auto"/>
            </w:tcBorders>
            <w:vAlign w:val="bottom"/>
          </w:tcPr>
          <w:p w14:paraId="6D9B2515" w14:textId="77777777" w:rsidR="00D777B9" w:rsidRPr="002732B1" w:rsidRDefault="00D777B9" w:rsidP="002732B1">
            <w:pPr>
              <w:spacing w:after="200"/>
              <w:jc w:val="right"/>
              <w:rPr>
                <w:sz w:val="22"/>
              </w:rPr>
            </w:pPr>
            <w:r w:rsidRPr="002732B1">
              <w:rPr>
                <w:color w:val="000000"/>
                <w:sz w:val="22"/>
              </w:rPr>
              <w:t>33 552,00</w:t>
            </w:r>
          </w:p>
        </w:tc>
        <w:tc>
          <w:tcPr>
            <w:tcW w:w="1701" w:type="dxa"/>
            <w:tcBorders>
              <w:top w:val="nil"/>
              <w:left w:val="nil"/>
              <w:bottom w:val="single" w:sz="4" w:space="0" w:color="auto"/>
              <w:right w:val="single" w:sz="4" w:space="0" w:color="auto"/>
            </w:tcBorders>
            <w:vAlign w:val="bottom"/>
          </w:tcPr>
          <w:p w14:paraId="73EA8140" w14:textId="77777777" w:rsidR="00D777B9" w:rsidRPr="002732B1" w:rsidRDefault="00D777B9" w:rsidP="002732B1">
            <w:pPr>
              <w:spacing w:after="200"/>
              <w:jc w:val="right"/>
              <w:rPr>
                <w:sz w:val="22"/>
              </w:rPr>
            </w:pPr>
            <w:r w:rsidRPr="002732B1">
              <w:rPr>
                <w:color w:val="000000"/>
                <w:sz w:val="22"/>
              </w:rPr>
              <w:t>33 552,00</w:t>
            </w:r>
          </w:p>
        </w:tc>
        <w:tc>
          <w:tcPr>
            <w:tcW w:w="1559" w:type="dxa"/>
            <w:tcBorders>
              <w:top w:val="nil"/>
              <w:left w:val="nil"/>
              <w:bottom w:val="single" w:sz="4" w:space="0" w:color="auto"/>
              <w:right w:val="single" w:sz="4" w:space="0" w:color="auto"/>
            </w:tcBorders>
            <w:noWrap/>
            <w:vAlign w:val="bottom"/>
          </w:tcPr>
          <w:p w14:paraId="066D6060" w14:textId="77777777" w:rsidR="00D777B9" w:rsidRPr="002732B1" w:rsidRDefault="00D777B9" w:rsidP="00D777B9">
            <w:pPr>
              <w:rPr>
                <w:sz w:val="22"/>
                <w:lang w:eastAsia="sk-SK"/>
              </w:rPr>
            </w:pPr>
            <w:r w:rsidRPr="002732B1">
              <w:rPr>
                <w:sz w:val="22"/>
                <w:lang w:eastAsia="sk-SK"/>
              </w:rPr>
              <w:t> </w:t>
            </w:r>
          </w:p>
        </w:tc>
      </w:tr>
      <w:tr w:rsidR="00D777B9" w:rsidRPr="002732B1" w14:paraId="2545FC7C" w14:textId="77777777" w:rsidTr="00D777B9">
        <w:trPr>
          <w:trHeight w:val="255"/>
        </w:trPr>
        <w:tc>
          <w:tcPr>
            <w:tcW w:w="6965" w:type="dxa"/>
            <w:tcBorders>
              <w:top w:val="nil"/>
              <w:left w:val="single" w:sz="4" w:space="0" w:color="auto"/>
              <w:bottom w:val="single" w:sz="4" w:space="0" w:color="auto"/>
              <w:right w:val="single" w:sz="4" w:space="0" w:color="auto"/>
            </w:tcBorders>
          </w:tcPr>
          <w:p w14:paraId="6596A51F" w14:textId="77777777" w:rsidR="00D777B9" w:rsidRPr="002732B1" w:rsidRDefault="00D777B9" w:rsidP="00D777B9">
            <w:pPr>
              <w:rPr>
                <w:sz w:val="22"/>
                <w:vertAlign w:val="superscript"/>
                <w:lang w:eastAsia="sk-SK"/>
              </w:rPr>
            </w:pPr>
            <w:r w:rsidRPr="002732B1">
              <w:rPr>
                <w:sz w:val="22"/>
                <w:lang w:eastAsia="sk-SK"/>
              </w:rPr>
              <w:t xml:space="preserve">  Tovary a služby (630)</w:t>
            </w:r>
            <w:r w:rsidRPr="002732B1">
              <w:rPr>
                <w:sz w:val="22"/>
                <w:vertAlign w:val="superscript"/>
                <w:lang w:eastAsia="sk-SK"/>
              </w:rPr>
              <w:t>2</w:t>
            </w:r>
          </w:p>
        </w:tc>
        <w:tc>
          <w:tcPr>
            <w:tcW w:w="1252" w:type="dxa"/>
            <w:tcBorders>
              <w:top w:val="nil"/>
              <w:left w:val="nil"/>
              <w:bottom w:val="single" w:sz="4" w:space="0" w:color="auto"/>
              <w:right w:val="single" w:sz="4" w:space="0" w:color="auto"/>
            </w:tcBorders>
          </w:tcPr>
          <w:p w14:paraId="5F49956A" w14:textId="77777777" w:rsidR="00D777B9" w:rsidRPr="002732B1" w:rsidRDefault="00D777B9" w:rsidP="002732B1">
            <w:pPr>
              <w:spacing w:after="200"/>
              <w:rPr>
                <w:sz w:val="22"/>
              </w:rPr>
            </w:pPr>
            <w:r w:rsidRPr="002732B1">
              <w:rPr>
                <w:sz w:val="22"/>
              </w:rPr>
              <w:t>0</w:t>
            </w:r>
          </w:p>
        </w:tc>
        <w:tc>
          <w:tcPr>
            <w:tcW w:w="1294" w:type="dxa"/>
            <w:tcBorders>
              <w:top w:val="nil"/>
              <w:left w:val="nil"/>
              <w:bottom w:val="single" w:sz="4" w:space="0" w:color="auto"/>
              <w:right w:val="single" w:sz="4" w:space="0" w:color="auto"/>
            </w:tcBorders>
            <w:vAlign w:val="bottom"/>
          </w:tcPr>
          <w:p w14:paraId="24F5E6B7" w14:textId="77777777" w:rsidR="00D777B9" w:rsidRPr="002732B1" w:rsidRDefault="00D777B9" w:rsidP="002732B1">
            <w:pPr>
              <w:spacing w:after="200"/>
              <w:jc w:val="right"/>
              <w:rPr>
                <w:sz w:val="22"/>
              </w:rPr>
            </w:pPr>
            <w:r w:rsidRPr="002732B1">
              <w:rPr>
                <w:color w:val="000000"/>
                <w:sz w:val="22"/>
              </w:rPr>
              <w:t>0</w:t>
            </w:r>
          </w:p>
        </w:tc>
        <w:tc>
          <w:tcPr>
            <w:tcW w:w="1683" w:type="dxa"/>
            <w:tcBorders>
              <w:top w:val="nil"/>
              <w:left w:val="nil"/>
              <w:bottom w:val="single" w:sz="4" w:space="0" w:color="auto"/>
              <w:right w:val="single" w:sz="4" w:space="0" w:color="auto"/>
            </w:tcBorders>
            <w:vAlign w:val="bottom"/>
          </w:tcPr>
          <w:p w14:paraId="08A0C0D8" w14:textId="77777777" w:rsidR="00D777B9" w:rsidRPr="002732B1" w:rsidRDefault="00D777B9" w:rsidP="002732B1">
            <w:pPr>
              <w:spacing w:after="200"/>
              <w:jc w:val="right"/>
              <w:rPr>
                <w:sz w:val="22"/>
              </w:rPr>
            </w:pPr>
            <w:r w:rsidRPr="002732B1">
              <w:rPr>
                <w:color w:val="000000"/>
                <w:sz w:val="22"/>
              </w:rPr>
              <w:t>0</w:t>
            </w:r>
          </w:p>
        </w:tc>
        <w:tc>
          <w:tcPr>
            <w:tcW w:w="1701" w:type="dxa"/>
            <w:tcBorders>
              <w:top w:val="nil"/>
              <w:left w:val="nil"/>
              <w:bottom w:val="single" w:sz="4" w:space="0" w:color="auto"/>
              <w:right w:val="single" w:sz="4" w:space="0" w:color="auto"/>
            </w:tcBorders>
            <w:vAlign w:val="bottom"/>
          </w:tcPr>
          <w:p w14:paraId="1A12C117" w14:textId="77777777" w:rsidR="00D777B9" w:rsidRPr="002732B1" w:rsidRDefault="00D777B9" w:rsidP="002732B1">
            <w:pPr>
              <w:spacing w:after="200"/>
              <w:jc w:val="right"/>
              <w:rPr>
                <w:sz w:val="22"/>
              </w:rPr>
            </w:pPr>
            <w:r w:rsidRPr="002732B1">
              <w:rPr>
                <w:color w:val="000000"/>
                <w:sz w:val="22"/>
              </w:rPr>
              <w:t>0</w:t>
            </w:r>
          </w:p>
        </w:tc>
        <w:tc>
          <w:tcPr>
            <w:tcW w:w="1559" w:type="dxa"/>
            <w:tcBorders>
              <w:top w:val="nil"/>
              <w:left w:val="nil"/>
              <w:bottom w:val="single" w:sz="4" w:space="0" w:color="auto"/>
              <w:right w:val="single" w:sz="4" w:space="0" w:color="auto"/>
            </w:tcBorders>
            <w:noWrap/>
            <w:vAlign w:val="bottom"/>
          </w:tcPr>
          <w:p w14:paraId="5C863FAF" w14:textId="77777777" w:rsidR="00D777B9" w:rsidRPr="002732B1" w:rsidRDefault="00D777B9" w:rsidP="00D777B9">
            <w:pPr>
              <w:rPr>
                <w:sz w:val="22"/>
                <w:lang w:eastAsia="sk-SK"/>
              </w:rPr>
            </w:pPr>
            <w:r w:rsidRPr="002732B1">
              <w:rPr>
                <w:sz w:val="22"/>
                <w:lang w:eastAsia="sk-SK"/>
              </w:rPr>
              <w:t> </w:t>
            </w:r>
          </w:p>
        </w:tc>
      </w:tr>
      <w:tr w:rsidR="00D777B9" w:rsidRPr="002732B1" w14:paraId="6EADD0DF" w14:textId="77777777" w:rsidTr="00D777B9">
        <w:trPr>
          <w:trHeight w:val="255"/>
        </w:trPr>
        <w:tc>
          <w:tcPr>
            <w:tcW w:w="6965" w:type="dxa"/>
            <w:tcBorders>
              <w:top w:val="nil"/>
              <w:left w:val="single" w:sz="4" w:space="0" w:color="auto"/>
              <w:bottom w:val="single" w:sz="4" w:space="0" w:color="auto"/>
              <w:right w:val="single" w:sz="4" w:space="0" w:color="auto"/>
            </w:tcBorders>
          </w:tcPr>
          <w:p w14:paraId="08F3E7B5" w14:textId="77777777" w:rsidR="00D777B9" w:rsidRPr="002732B1" w:rsidRDefault="00D777B9" w:rsidP="00D777B9">
            <w:pPr>
              <w:rPr>
                <w:sz w:val="22"/>
                <w:lang w:eastAsia="sk-SK"/>
              </w:rPr>
            </w:pPr>
            <w:r w:rsidRPr="002732B1">
              <w:rPr>
                <w:sz w:val="22"/>
                <w:lang w:eastAsia="sk-SK"/>
              </w:rPr>
              <w:t xml:space="preserve">  Bežné transfery (640)</w:t>
            </w:r>
            <w:r w:rsidRPr="002732B1">
              <w:rPr>
                <w:sz w:val="22"/>
                <w:vertAlign w:val="superscript"/>
                <w:lang w:eastAsia="sk-SK"/>
              </w:rPr>
              <w:t>2</w:t>
            </w:r>
          </w:p>
        </w:tc>
        <w:tc>
          <w:tcPr>
            <w:tcW w:w="1252" w:type="dxa"/>
            <w:tcBorders>
              <w:top w:val="nil"/>
              <w:left w:val="nil"/>
              <w:bottom w:val="single" w:sz="4" w:space="0" w:color="auto"/>
              <w:right w:val="single" w:sz="4" w:space="0" w:color="auto"/>
            </w:tcBorders>
          </w:tcPr>
          <w:p w14:paraId="100CC93F" w14:textId="77777777" w:rsidR="00D777B9" w:rsidRPr="002732B1" w:rsidRDefault="00D777B9" w:rsidP="002732B1">
            <w:pPr>
              <w:spacing w:after="200"/>
              <w:rPr>
                <w:sz w:val="22"/>
              </w:rPr>
            </w:pPr>
            <w:r w:rsidRPr="002732B1">
              <w:rPr>
                <w:sz w:val="22"/>
              </w:rPr>
              <w:t>0</w:t>
            </w:r>
          </w:p>
        </w:tc>
        <w:tc>
          <w:tcPr>
            <w:tcW w:w="1294" w:type="dxa"/>
            <w:tcBorders>
              <w:top w:val="nil"/>
              <w:left w:val="nil"/>
              <w:bottom w:val="single" w:sz="4" w:space="0" w:color="auto"/>
              <w:right w:val="single" w:sz="4" w:space="0" w:color="auto"/>
            </w:tcBorders>
            <w:vAlign w:val="bottom"/>
          </w:tcPr>
          <w:p w14:paraId="55913C18" w14:textId="77777777" w:rsidR="00D777B9" w:rsidRPr="002732B1" w:rsidRDefault="00D777B9" w:rsidP="002732B1">
            <w:pPr>
              <w:spacing w:after="200"/>
              <w:jc w:val="right"/>
              <w:rPr>
                <w:sz w:val="22"/>
              </w:rPr>
            </w:pPr>
            <w:r w:rsidRPr="002732B1">
              <w:rPr>
                <w:color w:val="000000"/>
                <w:sz w:val="22"/>
              </w:rPr>
              <w:t>0</w:t>
            </w:r>
          </w:p>
        </w:tc>
        <w:tc>
          <w:tcPr>
            <w:tcW w:w="1683" w:type="dxa"/>
            <w:tcBorders>
              <w:top w:val="nil"/>
              <w:left w:val="nil"/>
              <w:bottom w:val="single" w:sz="4" w:space="0" w:color="auto"/>
              <w:right w:val="single" w:sz="4" w:space="0" w:color="auto"/>
            </w:tcBorders>
            <w:vAlign w:val="bottom"/>
          </w:tcPr>
          <w:p w14:paraId="3FBB4620" w14:textId="77777777" w:rsidR="00D777B9" w:rsidRPr="002732B1" w:rsidRDefault="00D777B9" w:rsidP="002732B1">
            <w:pPr>
              <w:spacing w:after="200"/>
              <w:jc w:val="right"/>
              <w:rPr>
                <w:sz w:val="22"/>
              </w:rPr>
            </w:pPr>
            <w:r w:rsidRPr="002732B1">
              <w:rPr>
                <w:color w:val="000000"/>
                <w:sz w:val="22"/>
              </w:rPr>
              <w:t>0</w:t>
            </w:r>
          </w:p>
        </w:tc>
        <w:tc>
          <w:tcPr>
            <w:tcW w:w="1701" w:type="dxa"/>
            <w:tcBorders>
              <w:top w:val="nil"/>
              <w:left w:val="nil"/>
              <w:bottom w:val="single" w:sz="4" w:space="0" w:color="auto"/>
              <w:right w:val="single" w:sz="4" w:space="0" w:color="auto"/>
            </w:tcBorders>
            <w:vAlign w:val="bottom"/>
          </w:tcPr>
          <w:p w14:paraId="0E7E1890" w14:textId="77777777" w:rsidR="00D777B9" w:rsidRPr="002732B1" w:rsidRDefault="00D777B9" w:rsidP="002732B1">
            <w:pPr>
              <w:spacing w:after="200"/>
              <w:jc w:val="right"/>
              <w:rPr>
                <w:sz w:val="22"/>
              </w:rPr>
            </w:pPr>
            <w:r w:rsidRPr="002732B1">
              <w:rPr>
                <w:color w:val="000000"/>
                <w:sz w:val="22"/>
              </w:rPr>
              <w:t>0</w:t>
            </w:r>
          </w:p>
        </w:tc>
        <w:tc>
          <w:tcPr>
            <w:tcW w:w="1559" w:type="dxa"/>
            <w:tcBorders>
              <w:top w:val="nil"/>
              <w:left w:val="nil"/>
              <w:bottom w:val="single" w:sz="4" w:space="0" w:color="auto"/>
              <w:right w:val="single" w:sz="4" w:space="0" w:color="auto"/>
            </w:tcBorders>
            <w:noWrap/>
            <w:vAlign w:val="bottom"/>
          </w:tcPr>
          <w:p w14:paraId="1681051C" w14:textId="77777777" w:rsidR="00D777B9" w:rsidRPr="002732B1" w:rsidRDefault="00D777B9" w:rsidP="00D777B9">
            <w:pPr>
              <w:rPr>
                <w:sz w:val="22"/>
                <w:lang w:eastAsia="sk-SK"/>
              </w:rPr>
            </w:pPr>
            <w:r w:rsidRPr="002732B1">
              <w:rPr>
                <w:sz w:val="22"/>
                <w:lang w:eastAsia="sk-SK"/>
              </w:rPr>
              <w:t> </w:t>
            </w:r>
          </w:p>
        </w:tc>
      </w:tr>
      <w:tr w:rsidR="00D777B9" w:rsidRPr="002732B1" w14:paraId="11FBCE1D" w14:textId="77777777" w:rsidTr="00D777B9">
        <w:trPr>
          <w:trHeight w:val="255"/>
        </w:trPr>
        <w:tc>
          <w:tcPr>
            <w:tcW w:w="6965" w:type="dxa"/>
            <w:tcBorders>
              <w:top w:val="nil"/>
              <w:left w:val="single" w:sz="4" w:space="0" w:color="auto"/>
              <w:bottom w:val="single" w:sz="4" w:space="0" w:color="auto"/>
              <w:right w:val="single" w:sz="4" w:space="0" w:color="auto"/>
            </w:tcBorders>
            <w:vAlign w:val="center"/>
          </w:tcPr>
          <w:p w14:paraId="1D32E2B7" w14:textId="77777777" w:rsidR="00D777B9" w:rsidRPr="002732B1" w:rsidRDefault="00D777B9" w:rsidP="00D777B9">
            <w:pPr>
              <w:rPr>
                <w:sz w:val="22"/>
                <w:lang w:eastAsia="sk-SK"/>
              </w:rPr>
            </w:pPr>
            <w:r w:rsidRPr="002732B1">
              <w:rPr>
                <w:sz w:val="22"/>
                <w:lang w:eastAsia="sk-SK"/>
              </w:rPr>
              <w:t xml:space="preserve">  Splácanie úrokov a ostatné platby súvisiace s </w:t>
            </w:r>
            <w:r w:rsidRPr="002732B1">
              <w:rPr>
                <w:sz w:val="22"/>
              </w:rPr>
              <w:t xml:space="preserve"> </w:t>
            </w:r>
            <w:r w:rsidRPr="002732B1">
              <w:rPr>
                <w:sz w:val="22"/>
                <w:lang w:eastAsia="sk-SK"/>
              </w:rPr>
              <w:t>úverom, pôžičkou, návratnou finančnou výpomocou a finančným prenájmom (650)</w:t>
            </w:r>
            <w:r w:rsidRPr="002732B1">
              <w:rPr>
                <w:sz w:val="22"/>
                <w:vertAlign w:val="superscript"/>
                <w:lang w:eastAsia="sk-SK"/>
              </w:rPr>
              <w:t>2</w:t>
            </w:r>
          </w:p>
        </w:tc>
        <w:tc>
          <w:tcPr>
            <w:tcW w:w="1252" w:type="dxa"/>
            <w:tcBorders>
              <w:top w:val="nil"/>
              <w:left w:val="nil"/>
              <w:bottom w:val="single" w:sz="4" w:space="0" w:color="auto"/>
              <w:right w:val="single" w:sz="4" w:space="0" w:color="auto"/>
            </w:tcBorders>
          </w:tcPr>
          <w:p w14:paraId="443048F1" w14:textId="77777777" w:rsidR="00D777B9" w:rsidRPr="002732B1" w:rsidRDefault="00D777B9" w:rsidP="002732B1">
            <w:pPr>
              <w:spacing w:after="200"/>
              <w:jc w:val="center"/>
              <w:rPr>
                <w:sz w:val="22"/>
                <w:lang w:eastAsia="sk-SK"/>
              </w:rPr>
            </w:pPr>
          </w:p>
        </w:tc>
        <w:tc>
          <w:tcPr>
            <w:tcW w:w="1294" w:type="dxa"/>
            <w:tcBorders>
              <w:top w:val="nil"/>
              <w:left w:val="nil"/>
              <w:bottom w:val="single" w:sz="4" w:space="0" w:color="auto"/>
              <w:right w:val="single" w:sz="4" w:space="0" w:color="auto"/>
            </w:tcBorders>
          </w:tcPr>
          <w:p w14:paraId="0B6B23D0" w14:textId="77777777" w:rsidR="00D777B9" w:rsidRPr="002732B1" w:rsidRDefault="00D777B9" w:rsidP="002732B1">
            <w:pPr>
              <w:spacing w:after="200"/>
              <w:jc w:val="right"/>
              <w:rPr>
                <w:color w:val="000000"/>
                <w:sz w:val="22"/>
              </w:rPr>
            </w:pPr>
          </w:p>
        </w:tc>
        <w:tc>
          <w:tcPr>
            <w:tcW w:w="1683" w:type="dxa"/>
            <w:tcBorders>
              <w:top w:val="nil"/>
              <w:left w:val="nil"/>
              <w:bottom w:val="single" w:sz="4" w:space="0" w:color="auto"/>
              <w:right w:val="single" w:sz="4" w:space="0" w:color="auto"/>
            </w:tcBorders>
          </w:tcPr>
          <w:p w14:paraId="2849A95F" w14:textId="77777777" w:rsidR="00D777B9" w:rsidRPr="002732B1" w:rsidRDefault="00D777B9" w:rsidP="002732B1">
            <w:pPr>
              <w:spacing w:after="200"/>
              <w:jc w:val="right"/>
              <w:rPr>
                <w:color w:val="000000"/>
                <w:sz w:val="22"/>
              </w:rPr>
            </w:pPr>
          </w:p>
        </w:tc>
        <w:tc>
          <w:tcPr>
            <w:tcW w:w="1701" w:type="dxa"/>
            <w:tcBorders>
              <w:top w:val="nil"/>
              <w:left w:val="nil"/>
              <w:bottom w:val="single" w:sz="4" w:space="0" w:color="auto"/>
              <w:right w:val="single" w:sz="4" w:space="0" w:color="auto"/>
            </w:tcBorders>
          </w:tcPr>
          <w:p w14:paraId="2CF36DF1" w14:textId="77777777" w:rsidR="00D777B9" w:rsidRPr="002732B1" w:rsidRDefault="00D777B9" w:rsidP="002732B1">
            <w:pPr>
              <w:spacing w:after="200"/>
              <w:jc w:val="right"/>
              <w:rPr>
                <w:color w:val="000000"/>
                <w:sz w:val="22"/>
              </w:rPr>
            </w:pPr>
          </w:p>
        </w:tc>
        <w:tc>
          <w:tcPr>
            <w:tcW w:w="1559" w:type="dxa"/>
            <w:tcBorders>
              <w:top w:val="nil"/>
              <w:left w:val="nil"/>
              <w:bottom w:val="single" w:sz="4" w:space="0" w:color="auto"/>
              <w:right w:val="single" w:sz="4" w:space="0" w:color="auto"/>
            </w:tcBorders>
            <w:noWrap/>
            <w:vAlign w:val="bottom"/>
          </w:tcPr>
          <w:p w14:paraId="11CD7485" w14:textId="77777777" w:rsidR="00D777B9" w:rsidRPr="002732B1" w:rsidRDefault="00D777B9" w:rsidP="00D777B9">
            <w:pPr>
              <w:rPr>
                <w:sz w:val="22"/>
                <w:lang w:eastAsia="sk-SK"/>
              </w:rPr>
            </w:pPr>
          </w:p>
        </w:tc>
      </w:tr>
      <w:tr w:rsidR="00D777B9" w:rsidRPr="002732B1" w14:paraId="79ED0685" w14:textId="77777777" w:rsidTr="00D777B9">
        <w:trPr>
          <w:trHeight w:val="255"/>
        </w:trPr>
        <w:tc>
          <w:tcPr>
            <w:tcW w:w="6965" w:type="dxa"/>
            <w:tcBorders>
              <w:top w:val="nil"/>
              <w:left w:val="single" w:sz="4" w:space="0" w:color="auto"/>
              <w:bottom w:val="single" w:sz="4" w:space="0" w:color="auto"/>
              <w:right w:val="single" w:sz="4" w:space="0" w:color="auto"/>
            </w:tcBorders>
          </w:tcPr>
          <w:p w14:paraId="041EE011" w14:textId="77777777" w:rsidR="00D777B9" w:rsidRPr="002732B1" w:rsidRDefault="00D777B9" w:rsidP="00D777B9">
            <w:pPr>
              <w:rPr>
                <w:b/>
                <w:bCs/>
                <w:sz w:val="22"/>
                <w:lang w:eastAsia="sk-SK"/>
              </w:rPr>
            </w:pPr>
            <w:r w:rsidRPr="002732B1">
              <w:rPr>
                <w:b/>
                <w:bCs/>
                <w:sz w:val="22"/>
                <w:lang w:eastAsia="sk-SK"/>
              </w:rPr>
              <w:t>Kapitálové výdavky (700)</w:t>
            </w:r>
          </w:p>
        </w:tc>
        <w:tc>
          <w:tcPr>
            <w:tcW w:w="1252" w:type="dxa"/>
            <w:tcBorders>
              <w:top w:val="nil"/>
              <w:left w:val="nil"/>
              <w:bottom w:val="single" w:sz="4" w:space="0" w:color="auto"/>
              <w:right w:val="single" w:sz="4" w:space="0" w:color="auto"/>
            </w:tcBorders>
          </w:tcPr>
          <w:p w14:paraId="2F86A220" w14:textId="77777777" w:rsidR="00D777B9" w:rsidRPr="002732B1" w:rsidRDefault="00D777B9" w:rsidP="002732B1">
            <w:pPr>
              <w:spacing w:after="200"/>
              <w:jc w:val="center"/>
              <w:rPr>
                <w:b/>
                <w:bCs/>
                <w:sz w:val="22"/>
                <w:lang w:eastAsia="sk-SK"/>
              </w:rPr>
            </w:pPr>
          </w:p>
        </w:tc>
        <w:tc>
          <w:tcPr>
            <w:tcW w:w="1294" w:type="dxa"/>
            <w:tcBorders>
              <w:top w:val="nil"/>
              <w:left w:val="nil"/>
              <w:bottom w:val="single" w:sz="4" w:space="0" w:color="auto"/>
              <w:right w:val="single" w:sz="4" w:space="0" w:color="auto"/>
            </w:tcBorders>
          </w:tcPr>
          <w:p w14:paraId="5B067712" w14:textId="77777777" w:rsidR="00D777B9" w:rsidRPr="002732B1" w:rsidRDefault="00D777B9" w:rsidP="002732B1">
            <w:pPr>
              <w:spacing w:after="200"/>
              <w:jc w:val="right"/>
              <w:rPr>
                <w:color w:val="000000"/>
                <w:sz w:val="22"/>
              </w:rPr>
            </w:pPr>
            <w:r w:rsidRPr="002732B1">
              <w:rPr>
                <w:color w:val="000000"/>
                <w:sz w:val="22"/>
              </w:rPr>
              <w:t>0</w:t>
            </w:r>
          </w:p>
        </w:tc>
        <w:tc>
          <w:tcPr>
            <w:tcW w:w="1683" w:type="dxa"/>
            <w:tcBorders>
              <w:top w:val="nil"/>
              <w:left w:val="nil"/>
              <w:bottom w:val="single" w:sz="4" w:space="0" w:color="auto"/>
              <w:right w:val="single" w:sz="4" w:space="0" w:color="auto"/>
            </w:tcBorders>
          </w:tcPr>
          <w:p w14:paraId="2212D864" w14:textId="77777777" w:rsidR="00D777B9" w:rsidRPr="002732B1" w:rsidRDefault="00D777B9" w:rsidP="002732B1">
            <w:pPr>
              <w:spacing w:after="200"/>
              <w:jc w:val="right"/>
              <w:rPr>
                <w:color w:val="000000"/>
                <w:sz w:val="22"/>
              </w:rPr>
            </w:pPr>
            <w:r w:rsidRPr="002732B1">
              <w:rPr>
                <w:color w:val="000000"/>
                <w:sz w:val="22"/>
              </w:rPr>
              <w:t>840 000,00</w:t>
            </w:r>
          </w:p>
        </w:tc>
        <w:tc>
          <w:tcPr>
            <w:tcW w:w="1701" w:type="dxa"/>
            <w:tcBorders>
              <w:top w:val="nil"/>
              <w:left w:val="nil"/>
              <w:bottom w:val="single" w:sz="4" w:space="0" w:color="auto"/>
              <w:right w:val="single" w:sz="4" w:space="0" w:color="auto"/>
            </w:tcBorders>
          </w:tcPr>
          <w:p w14:paraId="4804288E" w14:textId="77777777" w:rsidR="00D777B9" w:rsidRPr="002732B1" w:rsidRDefault="00D777B9" w:rsidP="002732B1">
            <w:pPr>
              <w:spacing w:after="200"/>
              <w:jc w:val="right"/>
              <w:rPr>
                <w:color w:val="000000"/>
                <w:sz w:val="22"/>
              </w:rPr>
            </w:pPr>
            <w:r w:rsidRPr="002732B1">
              <w:rPr>
                <w:color w:val="000000"/>
                <w:sz w:val="22"/>
              </w:rPr>
              <w:t>0</w:t>
            </w:r>
          </w:p>
        </w:tc>
        <w:tc>
          <w:tcPr>
            <w:tcW w:w="1559" w:type="dxa"/>
            <w:tcBorders>
              <w:top w:val="nil"/>
              <w:left w:val="nil"/>
              <w:bottom w:val="single" w:sz="4" w:space="0" w:color="auto"/>
              <w:right w:val="single" w:sz="4" w:space="0" w:color="auto"/>
            </w:tcBorders>
            <w:noWrap/>
            <w:vAlign w:val="bottom"/>
          </w:tcPr>
          <w:p w14:paraId="62949A36" w14:textId="77777777" w:rsidR="00D777B9" w:rsidRPr="002732B1" w:rsidRDefault="00D777B9" w:rsidP="00D777B9">
            <w:pPr>
              <w:rPr>
                <w:sz w:val="22"/>
                <w:lang w:eastAsia="sk-SK"/>
              </w:rPr>
            </w:pPr>
            <w:r w:rsidRPr="002732B1">
              <w:rPr>
                <w:sz w:val="22"/>
                <w:lang w:eastAsia="sk-SK"/>
              </w:rPr>
              <w:t> </w:t>
            </w:r>
          </w:p>
        </w:tc>
      </w:tr>
      <w:tr w:rsidR="00D777B9" w:rsidRPr="002732B1" w14:paraId="358496D4" w14:textId="77777777" w:rsidTr="00D777B9">
        <w:trPr>
          <w:trHeight w:val="255"/>
        </w:trPr>
        <w:tc>
          <w:tcPr>
            <w:tcW w:w="6965" w:type="dxa"/>
            <w:tcBorders>
              <w:top w:val="nil"/>
              <w:left w:val="single" w:sz="4" w:space="0" w:color="auto"/>
              <w:bottom w:val="single" w:sz="4" w:space="0" w:color="auto"/>
              <w:right w:val="single" w:sz="4" w:space="0" w:color="auto"/>
            </w:tcBorders>
          </w:tcPr>
          <w:p w14:paraId="152014A7" w14:textId="77777777" w:rsidR="00D777B9" w:rsidRPr="002732B1" w:rsidRDefault="00D777B9" w:rsidP="00D777B9">
            <w:pPr>
              <w:rPr>
                <w:sz w:val="22"/>
                <w:lang w:eastAsia="sk-SK"/>
              </w:rPr>
            </w:pPr>
            <w:r w:rsidRPr="002732B1">
              <w:rPr>
                <w:sz w:val="22"/>
                <w:lang w:eastAsia="sk-SK"/>
              </w:rPr>
              <w:t xml:space="preserve">  Obstarávanie kapitálových aktív (710)</w:t>
            </w:r>
            <w:r w:rsidRPr="002732B1">
              <w:rPr>
                <w:sz w:val="22"/>
                <w:vertAlign w:val="superscript"/>
                <w:lang w:eastAsia="sk-SK"/>
              </w:rPr>
              <w:t>2</w:t>
            </w:r>
          </w:p>
        </w:tc>
        <w:tc>
          <w:tcPr>
            <w:tcW w:w="1252" w:type="dxa"/>
            <w:tcBorders>
              <w:top w:val="nil"/>
              <w:left w:val="nil"/>
              <w:bottom w:val="single" w:sz="4" w:space="0" w:color="auto"/>
              <w:right w:val="single" w:sz="4" w:space="0" w:color="auto"/>
            </w:tcBorders>
          </w:tcPr>
          <w:p w14:paraId="0AC519B9" w14:textId="77777777" w:rsidR="00D777B9" w:rsidRPr="002732B1" w:rsidRDefault="00D777B9" w:rsidP="002732B1">
            <w:pPr>
              <w:spacing w:after="200"/>
              <w:jc w:val="center"/>
              <w:rPr>
                <w:sz w:val="22"/>
                <w:lang w:eastAsia="sk-SK"/>
              </w:rPr>
            </w:pPr>
          </w:p>
        </w:tc>
        <w:tc>
          <w:tcPr>
            <w:tcW w:w="1294" w:type="dxa"/>
            <w:tcBorders>
              <w:top w:val="nil"/>
              <w:left w:val="nil"/>
              <w:bottom w:val="single" w:sz="4" w:space="0" w:color="auto"/>
              <w:right w:val="single" w:sz="4" w:space="0" w:color="auto"/>
            </w:tcBorders>
          </w:tcPr>
          <w:p w14:paraId="46787385" w14:textId="77777777" w:rsidR="00D777B9" w:rsidRPr="002732B1" w:rsidRDefault="00D777B9" w:rsidP="002732B1">
            <w:pPr>
              <w:spacing w:after="200"/>
              <w:jc w:val="right"/>
              <w:rPr>
                <w:color w:val="000000"/>
                <w:sz w:val="22"/>
              </w:rPr>
            </w:pPr>
            <w:r w:rsidRPr="002732B1">
              <w:rPr>
                <w:color w:val="000000"/>
                <w:sz w:val="22"/>
              </w:rPr>
              <w:t>0</w:t>
            </w:r>
          </w:p>
        </w:tc>
        <w:tc>
          <w:tcPr>
            <w:tcW w:w="1683" w:type="dxa"/>
            <w:tcBorders>
              <w:top w:val="nil"/>
              <w:left w:val="nil"/>
              <w:bottom w:val="single" w:sz="4" w:space="0" w:color="auto"/>
              <w:right w:val="single" w:sz="4" w:space="0" w:color="auto"/>
            </w:tcBorders>
          </w:tcPr>
          <w:p w14:paraId="15F4A0B1" w14:textId="77777777" w:rsidR="00D777B9" w:rsidRPr="002732B1" w:rsidRDefault="00D777B9" w:rsidP="002732B1">
            <w:pPr>
              <w:spacing w:after="200"/>
              <w:jc w:val="right"/>
              <w:rPr>
                <w:color w:val="000000"/>
                <w:sz w:val="22"/>
              </w:rPr>
            </w:pPr>
            <w:r w:rsidRPr="002732B1">
              <w:rPr>
                <w:color w:val="000000"/>
                <w:sz w:val="22"/>
              </w:rPr>
              <w:t>840 000,00</w:t>
            </w:r>
          </w:p>
        </w:tc>
        <w:tc>
          <w:tcPr>
            <w:tcW w:w="1701" w:type="dxa"/>
            <w:tcBorders>
              <w:top w:val="nil"/>
              <w:left w:val="nil"/>
              <w:bottom w:val="single" w:sz="4" w:space="0" w:color="auto"/>
              <w:right w:val="single" w:sz="4" w:space="0" w:color="auto"/>
            </w:tcBorders>
          </w:tcPr>
          <w:p w14:paraId="64C564F0" w14:textId="77777777" w:rsidR="00D777B9" w:rsidRPr="002732B1" w:rsidRDefault="00D777B9" w:rsidP="002732B1">
            <w:pPr>
              <w:spacing w:after="200"/>
              <w:jc w:val="right"/>
              <w:rPr>
                <w:color w:val="000000"/>
                <w:sz w:val="22"/>
              </w:rPr>
            </w:pPr>
            <w:r w:rsidRPr="002732B1">
              <w:rPr>
                <w:color w:val="000000"/>
                <w:sz w:val="22"/>
              </w:rPr>
              <w:t>0</w:t>
            </w:r>
          </w:p>
        </w:tc>
        <w:tc>
          <w:tcPr>
            <w:tcW w:w="1559" w:type="dxa"/>
            <w:tcBorders>
              <w:top w:val="nil"/>
              <w:left w:val="nil"/>
              <w:bottom w:val="single" w:sz="4" w:space="0" w:color="auto"/>
              <w:right w:val="single" w:sz="4" w:space="0" w:color="auto"/>
            </w:tcBorders>
            <w:noWrap/>
            <w:vAlign w:val="bottom"/>
          </w:tcPr>
          <w:p w14:paraId="03BE45B3" w14:textId="77777777" w:rsidR="00D777B9" w:rsidRPr="002732B1" w:rsidRDefault="00D777B9" w:rsidP="00D777B9">
            <w:pPr>
              <w:rPr>
                <w:sz w:val="22"/>
                <w:lang w:eastAsia="sk-SK"/>
              </w:rPr>
            </w:pPr>
            <w:r w:rsidRPr="002732B1">
              <w:rPr>
                <w:sz w:val="22"/>
                <w:lang w:eastAsia="sk-SK"/>
              </w:rPr>
              <w:t> </w:t>
            </w:r>
          </w:p>
        </w:tc>
      </w:tr>
      <w:tr w:rsidR="00D777B9" w:rsidRPr="002732B1" w14:paraId="71D0A5F4" w14:textId="77777777" w:rsidTr="00D777B9">
        <w:trPr>
          <w:trHeight w:val="255"/>
        </w:trPr>
        <w:tc>
          <w:tcPr>
            <w:tcW w:w="6965" w:type="dxa"/>
            <w:tcBorders>
              <w:top w:val="nil"/>
              <w:left w:val="single" w:sz="4" w:space="0" w:color="auto"/>
              <w:bottom w:val="single" w:sz="4" w:space="0" w:color="auto"/>
              <w:right w:val="single" w:sz="4" w:space="0" w:color="auto"/>
            </w:tcBorders>
          </w:tcPr>
          <w:p w14:paraId="3A9B22B3" w14:textId="77777777" w:rsidR="00D777B9" w:rsidRPr="002732B1" w:rsidRDefault="00D777B9" w:rsidP="00D777B9">
            <w:pPr>
              <w:rPr>
                <w:sz w:val="22"/>
                <w:lang w:eastAsia="sk-SK"/>
              </w:rPr>
            </w:pPr>
            <w:r w:rsidRPr="002732B1">
              <w:rPr>
                <w:sz w:val="22"/>
                <w:lang w:eastAsia="sk-SK"/>
              </w:rPr>
              <w:t xml:space="preserve">  Kapitálové transfery (720)</w:t>
            </w:r>
            <w:r w:rsidRPr="002732B1">
              <w:rPr>
                <w:sz w:val="22"/>
                <w:vertAlign w:val="superscript"/>
                <w:lang w:eastAsia="sk-SK"/>
              </w:rPr>
              <w:t>2</w:t>
            </w:r>
          </w:p>
        </w:tc>
        <w:tc>
          <w:tcPr>
            <w:tcW w:w="1252" w:type="dxa"/>
            <w:tcBorders>
              <w:top w:val="nil"/>
              <w:left w:val="nil"/>
              <w:bottom w:val="single" w:sz="4" w:space="0" w:color="auto"/>
              <w:right w:val="single" w:sz="4" w:space="0" w:color="auto"/>
            </w:tcBorders>
          </w:tcPr>
          <w:p w14:paraId="6C8F0524" w14:textId="77777777" w:rsidR="00D777B9" w:rsidRPr="002732B1" w:rsidRDefault="00D777B9" w:rsidP="002732B1">
            <w:pPr>
              <w:spacing w:after="200"/>
              <w:jc w:val="center"/>
              <w:rPr>
                <w:sz w:val="22"/>
                <w:lang w:eastAsia="sk-SK"/>
              </w:rPr>
            </w:pPr>
          </w:p>
        </w:tc>
        <w:tc>
          <w:tcPr>
            <w:tcW w:w="1294" w:type="dxa"/>
            <w:tcBorders>
              <w:top w:val="nil"/>
              <w:left w:val="nil"/>
              <w:bottom w:val="single" w:sz="4" w:space="0" w:color="auto"/>
              <w:right w:val="single" w:sz="4" w:space="0" w:color="auto"/>
            </w:tcBorders>
          </w:tcPr>
          <w:p w14:paraId="45C5274B" w14:textId="77777777" w:rsidR="00D777B9" w:rsidRPr="002732B1" w:rsidRDefault="00D777B9" w:rsidP="002732B1">
            <w:pPr>
              <w:spacing w:after="200"/>
              <w:jc w:val="right"/>
              <w:rPr>
                <w:color w:val="000000"/>
                <w:sz w:val="22"/>
              </w:rPr>
            </w:pPr>
          </w:p>
        </w:tc>
        <w:tc>
          <w:tcPr>
            <w:tcW w:w="1683" w:type="dxa"/>
            <w:tcBorders>
              <w:top w:val="nil"/>
              <w:left w:val="nil"/>
              <w:bottom w:val="single" w:sz="4" w:space="0" w:color="auto"/>
              <w:right w:val="single" w:sz="4" w:space="0" w:color="auto"/>
            </w:tcBorders>
          </w:tcPr>
          <w:p w14:paraId="378153C5" w14:textId="77777777" w:rsidR="00D777B9" w:rsidRPr="002732B1" w:rsidRDefault="00D777B9" w:rsidP="002732B1">
            <w:pPr>
              <w:spacing w:after="200"/>
              <w:jc w:val="right"/>
              <w:rPr>
                <w:color w:val="000000"/>
                <w:sz w:val="22"/>
              </w:rPr>
            </w:pPr>
          </w:p>
        </w:tc>
        <w:tc>
          <w:tcPr>
            <w:tcW w:w="1701" w:type="dxa"/>
            <w:tcBorders>
              <w:top w:val="nil"/>
              <w:left w:val="nil"/>
              <w:bottom w:val="single" w:sz="4" w:space="0" w:color="auto"/>
              <w:right w:val="single" w:sz="4" w:space="0" w:color="auto"/>
            </w:tcBorders>
          </w:tcPr>
          <w:p w14:paraId="77777924" w14:textId="77777777" w:rsidR="00D777B9" w:rsidRPr="002732B1" w:rsidRDefault="00D777B9" w:rsidP="002732B1">
            <w:pPr>
              <w:spacing w:after="200"/>
              <w:jc w:val="right"/>
              <w:rPr>
                <w:color w:val="000000"/>
                <w:sz w:val="22"/>
              </w:rPr>
            </w:pPr>
          </w:p>
        </w:tc>
        <w:tc>
          <w:tcPr>
            <w:tcW w:w="1559" w:type="dxa"/>
            <w:tcBorders>
              <w:top w:val="nil"/>
              <w:left w:val="nil"/>
              <w:bottom w:val="single" w:sz="4" w:space="0" w:color="auto"/>
              <w:right w:val="single" w:sz="4" w:space="0" w:color="auto"/>
            </w:tcBorders>
            <w:noWrap/>
            <w:vAlign w:val="bottom"/>
          </w:tcPr>
          <w:p w14:paraId="3D6F4C58" w14:textId="77777777" w:rsidR="00D777B9" w:rsidRPr="002732B1" w:rsidRDefault="00D777B9" w:rsidP="00D777B9">
            <w:pPr>
              <w:rPr>
                <w:sz w:val="22"/>
                <w:lang w:eastAsia="sk-SK"/>
              </w:rPr>
            </w:pPr>
            <w:r w:rsidRPr="002732B1">
              <w:rPr>
                <w:sz w:val="22"/>
                <w:lang w:eastAsia="sk-SK"/>
              </w:rPr>
              <w:t> </w:t>
            </w:r>
          </w:p>
        </w:tc>
      </w:tr>
      <w:tr w:rsidR="00D777B9" w:rsidRPr="002732B1" w14:paraId="1B05AD63" w14:textId="77777777" w:rsidTr="00D777B9">
        <w:trPr>
          <w:trHeight w:val="255"/>
        </w:trPr>
        <w:tc>
          <w:tcPr>
            <w:tcW w:w="6965" w:type="dxa"/>
            <w:tcBorders>
              <w:top w:val="nil"/>
              <w:left w:val="single" w:sz="4" w:space="0" w:color="auto"/>
              <w:bottom w:val="single" w:sz="4" w:space="0" w:color="auto"/>
              <w:right w:val="single" w:sz="4" w:space="0" w:color="auto"/>
            </w:tcBorders>
          </w:tcPr>
          <w:p w14:paraId="6C7B879C" w14:textId="77777777" w:rsidR="00D777B9" w:rsidRPr="002732B1" w:rsidRDefault="00D777B9" w:rsidP="00D777B9">
            <w:pPr>
              <w:rPr>
                <w:b/>
                <w:bCs/>
                <w:sz w:val="22"/>
                <w:lang w:eastAsia="sk-SK"/>
              </w:rPr>
            </w:pPr>
            <w:r w:rsidRPr="002732B1">
              <w:rPr>
                <w:b/>
                <w:bCs/>
                <w:sz w:val="22"/>
                <w:lang w:eastAsia="sk-SK"/>
              </w:rPr>
              <w:t>Výdavky z transakcií s finančnými aktívami a finančnými pasívami (800)</w:t>
            </w:r>
          </w:p>
        </w:tc>
        <w:tc>
          <w:tcPr>
            <w:tcW w:w="1252" w:type="dxa"/>
            <w:tcBorders>
              <w:top w:val="nil"/>
              <w:left w:val="nil"/>
              <w:bottom w:val="single" w:sz="4" w:space="0" w:color="auto"/>
              <w:right w:val="single" w:sz="4" w:space="0" w:color="auto"/>
            </w:tcBorders>
            <w:shd w:val="clear" w:color="auto" w:fill="FFFF99"/>
          </w:tcPr>
          <w:p w14:paraId="5A0E632E" w14:textId="77777777" w:rsidR="00D777B9" w:rsidRPr="002732B1" w:rsidRDefault="00D777B9" w:rsidP="002732B1">
            <w:pPr>
              <w:spacing w:after="200"/>
              <w:jc w:val="center"/>
              <w:rPr>
                <w:b/>
                <w:bCs/>
                <w:sz w:val="22"/>
                <w:lang w:eastAsia="sk-SK"/>
              </w:rPr>
            </w:pPr>
          </w:p>
        </w:tc>
        <w:tc>
          <w:tcPr>
            <w:tcW w:w="1294" w:type="dxa"/>
            <w:tcBorders>
              <w:top w:val="nil"/>
              <w:left w:val="nil"/>
              <w:bottom w:val="single" w:sz="4" w:space="0" w:color="auto"/>
              <w:right w:val="single" w:sz="4" w:space="0" w:color="auto"/>
            </w:tcBorders>
            <w:shd w:val="clear" w:color="auto" w:fill="FFFF99"/>
          </w:tcPr>
          <w:p w14:paraId="74FFD11F" w14:textId="77777777" w:rsidR="00D777B9" w:rsidRPr="002732B1" w:rsidRDefault="00D777B9" w:rsidP="002732B1">
            <w:pPr>
              <w:spacing w:after="200"/>
              <w:jc w:val="right"/>
              <w:rPr>
                <w:color w:val="000000"/>
                <w:sz w:val="22"/>
              </w:rPr>
            </w:pPr>
          </w:p>
        </w:tc>
        <w:tc>
          <w:tcPr>
            <w:tcW w:w="1683" w:type="dxa"/>
            <w:tcBorders>
              <w:top w:val="nil"/>
              <w:left w:val="nil"/>
              <w:bottom w:val="single" w:sz="4" w:space="0" w:color="auto"/>
              <w:right w:val="single" w:sz="4" w:space="0" w:color="auto"/>
            </w:tcBorders>
            <w:shd w:val="clear" w:color="auto" w:fill="FFFF99"/>
          </w:tcPr>
          <w:p w14:paraId="1506844E" w14:textId="77777777" w:rsidR="00D777B9" w:rsidRPr="002732B1" w:rsidRDefault="00D777B9" w:rsidP="002732B1">
            <w:pPr>
              <w:spacing w:after="200"/>
              <w:jc w:val="right"/>
              <w:rPr>
                <w:color w:val="000000"/>
                <w:sz w:val="22"/>
              </w:rPr>
            </w:pPr>
          </w:p>
        </w:tc>
        <w:tc>
          <w:tcPr>
            <w:tcW w:w="1701" w:type="dxa"/>
            <w:tcBorders>
              <w:top w:val="nil"/>
              <w:left w:val="nil"/>
              <w:bottom w:val="single" w:sz="4" w:space="0" w:color="auto"/>
              <w:right w:val="single" w:sz="4" w:space="0" w:color="auto"/>
            </w:tcBorders>
            <w:shd w:val="clear" w:color="auto" w:fill="FFFF99"/>
          </w:tcPr>
          <w:p w14:paraId="360E697F" w14:textId="77777777" w:rsidR="00D777B9" w:rsidRPr="002732B1" w:rsidRDefault="00D777B9" w:rsidP="002732B1">
            <w:pPr>
              <w:spacing w:after="200"/>
              <w:jc w:val="right"/>
              <w:rPr>
                <w:color w:val="000000"/>
                <w:sz w:val="22"/>
              </w:rPr>
            </w:pPr>
            <w:r w:rsidRPr="002732B1">
              <w:rPr>
                <w:color w:val="000000"/>
                <w:sz w:val="22"/>
              </w:rPr>
              <w:t> </w:t>
            </w:r>
          </w:p>
        </w:tc>
        <w:tc>
          <w:tcPr>
            <w:tcW w:w="1559" w:type="dxa"/>
            <w:tcBorders>
              <w:top w:val="nil"/>
              <w:left w:val="nil"/>
              <w:bottom w:val="single" w:sz="4" w:space="0" w:color="auto"/>
              <w:right w:val="single" w:sz="4" w:space="0" w:color="auto"/>
            </w:tcBorders>
            <w:shd w:val="clear" w:color="auto" w:fill="FFFF99"/>
            <w:noWrap/>
            <w:vAlign w:val="bottom"/>
          </w:tcPr>
          <w:p w14:paraId="61F1F9B6" w14:textId="77777777" w:rsidR="00D777B9" w:rsidRPr="002732B1" w:rsidRDefault="00D777B9" w:rsidP="00D777B9">
            <w:pPr>
              <w:jc w:val="right"/>
              <w:rPr>
                <w:sz w:val="22"/>
                <w:lang w:eastAsia="sk-SK"/>
              </w:rPr>
            </w:pPr>
            <w:r w:rsidRPr="002732B1">
              <w:rPr>
                <w:sz w:val="22"/>
                <w:lang w:eastAsia="sk-SK"/>
              </w:rPr>
              <w:t> </w:t>
            </w:r>
          </w:p>
        </w:tc>
      </w:tr>
      <w:tr w:rsidR="00D777B9" w:rsidRPr="002732B1" w14:paraId="17D33570" w14:textId="77777777" w:rsidTr="00D777B9">
        <w:trPr>
          <w:trHeight w:val="255"/>
        </w:trPr>
        <w:tc>
          <w:tcPr>
            <w:tcW w:w="6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D96284" w14:textId="77777777" w:rsidR="00D777B9" w:rsidRPr="002732B1" w:rsidRDefault="00D777B9" w:rsidP="00D777B9">
            <w:pPr>
              <w:rPr>
                <w:b/>
                <w:bCs/>
                <w:sz w:val="22"/>
                <w:lang w:eastAsia="sk-SK"/>
              </w:rPr>
            </w:pPr>
            <w:r w:rsidRPr="002732B1">
              <w:rPr>
                <w:b/>
                <w:bCs/>
                <w:sz w:val="22"/>
                <w:lang w:eastAsia="sk-SK"/>
              </w:rPr>
              <w:t>Dopad na výdavky verejnej správy celkom</w:t>
            </w:r>
          </w:p>
        </w:tc>
        <w:tc>
          <w:tcPr>
            <w:tcW w:w="1252" w:type="dxa"/>
            <w:tcBorders>
              <w:top w:val="single" w:sz="4" w:space="0" w:color="auto"/>
              <w:left w:val="nil"/>
              <w:bottom w:val="single" w:sz="4" w:space="0" w:color="auto"/>
              <w:right w:val="single" w:sz="4" w:space="0" w:color="auto"/>
            </w:tcBorders>
            <w:shd w:val="clear" w:color="auto" w:fill="BFBFBF" w:themeFill="background1" w:themeFillShade="BF"/>
          </w:tcPr>
          <w:p w14:paraId="05A53A99" w14:textId="77777777" w:rsidR="00D777B9" w:rsidRPr="002732B1" w:rsidRDefault="00D777B9" w:rsidP="002732B1">
            <w:pPr>
              <w:spacing w:after="200"/>
              <w:rPr>
                <w:sz w:val="22"/>
              </w:rPr>
            </w:pPr>
            <w:r w:rsidRPr="002732B1">
              <w:rPr>
                <w:sz w:val="22"/>
              </w:rPr>
              <w:t>0</w:t>
            </w:r>
          </w:p>
        </w:tc>
        <w:tc>
          <w:tcPr>
            <w:tcW w:w="1294" w:type="dxa"/>
            <w:tcBorders>
              <w:top w:val="single" w:sz="4" w:space="0" w:color="auto"/>
              <w:left w:val="nil"/>
              <w:bottom w:val="single" w:sz="4" w:space="0" w:color="auto"/>
              <w:right w:val="single" w:sz="4" w:space="0" w:color="auto"/>
            </w:tcBorders>
            <w:shd w:val="clear" w:color="auto" w:fill="BFBFBF" w:themeFill="background1" w:themeFillShade="BF"/>
          </w:tcPr>
          <w:p w14:paraId="2EC5AE7D" w14:textId="77777777" w:rsidR="00D777B9" w:rsidRPr="002732B1" w:rsidRDefault="00D777B9" w:rsidP="002732B1">
            <w:pPr>
              <w:spacing w:after="200"/>
              <w:jc w:val="right"/>
              <w:rPr>
                <w:color w:val="000000"/>
                <w:sz w:val="22"/>
              </w:rPr>
            </w:pPr>
            <w:r w:rsidRPr="002732B1">
              <w:rPr>
                <w:color w:val="000000"/>
                <w:sz w:val="22"/>
              </w:rPr>
              <w:t>0</w:t>
            </w:r>
          </w:p>
        </w:tc>
        <w:tc>
          <w:tcPr>
            <w:tcW w:w="1683" w:type="dxa"/>
            <w:tcBorders>
              <w:top w:val="single" w:sz="4" w:space="0" w:color="auto"/>
              <w:left w:val="nil"/>
              <w:bottom w:val="single" w:sz="4" w:space="0" w:color="auto"/>
              <w:right w:val="single" w:sz="4" w:space="0" w:color="auto"/>
            </w:tcBorders>
            <w:shd w:val="clear" w:color="auto" w:fill="BFBFBF" w:themeFill="background1" w:themeFillShade="BF"/>
          </w:tcPr>
          <w:p w14:paraId="70C3C002" w14:textId="77777777" w:rsidR="00D777B9" w:rsidRPr="002732B1" w:rsidRDefault="00D777B9" w:rsidP="002732B1">
            <w:pPr>
              <w:spacing w:after="200"/>
              <w:jc w:val="right"/>
              <w:rPr>
                <w:color w:val="000000"/>
                <w:sz w:val="22"/>
              </w:rPr>
            </w:pPr>
            <w:r w:rsidRPr="002732B1">
              <w:rPr>
                <w:color w:val="000000"/>
                <w:sz w:val="22"/>
              </w:rPr>
              <w:t>969 552,00</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20A9FB53" w14:textId="77777777" w:rsidR="00D777B9" w:rsidRPr="002732B1" w:rsidRDefault="00D777B9" w:rsidP="002732B1">
            <w:pPr>
              <w:spacing w:after="200"/>
              <w:jc w:val="right"/>
              <w:rPr>
                <w:color w:val="000000"/>
                <w:sz w:val="22"/>
              </w:rPr>
            </w:pPr>
            <w:r w:rsidRPr="002732B1">
              <w:rPr>
                <w:sz w:val="22"/>
              </w:rPr>
              <w:t>129 552,00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41B5687" w14:textId="77777777" w:rsidR="00D777B9" w:rsidRPr="002732B1" w:rsidRDefault="00D777B9" w:rsidP="00D777B9">
            <w:pPr>
              <w:rPr>
                <w:sz w:val="22"/>
                <w:lang w:eastAsia="sk-SK"/>
              </w:rPr>
            </w:pPr>
            <w:r w:rsidRPr="002732B1">
              <w:rPr>
                <w:sz w:val="22"/>
                <w:lang w:eastAsia="sk-SK"/>
              </w:rPr>
              <w:t> </w:t>
            </w:r>
          </w:p>
        </w:tc>
      </w:tr>
    </w:tbl>
    <w:p w14:paraId="1CB5CC9A" w14:textId="77777777" w:rsidR="00D777B9" w:rsidRPr="002732B1" w:rsidRDefault="00D777B9" w:rsidP="00D777B9">
      <w:pPr>
        <w:tabs>
          <w:tab w:val="num" w:pos="1080"/>
        </w:tabs>
        <w:jc w:val="both"/>
        <w:rPr>
          <w:bCs/>
          <w:sz w:val="22"/>
          <w:lang w:eastAsia="sk-SK"/>
        </w:rPr>
      </w:pPr>
      <w:r w:rsidRPr="002732B1">
        <w:rPr>
          <w:bCs/>
          <w:sz w:val="22"/>
          <w:lang w:eastAsia="sk-SK"/>
        </w:rPr>
        <w:t>2 –  výdavky rozpísať až do položiek platnej ekonomickej klasifikácie</w:t>
      </w:r>
    </w:p>
    <w:p w14:paraId="0576EB4B" w14:textId="77777777" w:rsidR="00D777B9" w:rsidRPr="002732B1" w:rsidRDefault="00D777B9" w:rsidP="00D777B9">
      <w:pPr>
        <w:tabs>
          <w:tab w:val="num" w:pos="1080"/>
        </w:tabs>
        <w:ind w:left="-900"/>
        <w:jc w:val="both"/>
        <w:rPr>
          <w:bCs/>
          <w:sz w:val="22"/>
          <w:lang w:eastAsia="sk-SK"/>
        </w:rPr>
      </w:pPr>
    </w:p>
    <w:p w14:paraId="3E2D4A54" w14:textId="77777777" w:rsidR="00D777B9" w:rsidRPr="002732B1" w:rsidRDefault="00D777B9" w:rsidP="00D777B9">
      <w:pPr>
        <w:tabs>
          <w:tab w:val="num" w:pos="1080"/>
        </w:tabs>
        <w:jc w:val="both"/>
        <w:rPr>
          <w:b/>
          <w:bCs/>
          <w:sz w:val="22"/>
          <w:lang w:eastAsia="sk-SK"/>
        </w:rPr>
      </w:pPr>
      <w:r w:rsidRPr="002732B1">
        <w:rPr>
          <w:b/>
          <w:bCs/>
          <w:sz w:val="22"/>
          <w:lang w:eastAsia="sk-SK"/>
        </w:rPr>
        <w:t>Poznámka:</w:t>
      </w:r>
    </w:p>
    <w:p w14:paraId="6A894730" w14:textId="77777777" w:rsidR="00D777B9" w:rsidRPr="002732B1" w:rsidRDefault="00D777B9" w:rsidP="00D777B9">
      <w:pPr>
        <w:tabs>
          <w:tab w:val="num" w:pos="1080"/>
        </w:tabs>
        <w:jc w:val="both"/>
        <w:rPr>
          <w:bCs/>
          <w:sz w:val="22"/>
          <w:lang w:eastAsia="sk-SK"/>
        </w:rPr>
      </w:pPr>
      <w:r w:rsidRPr="002732B1">
        <w:rPr>
          <w:bCs/>
          <w:sz w:val="22"/>
          <w:lang w:eastAsia="sk-SK"/>
        </w:rPr>
        <w:t>Ak sa vplyv týka viacerých subjektov verejnej správy, vypĺňa sa samostatná tabuľka za každý subjekt.</w:t>
      </w:r>
    </w:p>
    <w:p w14:paraId="2F7CF200" w14:textId="77777777" w:rsidR="00D777B9" w:rsidRPr="002732B1" w:rsidRDefault="00D777B9" w:rsidP="00D777B9">
      <w:pPr>
        <w:tabs>
          <w:tab w:val="num" w:pos="1080"/>
        </w:tabs>
        <w:ind w:left="-900"/>
        <w:jc w:val="both"/>
        <w:rPr>
          <w:bCs/>
          <w:sz w:val="22"/>
          <w:lang w:eastAsia="sk-SK"/>
        </w:rPr>
      </w:pPr>
    </w:p>
    <w:p w14:paraId="675CC39D" w14:textId="77777777" w:rsidR="00D777B9" w:rsidRPr="002732B1" w:rsidRDefault="00D777B9" w:rsidP="00D777B9">
      <w:pPr>
        <w:tabs>
          <w:tab w:val="num" w:pos="1080"/>
        </w:tabs>
        <w:jc w:val="both"/>
        <w:rPr>
          <w:bCs/>
          <w:sz w:val="22"/>
          <w:lang w:eastAsia="sk-SK"/>
        </w:rPr>
      </w:pPr>
    </w:p>
    <w:p w14:paraId="6CC9412A" w14:textId="77777777" w:rsidR="00D777B9" w:rsidRPr="002732B1" w:rsidRDefault="00D777B9" w:rsidP="00D777B9">
      <w:pPr>
        <w:tabs>
          <w:tab w:val="num" w:pos="1080"/>
        </w:tabs>
        <w:ind w:left="-900"/>
        <w:jc w:val="both"/>
        <w:rPr>
          <w:bCs/>
          <w:sz w:val="22"/>
          <w:lang w:eastAsia="sk-SK"/>
        </w:rPr>
      </w:pPr>
    </w:p>
    <w:p w14:paraId="7FD5CE02" w14:textId="77777777" w:rsidR="00D777B9" w:rsidRPr="002732B1" w:rsidRDefault="00D777B9" w:rsidP="00D777B9">
      <w:pPr>
        <w:tabs>
          <w:tab w:val="num" w:pos="1080"/>
        </w:tabs>
        <w:ind w:left="-900"/>
        <w:jc w:val="both"/>
        <w:rPr>
          <w:bCs/>
          <w:sz w:val="22"/>
          <w:lang w:eastAsia="sk-SK"/>
        </w:rPr>
      </w:pPr>
    </w:p>
    <w:p w14:paraId="484D1657" w14:textId="77777777" w:rsidR="00D777B9" w:rsidRPr="00FA364E" w:rsidRDefault="00D777B9" w:rsidP="00D777B9">
      <w:pPr>
        <w:tabs>
          <w:tab w:val="num" w:pos="1080"/>
        </w:tabs>
        <w:jc w:val="right"/>
        <w:rPr>
          <w:bCs/>
          <w:lang w:eastAsia="sk-SK"/>
        </w:rPr>
      </w:pPr>
      <w:r w:rsidRPr="00FA364E">
        <w:rPr>
          <w:bCs/>
          <w:lang w:eastAsia="sk-SK"/>
        </w:rPr>
        <w:lastRenderedPageBreak/>
        <w:t xml:space="preserve">                 Tabuľka č. 5 </w:t>
      </w:r>
    </w:p>
    <w:p w14:paraId="505EEBEF" w14:textId="77777777" w:rsidR="00D777B9" w:rsidRPr="00FA364E" w:rsidRDefault="00D777B9" w:rsidP="00D777B9">
      <w:pPr>
        <w:tabs>
          <w:tab w:val="num" w:pos="1080"/>
        </w:tabs>
        <w:ind w:right="-32"/>
        <w:jc w:val="right"/>
        <w:rPr>
          <w:bCs/>
          <w:lang w:eastAsia="sk-SK"/>
        </w:rPr>
      </w:pPr>
      <w:r w:rsidRPr="00FA364E">
        <w:rPr>
          <w:bCs/>
          <w:lang w:eastAsia="sk-SK"/>
        </w:rPr>
        <w:t>Ministerstvo investícií, regionálneho rozvoja a informatizácie SR</w:t>
      </w:r>
    </w:p>
    <w:p w14:paraId="648E11FA" w14:textId="77777777" w:rsidR="00D777B9" w:rsidRPr="00FA364E" w:rsidRDefault="00D777B9" w:rsidP="00D777B9">
      <w:pPr>
        <w:tabs>
          <w:tab w:val="num" w:pos="1080"/>
        </w:tabs>
        <w:jc w:val="both"/>
        <w:rPr>
          <w:bCs/>
          <w:lang w:eastAsia="sk-SK"/>
        </w:rPr>
      </w:pPr>
    </w:p>
    <w:tbl>
      <w:tblPr>
        <w:tblW w:w="16399" w:type="dxa"/>
        <w:tblInd w:w="-147" w:type="dxa"/>
        <w:tblCellMar>
          <w:left w:w="70" w:type="dxa"/>
          <w:right w:w="70" w:type="dxa"/>
        </w:tblCellMar>
        <w:tblLook w:val="0000" w:firstRow="0" w:lastRow="0" w:firstColumn="0" w:lastColumn="0" w:noHBand="0" w:noVBand="0"/>
      </w:tblPr>
      <w:tblGrid>
        <w:gridCol w:w="6188"/>
        <w:gridCol w:w="1254"/>
        <w:gridCol w:w="1701"/>
        <w:gridCol w:w="1701"/>
        <w:gridCol w:w="378"/>
        <w:gridCol w:w="160"/>
        <w:gridCol w:w="1021"/>
        <w:gridCol w:w="1701"/>
        <w:gridCol w:w="2135"/>
        <w:gridCol w:w="160"/>
      </w:tblGrid>
      <w:tr w:rsidR="00D777B9" w:rsidRPr="002732B1" w14:paraId="382AFA85" w14:textId="77777777" w:rsidTr="00D777B9">
        <w:trPr>
          <w:gridAfter w:val="2"/>
          <w:wAfter w:w="2295" w:type="dxa"/>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54A213" w14:textId="77777777" w:rsidR="00D777B9" w:rsidRPr="002732B1" w:rsidRDefault="00D777B9" w:rsidP="00D777B9">
            <w:pPr>
              <w:jc w:val="center"/>
              <w:rPr>
                <w:b/>
                <w:bCs/>
                <w:sz w:val="22"/>
                <w:szCs w:val="22"/>
                <w:lang w:eastAsia="sk-SK"/>
              </w:rPr>
            </w:pPr>
            <w:r w:rsidRPr="002732B1">
              <w:rPr>
                <w:b/>
                <w:bCs/>
                <w:sz w:val="22"/>
                <w:szCs w:val="22"/>
                <w:lang w:eastAsia="sk-SK"/>
              </w:rPr>
              <w:t>Zamestnanosť</w:t>
            </w:r>
          </w:p>
        </w:tc>
        <w:tc>
          <w:tcPr>
            <w:tcW w:w="6215" w:type="dxa"/>
            <w:gridSpan w:val="6"/>
            <w:tcBorders>
              <w:top w:val="single" w:sz="4" w:space="0" w:color="auto"/>
              <w:left w:val="nil"/>
              <w:bottom w:val="single" w:sz="4" w:space="0" w:color="auto"/>
              <w:right w:val="single" w:sz="4" w:space="0" w:color="auto"/>
            </w:tcBorders>
            <w:shd w:val="clear" w:color="auto" w:fill="BFBFBF" w:themeFill="background1" w:themeFillShade="BF"/>
          </w:tcPr>
          <w:p w14:paraId="7EDA8F36" w14:textId="77777777" w:rsidR="00D777B9" w:rsidRPr="002732B1" w:rsidRDefault="00D777B9" w:rsidP="00D777B9">
            <w:pPr>
              <w:jc w:val="center"/>
              <w:rPr>
                <w:b/>
                <w:bCs/>
                <w:sz w:val="22"/>
                <w:szCs w:val="22"/>
                <w:lang w:eastAsia="sk-SK"/>
              </w:rPr>
            </w:pPr>
            <w:r w:rsidRPr="002732B1">
              <w:rPr>
                <w:b/>
                <w:bCs/>
                <w:sz w:val="22"/>
                <w:szCs w:val="22"/>
                <w:lang w:eastAsia="sk-SK"/>
              </w:rPr>
              <w:t>Vplyv na rozpočet verejnej správy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1B5026E" w14:textId="77777777" w:rsidR="00D777B9" w:rsidRPr="002732B1" w:rsidRDefault="00D777B9" w:rsidP="00D777B9">
            <w:pPr>
              <w:jc w:val="center"/>
              <w:rPr>
                <w:b/>
                <w:bCs/>
                <w:sz w:val="22"/>
                <w:szCs w:val="22"/>
                <w:lang w:eastAsia="sk-SK"/>
              </w:rPr>
            </w:pPr>
            <w:r w:rsidRPr="002732B1">
              <w:rPr>
                <w:b/>
                <w:bCs/>
                <w:sz w:val="22"/>
                <w:szCs w:val="22"/>
                <w:lang w:eastAsia="sk-SK"/>
              </w:rPr>
              <w:t>poznámka</w:t>
            </w:r>
          </w:p>
        </w:tc>
      </w:tr>
      <w:tr w:rsidR="00D777B9" w:rsidRPr="002732B1" w14:paraId="3574E623" w14:textId="77777777" w:rsidTr="00D777B9">
        <w:trPr>
          <w:gridAfter w:val="2"/>
          <w:wAfter w:w="2295" w:type="dxa"/>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D9A1DF" w14:textId="77777777" w:rsidR="00D777B9" w:rsidRPr="002732B1" w:rsidRDefault="00D777B9" w:rsidP="00D777B9">
            <w:pPr>
              <w:rPr>
                <w:b/>
                <w:bCs/>
                <w:sz w:val="22"/>
                <w:szCs w:val="22"/>
                <w:lang w:eastAsia="sk-SK"/>
              </w:rPr>
            </w:pPr>
          </w:p>
        </w:tc>
        <w:tc>
          <w:tcPr>
            <w:tcW w:w="1254" w:type="dxa"/>
            <w:tcBorders>
              <w:top w:val="nil"/>
              <w:left w:val="nil"/>
              <w:bottom w:val="single" w:sz="4" w:space="0" w:color="auto"/>
              <w:right w:val="single" w:sz="4" w:space="0" w:color="auto"/>
            </w:tcBorders>
            <w:shd w:val="clear" w:color="auto" w:fill="BFBFBF" w:themeFill="background1" w:themeFillShade="BF"/>
            <w:vAlign w:val="center"/>
          </w:tcPr>
          <w:p w14:paraId="2F23D4E2" w14:textId="77777777" w:rsidR="00D777B9" w:rsidRPr="002732B1" w:rsidRDefault="00D777B9" w:rsidP="00D777B9">
            <w:pPr>
              <w:jc w:val="center"/>
              <w:rPr>
                <w:b/>
                <w:bCs/>
                <w:sz w:val="22"/>
                <w:szCs w:val="22"/>
                <w:lang w:eastAsia="sk-SK"/>
              </w:rPr>
            </w:pPr>
            <w:r w:rsidRPr="002732B1">
              <w:rPr>
                <w:b/>
                <w:bCs/>
                <w:sz w:val="22"/>
                <w:szCs w:val="22"/>
                <w:lang w:eastAsia="sk-SK"/>
              </w:rPr>
              <w:t>2021</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14:paraId="0CAAB906" w14:textId="77777777" w:rsidR="00D777B9" w:rsidRPr="002732B1" w:rsidRDefault="00D777B9" w:rsidP="00D777B9">
            <w:pPr>
              <w:jc w:val="center"/>
              <w:rPr>
                <w:b/>
                <w:bCs/>
                <w:sz w:val="22"/>
                <w:szCs w:val="22"/>
                <w:lang w:eastAsia="sk-SK"/>
              </w:rPr>
            </w:pPr>
            <w:r w:rsidRPr="002732B1">
              <w:rPr>
                <w:b/>
                <w:bCs/>
                <w:sz w:val="22"/>
                <w:szCs w:val="22"/>
                <w:lang w:eastAsia="sk-SK"/>
              </w:rPr>
              <w:t>2022</w:t>
            </w:r>
          </w:p>
        </w:tc>
        <w:tc>
          <w:tcPr>
            <w:tcW w:w="1701" w:type="dxa"/>
            <w:tcBorders>
              <w:top w:val="nil"/>
              <w:left w:val="nil"/>
              <w:bottom w:val="single" w:sz="4" w:space="0" w:color="auto"/>
              <w:right w:val="single" w:sz="4" w:space="0" w:color="auto"/>
            </w:tcBorders>
            <w:shd w:val="clear" w:color="auto" w:fill="BFBFBF" w:themeFill="background1" w:themeFillShade="BF"/>
            <w:vAlign w:val="center"/>
          </w:tcPr>
          <w:p w14:paraId="0C88C345" w14:textId="77777777" w:rsidR="00D777B9" w:rsidRPr="002732B1" w:rsidRDefault="00D777B9" w:rsidP="00D777B9">
            <w:pPr>
              <w:jc w:val="center"/>
              <w:rPr>
                <w:b/>
                <w:bCs/>
                <w:sz w:val="22"/>
                <w:szCs w:val="22"/>
                <w:lang w:eastAsia="sk-SK"/>
              </w:rPr>
            </w:pPr>
            <w:r w:rsidRPr="002732B1">
              <w:rPr>
                <w:b/>
                <w:bCs/>
                <w:sz w:val="22"/>
                <w:szCs w:val="22"/>
                <w:lang w:eastAsia="sk-SK"/>
              </w:rPr>
              <w:t>2023</w:t>
            </w:r>
          </w:p>
        </w:tc>
        <w:tc>
          <w:tcPr>
            <w:tcW w:w="1559" w:type="dxa"/>
            <w:gridSpan w:val="3"/>
            <w:tcBorders>
              <w:top w:val="nil"/>
              <w:left w:val="nil"/>
              <w:bottom w:val="single" w:sz="4" w:space="0" w:color="auto"/>
              <w:right w:val="single" w:sz="4" w:space="0" w:color="auto"/>
            </w:tcBorders>
            <w:shd w:val="clear" w:color="auto" w:fill="BFBFBF" w:themeFill="background1" w:themeFillShade="BF"/>
            <w:vAlign w:val="center"/>
          </w:tcPr>
          <w:p w14:paraId="75B7E85C" w14:textId="77777777" w:rsidR="00D777B9" w:rsidRPr="002732B1" w:rsidRDefault="00D777B9" w:rsidP="00D777B9">
            <w:pPr>
              <w:jc w:val="center"/>
              <w:rPr>
                <w:b/>
                <w:bCs/>
                <w:sz w:val="22"/>
                <w:szCs w:val="22"/>
                <w:lang w:eastAsia="sk-SK"/>
              </w:rPr>
            </w:pPr>
            <w:r w:rsidRPr="002732B1">
              <w:rPr>
                <w:b/>
                <w:bCs/>
                <w:sz w:val="22"/>
                <w:szCs w:val="22"/>
                <w:lang w:eastAsia="sk-SK"/>
              </w:rPr>
              <w:t>2024</w:t>
            </w:r>
          </w:p>
        </w:tc>
        <w:tc>
          <w:tcPr>
            <w:tcW w:w="170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59F767" w14:textId="77777777" w:rsidR="00D777B9" w:rsidRPr="002732B1" w:rsidRDefault="00D777B9" w:rsidP="00D777B9">
            <w:pPr>
              <w:rPr>
                <w:b/>
                <w:bCs/>
                <w:color w:val="FFFFFF"/>
                <w:sz w:val="22"/>
                <w:szCs w:val="22"/>
                <w:lang w:eastAsia="sk-SK"/>
              </w:rPr>
            </w:pPr>
          </w:p>
        </w:tc>
      </w:tr>
      <w:tr w:rsidR="00D777B9" w:rsidRPr="002732B1" w14:paraId="33D4FA24" w14:textId="77777777" w:rsidTr="00D777B9">
        <w:trPr>
          <w:gridAfter w:val="2"/>
          <w:wAfter w:w="2295" w:type="dxa"/>
          <w:trHeight w:val="255"/>
        </w:trPr>
        <w:tc>
          <w:tcPr>
            <w:tcW w:w="6188" w:type="dxa"/>
            <w:tcBorders>
              <w:top w:val="nil"/>
              <w:left w:val="single" w:sz="4" w:space="0" w:color="auto"/>
              <w:bottom w:val="single" w:sz="4" w:space="0" w:color="auto"/>
              <w:right w:val="single" w:sz="4" w:space="0" w:color="auto"/>
            </w:tcBorders>
          </w:tcPr>
          <w:p w14:paraId="60AD9DA3" w14:textId="77777777" w:rsidR="00D777B9" w:rsidRPr="002732B1" w:rsidRDefault="00D777B9" w:rsidP="00D777B9">
            <w:pPr>
              <w:rPr>
                <w:b/>
                <w:bCs/>
                <w:sz w:val="22"/>
                <w:szCs w:val="22"/>
                <w:lang w:eastAsia="sk-SK"/>
              </w:rPr>
            </w:pPr>
            <w:r w:rsidRPr="002732B1">
              <w:rPr>
                <w:b/>
                <w:bCs/>
                <w:sz w:val="22"/>
                <w:szCs w:val="22"/>
                <w:lang w:eastAsia="sk-SK"/>
              </w:rPr>
              <w:t>Počet zamestnancov celkom</w:t>
            </w:r>
          </w:p>
        </w:tc>
        <w:tc>
          <w:tcPr>
            <w:tcW w:w="1254" w:type="dxa"/>
            <w:tcBorders>
              <w:top w:val="nil"/>
              <w:left w:val="nil"/>
              <w:bottom w:val="single" w:sz="4" w:space="0" w:color="auto"/>
              <w:right w:val="single" w:sz="4" w:space="0" w:color="auto"/>
            </w:tcBorders>
          </w:tcPr>
          <w:p w14:paraId="7F8556A5" w14:textId="77777777" w:rsidR="00D777B9" w:rsidRPr="002732B1" w:rsidRDefault="00D777B9" w:rsidP="002732B1">
            <w:pPr>
              <w:spacing w:after="200"/>
              <w:jc w:val="right"/>
              <w:rPr>
                <w:b/>
                <w:bCs/>
                <w:sz w:val="22"/>
                <w:szCs w:val="22"/>
                <w:lang w:eastAsia="sk-SK"/>
              </w:rPr>
            </w:pPr>
            <w:r w:rsidRPr="002732B1">
              <w:rPr>
                <w:b/>
                <w:bCs/>
                <w:sz w:val="22"/>
                <w:szCs w:val="22"/>
                <w:lang w:eastAsia="sk-SK"/>
              </w:rPr>
              <w:t>0</w:t>
            </w:r>
          </w:p>
        </w:tc>
        <w:tc>
          <w:tcPr>
            <w:tcW w:w="1701" w:type="dxa"/>
            <w:tcBorders>
              <w:top w:val="nil"/>
              <w:left w:val="nil"/>
              <w:bottom w:val="single" w:sz="4" w:space="0" w:color="auto"/>
              <w:right w:val="single" w:sz="4" w:space="0" w:color="auto"/>
            </w:tcBorders>
            <w:shd w:val="clear" w:color="auto" w:fill="auto"/>
          </w:tcPr>
          <w:p w14:paraId="3959EF61" w14:textId="77777777" w:rsidR="00D777B9" w:rsidRPr="002732B1" w:rsidRDefault="00D777B9" w:rsidP="002732B1">
            <w:pPr>
              <w:spacing w:after="200"/>
              <w:jc w:val="right"/>
              <w:rPr>
                <w:b/>
                <w:bCs/>
                <w:sz w:val="22"/>
                <w:szCs w:val="22"/>
                <w:lang w:eastAsia="sk-SK"/>
              </w:rPr>
            </w:pPr>
            <w:r w:rsidRPr="002732B1">
              <w:rPr>
                <w:b/>
                <w:bCs/>
                <w:sz w:val="22"/>
                <w:szCs w:val="22"/>
                <w:lang w:eastAsia="sk-SK"/>
              </w:rPr>
              <w:t>0</w:t>
            </w:r>
          </w:p>
        </w:tc>
        <w:tc>
          <w:tcPr>
            <w:tcW w:w="1701" w:type="dxa"/>
            <w:tcBorders>
              <w:top w:val="nil"/>
              <w:left w:val="nil"/>
              <w:bottom w:val="single" w:sz="4" w:space="0" w:color="auto"/>
              <w:right w:val="single" w:sz="4" w:space="0" w:color="auto"/>
            </w:tcBorders>
          </w:tcPr>
          <w:p w14:paraId="4A412465" w14:textId="77777777" w:rsidR="00D777B9" w:rsidRPr="002732B1" w:rsidRDefault="00D777B9" w:rsidP="002732B1">
            <w:pPr>
              <w:spacing w:after="200"/>
              <w:jc w:val="right"/>
              <w:rPr>
                <w:b/>
                <w:bCs/>
                <w:sz w:val="22"/>
                <w:szCs w:val="22"/>
                <w:lang w:eastAsia="sk-SK"/>
              </w:rPr>
            </w:pPr>
            <w:r w:rsidRPr="002732B1">
              <w:rPr>
                <w:b/>
                <w:bCs/>
                <w:sz w:val="22"/>
                <w:szCs w:val="22"/>
                <w:lang w:eastAsia="sk-SK"/>
              </w:rPr>
              <w:t>2</w:t>
            </w:r>
          </w:p>
        </w:tc>
        <w:tc>
          <w:tcPr>
            <w:tcW w:w="1559" w:type="dxa"/>
            <w:gridSpan w:val="3"/>
            <w:tcBorders>
              <w:top w:val="nil"/>
              <w:left w:val="nil"/>
              <w:bottom w:val="single" w:sz="4" w:space="0" w:color="auto"/>
              <w:right w:val="single" w:sz="4" w:space="0" w:color="auto"/>
            </w:tcBorders>
          </w:tcPr>
          <w:p w14:paraId="401E0D75" w14:textId="77777777" w:rsidR="00D777B9" w:rsidRPr="002732B1" w:rsidRDefault="00D777B9" w:rsidP="002732B1">
            <w:pPr>
              <w:spacing w:after="200"/>
              <w:jc w:val="right"/>
              <w:rPr>
                <w:b/>
                <w:bCs/>
                <w:sz w:val="22"/>
                <w:szCs w:val="22"/>
                <w:lang w:eastAsia="sk-SK"/>
              </w:rPr>
            </w:pPr>
            <w:r w:rsidRPr="002732B1">
              <w:rPr>
                <w:b/>
                <w:bCs/>
                <w:sz w:val="22"/>
                <w:szCs w:val="22"/>
                <w:lang w:eastAsia="sk-SK"/>
              </w:rPr>
              <w:t>2</w:t>
            </w:r>
          </w:p>
        </w:tc>
        <w:tc>
          <w:tcPr>
            <w:tcW w:w="1701" w:type="dxa"/>
            <w:tcBorders>
              <w:top w:val="nil"/>
              <w:left w:val="nil"/>
              <w:bottom w:val="single" w:sz="4" w:space="0" w:color="auto"/>
              <w:right w:val="single" w:sz="4" w:space="0" w:color="auto"/>
            </w:tcBorders>
            <w:noWrap/>
            <w:vAlign w:val="bottom"/>
          </w:tcPr>
          <w:p w14:paraId="5BF72861" w14:textId="77777777" w:rsidR="00D777B9" w:rsidRPr="002732B1" w:rsidRDefault="00D777B9" w:rsidP="00D777B9">
            <w:pPr>
              <w:rPr>
                <w:sz w:val="22"/>
                <w:szCs w:val="22"/>
                <w:lang w:eastAsia="sk-SK"/>
              </w:rPr>
            </w:pPr>
            <w:r w:rsidRPr="002732B1">
              <w:rPr>
                <w:sz w:val="22"/>
                <w:szCs w:val="22"/>
                <w:lang w:eastAsia="sk-SK"/>
              </w:rPr>
              <w:t> </w:t>
            </w:r>
          </w:p>
        </w:tc>
      </w:tr>
      <w:tr w:rsidR="00D777B9" w:rsidRPr="002732B1" w14:paraId="7C416796" w14:textId="77777777" w:rsidTr="00D777B9">
        <w:trPr>
          <w:gridAfter w:val="2"/>
          <w:wAfter w:w="2295" w:type="dxa"/>
          <w:trHeight w:val="255"/>
        </w:trPr>
        <w:tc>
          <w:tcPr>
            <w:tcW w:w="6188" w:type="dxa"/>
            <w:tcBorders>
              <w:top w:val="nil"/>
              <w:left w:val="single" w:sz="4" w:space="0" w:color="auto"/>
              <w:bottom w:val="single" w:sz="4" w:space="0" w:color="auto"/>
              <w:right w:val="single" w:sz="4" w:space="0" w:color="auto"/>
            </w:tcBorders>
          </w:tcPr>
          <w:p w14:paraId="0C8CF5F2" w14:textId="77777777" w:rsidR="00D777B9" w:rsidRPr="002732B1" w:rsidRDefault="00D777B9" w:rsidP="00D777B9">
            <w:pPr>
              <w:rPr>
                <w:b/>
                <w:bCs/>
                <w:sz w:val="22"/>
                <w:szCs w:val="22"/>
                <w:lang w:eastAsia="sk-SK"/>
              </w:rPr>
            </w:pPr>
            <w:r w:rsidRPr="002732B1">
              <w:rPr>
                <w:b/>
                <w:bCs/>
                <w:sz w:val="22"/>
                <w:szCs w:val="22"/>
                <w:lang w:eastAsia="sk-SK"/>
              </w:rPr>
              <w:t xml:space="preserve">   z toho vplyv na ŠR</w:t>
            </w:r>
          </w:p>
        </w:tc>
        <w:tc>
          <w:tcPr>
            <w:tcW w:w="1254" w:type="dxa"/>
            <w:tcBorders>
              <w:top w:val="single" w:sz="4" w:space="0" w:color="auto"/>
              <w:left w:val="nil"/>
              <w:bottom w:val="single" w:sz="4" w:space="0" w:color="auto"/>
              <w:right w:val="single" w:sz="4" w:space="0" w:color="auto"/>
            </w:tcBorders>
          </w:tcPr>
          <w:p w14:paraId="16C4079A" w14:textId="77777777" w:rsidR="00D777B9" w:rsidRPr="002732B1" w:rsidRDefault="00D777B9" w:rsidP="002732B1">
            <w:pPr>
              <w:spacing w:after="200"/>
              <w:jc w:val="right"/>
              <w:rPr>
                <w:b/>
                <w:bCs/>
                <w:sz w:val="22"/>
                <w:szCs w:val="22"/>
                <w:lang w:eastAsia="sk-SK"/>
              </w:rPr>
            </w:pPr>
            <w:r w:rsidRPr="002732B1">
              <w:rPr>
                <w:b/>
                <w:bCs/>
                <w:sz w:val="22"/>
                <w:szCs w:val="22"/>
                <w:lang w:eastAsia="sk-SK"/>
              </w:rPr>
              <w:t>0</w:t>
            </w:r>
          </w:p>
        </w:tc>
        <w:tc>
          <w:tcPr>
            <w:tcW w:w="1701" w:type="dxa"/>
            <w:tcBorders>
              <w:top w:val="single" w:sz="4" w:space="0" w:color="auto"/>
              <w:left w:val="nil"/>
              <w:bottom w:val="single" w:sz="4" w:space="0" w:color="auto"/>
              <w:right w:val="single" w:sz="4" w:space="0" w:color="auto"/>
            </w:tcBorders>
            <w:shd w:val="clear" w:color="auto" w:fill="auto"/>
          </w:tcPr>
          <w:p w14:paraId="79646BBE" w14:textId="77777777" w:rsidR="00D777B9" w:rsidRPr="002732B1" w:rsidRDefault="00D777B9" w:rsidP="002732B1">
            <w:pPr>
              <w:spacing w:after="200"/>
              <w:jc w:val="right"/>
              <w:rPr>
                <w:b/>
                <w:bCs/>
                <w:sz w:val="22"/>
                <w:szCs w:val="22"/>
                <w:lang w:eastAsia="sk-SK"/>
              </w:rPr>
            </w:pPr>
            <w:r w:rsidRPr="002732B1">
              <w:rPr>
                <w:b/>
                <w:bCs/>
                <w:sz w:val="22"/>
                <w:szCs w:val="22"/>
                <w:lang w:eastAsia="sk-SK"/>
              </w:rPr>
              <w:t>0</w:t>
            </w:r>
          </w:p>
        </w:tc>
        <w:tc>
          <w:tcPr>
            <w:tcW w:w="1701" w:type="dxa"/>
            <w:tcBorders>
              <w:top w:val="single" w:sz="4" w:space="0" w:color="auto"/>
              <w:left w:val="nil"/>
              <w:bottom w:val="single" w:sz="4" w:space="0" w:color="auto"/>
              <w:right w:val="single" w:sz="4" w:space="0" w:color="auto"/>
            </w:tcBorders>
          </w:tcPr>
          <w:p w14:paraId="1C865F32" w14:textId="77777777" w:rsidR="00D777B9" w:rsidRPr="002732B1" w:rsidRDefault="00D777B9" w:rsidP="002732B1">
            <w:pPr>
              <w:spacing w:after="200"/>
              <w:jc w:val="right"/>
              <w:rPr>
                <w:b/>
                <w:bCs/>
                <w:sz w:val="22"/>
                <w:szCs w:val="22"/>
                <w:lang w:eastAsia="sk-SK"/>
              </w:rPr>
            </w:pPr>
            <w:r w:rsidRPr="002732B1">
              <w:rPr>
                <w:b/>
                <w:bCs/>
                <w:sz w:val="22"/>
                <w:szCs w:val="22"/>
                <w:lang w:eastAsia="sk-SK"/>
              </w:rPr>
              <w:t>2</w:t>
            </w:r>
          </w:p>
        </w:tc>
        <w:tc>
          <w:tcPr>
            <w:tcW w:w="1559" w:type="dxa"/>
            <w:gridSpan w:val="3"/>
            <w:tcBorders>
              <w:top w:val="single" w:sz="4" w:space="0" w:color="auto"/>
              <w:left w:val="nil"/>
              <w:bottom w:val="single" w:sz="4" w:space="0" w:color="auto"/>
              <w:right w:val="single" w:sz="4" w:space="0" w:color="auto"/>
            </w:tcBorders>
          </w:tcPr>
          <w:p w14:paraId="69FECEB6" w14:textId="77777777" w:rsidR="00D777B9" w:rsidRPr="002732B1" w:rsidRDefault="00D777B9" w:rsidP="002732B1">
            <w:pPr>
              <w:spacing w:after="200"/>
              <w:jc w:val="right"/>
              <w:rPr>
                <w:b/>
                <w:bCs/>
                <w:sz w:val="22"/>
                <w:szCs w:val="22"/>
                <w:lang w:eastAsia="sk-SK"/>
              </w:rPr>
            </w:pPr>
            <w:r w:rsidRPr="002732B1">
              <w:rPr>
                <w:b/>
                <w:bCs/>
                <w:sz w:val="22"/>
                <w:szCs w:val="22"/>
                <w:lang w:eastAsia="sk-SK"/>
              </w:rPr>
              <w:t>2</w:t>
            </w:r>
          </w:p>
        </w:tc>
        <w:tc>
          <w:tcPr>
            <w:tcW w:w="1701" w:type="dxa"/>
            <w:tcBorders>
              <w:top w:val="nil"/>
              <w:left w:val="nil"/>
              <w:bottom w:val="single" w:sz="4" w:space="0" w:color="auto"/>
              <w:right w:val="single" w:sz="4" w:space="0" w:color="auto"/>
            </w:tcBorders>
            <w:noWrap/>
            <w:vAlign w:val="bottom"/>
          </w:tcPr>
          <w:p w14:paraId="6F4D1C3E" w14:textId="77777777" w:rsidR="00D777B9" w:rsidRPr="002732B1" w:rsidRDefault="00D777B9" w:rsidP="00D777B9">
            <w:pPr>
              <w:rPr>
                <w:sz w:val="22"/>
                <w:szCs w:val="22"/>
                <w:lang w:eastAsia="sk-SK"/>
              </w:rPr>
            </w:pPr>
          </w:p>
        </w:tc>
      </w:tr>
      <w:tr w:rsidR="00D777B9" w:rsidRPr="002732B1" w14:paraId="78FC08D4" w14:textId="77777777" w:rsidTr="00D777B9">
        <w:trPr>
          <w:gridAfter w:val="2"/>
          <w:wAfter w:w="2295" w:type="dxa"/>
          <w:trHeight w:val="255"/>
        </w:trPr>
        <w:tc>
          <w:tcPr>
            <w:tcW w:w="6188" w:type="dxa"/>
            <w:tcBorders>
              <w:top w:val="nil"/>
              <w:left w:val="single" w:sz="4" w:space="0" w:color="auto"/>
              <w:bottom w:val="single" w:sz="4" w:space="0" w:color="auto"/>
              <w:right w:val="single" w:sz="4" w:space="0" w:color="auto"/>
            </w:tcBorders>
          </w:tcPr>
          <w:p w14:paraId="742FE970" w14:textId="77777777" w:rsidR="00D777B9" w:rsidRPr="002732B1" w:rsidRDefault="00D777B9" w:rsidP="00D777B9">
            <w:pPr>
              <w:rPr>
                <w:b/>
                <w:bCs/>
                <w:sz w:val="22"/>
                <w:szCs w:val="22"/>
                <w:lang w:eastAsia="sk-SK"/>
              </w:rPr>
            </w:pPr>
            <w:r w:rsidRPr="002732B1">
              <w:rPr>
                <w:b/>
                <w:bCs/>
                <w:sz w:val="22"/>
                <w:szCs w:val="22"/>
                <w:lang w:eastAsia="sk-SK"/>
              </w:rPr>
              <w:t>Priemerný mzdový výdavok (v eurách)</w:t>
            </w:r>
          </w:p>
        </w:tc>
        <w:tc>
          <w:tcPr>
            <w:tcW w:w="1254" w:type="dxa"/>
            <w:tcBorders>
              <w:top w:val="single" w:sz="4" w:space="0" w:color="auto"/>
              <w:left w:val="nil"/>
              <w:bottom w:val="single" w:sz="4" w:space="0" w:color="auto"/>
              <w:right w:val="single" w:sz="4" w:space="0" w:color="auto"/>
            </w:tcBorders>
          </w:tcPr>
          <w:p w14:paraId="6D1B68F1" w14:textId="77777777" w:rsidR="00D777B9" w:rsidRPr="002732B1" w:rsidRDefault="00D777B9" w:rsidP="002732B1">
            <w:pPr>
              <w:spacing w:after="200"/>
              <w:jc w:val="right"/>
              <w:rPr>
                <w:color w:val="000000"/>
                <w:sz w:val="22"/>
                <w:szCs w:val="22"/>
              </w:rPr>
            </w:pPr>
            <w:r w:rsidRPr="002732B1">
              <w:rPr>
                <w:color w:val="000000"/>
                <w:sz w:val="22"/>
                <w:szCs w:val="22"/>
              </w:rPr>
              <w:t>0</w:t>
            </w:r>
          </w:p>
        </w:tc>
        <w:tc>
          <w:tcPr>
            <w:tcW w:w="1701" w:type="dxa"/>
            <w:tcBorders>
              <w:top w:val="single" w:sz="4" w:space="0" w:color="auto"/>
              <w:left w:val="nil"/>
              <w:bottom w:val="single" w:sz="4" w:space="0" w:color="auto"/>
              <w:right w:val="single" w:sz="4" w:space="0" w:color="auto"/>
            </w:tcBorders>
            <w:shd w:val="clear" w:color="auto" w:fill="auto"/>
          </w:tcPr>
          <w:p w14:paraId="4F95DE1C" w14:textId="77777777" w:rsidR="00D777B9" w:rsidRPr="002732B1" w:rsidRDefault="00D777B9" w:rsidP="002732B1">
            <w:pPr>
              <w:spacing w:after="200"/>
              <w:jc w:val="right"/>
              <w:rPr>
                <w:b/>
                <w:bCs/>
                <w:sz w:val="22"/>
                <w:szCs w:val="22"/>
                <w:lang w:eastAsia="sk-SK"/>
              </w:rPr>
            </w:pPr>
            <w:r w:rsidRPr="002732B1">
              <w:rPr>
                <w:color w:val="000000"/>
                <w:sz w:val="22"/>
                <w:szCs w:val="22"/>
              </w:rPr>
              <w:t>0</w:t>
            </w:r>
          </w:p>
        </w:tc>
        <w:tc>
          <w:tcPr>
            <w:tcW w:w="1701" w:type="dxa"/>
            <w:tcBorders>
              <w:top w:val="single" w:sz="4" w:space="0" w:color="auto"/>
              <w:left w:val="nil"/>
              <w:bottom w:val="single" w:sz="4" w:space="0" w:color="auto"/>
              <w:right w:val="single" w:sz="4" w:space="0" w:color="auto"/>
            </w:tcBorders>
          </w:tcPr>
          <w:p w14:paraId="4376BC0D" w14:textId="77777777" w:rsidR="00D777B9" w:rsidRPr="002732B1" w:rsidRDefault="00D777B9" w:rsidP="002732B1">
            <w:pPr>
              <w:spacing w:after="200"/>
              <w:jc w:val="right"/>
              <w:rPr>
                <w:b/>
                <w:bCs/>
                <w:sz w:val="22"/>
                <w:szCs w:val="22"/>
                <w:lang w:eastAsia="sk-SK"/>
              </w:rPr>
            </w:pPr>
            <w:r w:rsidRPr="002732B1">
              <w:rPr>
                <w:color w:val="000000"/>
                <w:sz w:val="22"/>
                <w:szCs w:val="22"/>
              </w:rPr>
              <w:t>4 000,00</w:t>
            </w:r>
          </w:p>
        </w:tc>
        <w:tc>
          <w:tcPr>
            <w:tcW w:w="1559" w:type="dxa"/>
            <w:gridSpan w:val="3"/>
            <w:tcBorders>
              <w:top w:val="single" w:sz="4" w:space="0" w:color="auto"/>
              <w:left w:val="nil"/>
              <w:bottom w:val="single" w:sz="4" w:space="0" w:color="auto"/>
              <w:right w:val="single" w:sz="4" w:space="0" w:color="auto"/>
            </w:tcBorders>
          </w:tcPr>
          <w:p w14:paraId="3D191D6F" w14:textId="77777777" w:rsidR="00D777B9" w:rsidRPr="002732B1" w:rsidRDefault="00D777B9" w:rsidP="002732B1">
            <w:pPr>
              <w:spacing w:after="200"/>
              <w:jc w:val="right"/>
              <w:rPr>
                <w:color w:val="000000"/>
                <w:sz w:val="22"/>
                <w:szCs w:val="22"/>
              </w:rPr>
            </w:pPr>
            <w:r w:rsidRPr="002732B1">
              <w:rPr>
                <w:color w:val="000000"/>
                <w:sz w:val="22"/>
                <w:szCs w:val="22"/>
              </w:rPr>
              <w:t>4 000,00</w:t>
            </w:r>
          </w:p>
        </w:tc>
        <w:tc>
          <w:tcPr>
            <w:tcW w:w="1701" w:type="dxa"/>
            <w:tcBorders>
              <w:top w:val="nil"/>
              <w:left w:val="nil"/>
              <w:bottom w:val="single" w:sz="4" w:space="0" w:color="auto"/>
              <w:right w:val="single" w:sz="4" w:space="0" w:color="auto"/>
            </w:tcBorders>
            <w:noWrap/>
            <w:vAlign w:val="bottom"/>
          </w:tcPr>
          <w:p w14:paraId="078AF595" w14:textId="77777777" w:rsidR="00D777B9" w:rsidRPr="002732B1" w:rsidRDefault="00D777B9" w:rsidP="00D777B9">
            <w:pPr>
              <w:rPr>
                <w:sz w:val="22"/>
                <w:szCs w:val="22"/>
                <w:lang w:eastAsia="sk-SK"/>
              </w:rPr>
            </w:pPr>
            <w:r w:rsidRPr="002732B1">
              <w:rPr>
                <w:sz w:val="22"/>
                <w:szCs w:val="22"/>
                <w:lang w:eastAsia="sk-SK"/>
              </w:rPr>
              <w:t> </w:t>
            </w:r>
          </w:p>
        </w:tc>
      </w:tr>
      <w:tr w:rsidR="00D777B9" w:rsidRPr="002732B1" w14:paraId="5DFAD850" w14:textId="77777777" w:rsidTr="00D777B9">
        <w:trPr>
          <w:gridAfter w:val="2"/>
          <w:wAfter w:w="2295" w:type="dxa"/>
          <w:trHeight w:val="255"/>
        </w:trPr>
        <w:tc>
          <w:tcPr>
            <w:tcW w:w="6188" w:type="dxa"/>
            <w:tcBorders>
              <w:top w:val="nil"/>
              <w:left w:val="single" w:sz="4" w:space="0" w:color="auto"/>
              <w:bottom w:val="single" w:sz="4" w:space="0" w:color="auto"/>
              <w:right w:val="single" w:sz="4" w:space="0" w:color="auto"/>
            </w:tcBorders>
          </w:tcPr>
          <w:p w14:paraId="77EB9397" w14:textId="77777777" w:rsidR="00D777B9" w:rsidRPr="002732B1" w:rsidRDefault="00D777B9" w:rsidP="00D777B9">
            <w:pPr>
              <w:rPr>
                <w:sz w:val="22"/>
                <w:szCs w:val="22"/>
                <w:lang w:eastAsia="sk-SK"/>
              </w:rPr>
            </w:pPr>
            <w:r w:rsidRPr="002732B1">
              <w:rPr>
                <w:b/>
                <w:bCs/>
                <w:sz w:val="22"/>
                <w:szCs w:val="22"/>
                <w:lang w:eastAsia="sk-SK"/>
              </w:rPr>
              <w:t xml:space="preserve">   z toho vplyv na ŠR</w:t>
            </w:r>
          </w:p>
        </w:tc>
        <w:tc>
          <w:tcPr>
            <w:tcW w:w="1254" w:type="dxa"/>
            <w:tcBorders>
              <w:top w:val="single" w:sz="4" w:space="0" w:color="auto"/>
              <w:left w:val="nil"/>
              <w:bottom w:val="single" w:sz="4" w:space="0" w:color="auto"/>
              <w:right w:val="single" w:sz="4" w:space="0" w:color="auto"/>
            </w:tcBorders>
          </w:tcPr>
          <w:p w14:paraId="2389FB52" w14:textId="77777777" w:rsidR="00D777B9" w:rsidRPr="002732B1" w:rsidRDefault="00D777B9" w:rsidP="002732B1">
            <w:pPr>
              <w:spacing w:after="200"/>
              <w:jc w:val="right"/>
              <w:rPr>
                <w:color w:val="000000"/>
                <w:sz w:val="22"/>
                <w:szCs w:val="22"/>
              </w:rPr>
            </w:pPr>
            <w:r w:rsidRPr="002732B1">
              <w:rPr>
                <w:color w:val="000000"/>
                <w:sz w:val="22"/>
                <w:szCs w:val="22"/>
              </w:rPr>
              <w:t>0</w:t>
            </w:r>
          </w:p>
        </w:tc>
        <w:tc>
          <w:tcPr>
            <w:tcW w:w="1701" w:type="dxa"/>
            <w:tcBorders>
              <w:top w:val="single" w:sz="4" w:space="0" w:color="auto"/>
              <w:left w:val="nil"/>
              <w:bottom w:val="single" w:sz="4" w:space="0" w:color="auto"/>
              <w:right w:val="single" w:sz="4" w:space="0" w:color="auto"/>
            </w:tcBorders>
            <w:shd w:val="clear" w:color="auto" w:fill="auto"/>
          </w:tcPr>
          <w:p w14:paraId="7F7B4F2E" w14:textId="77777777" w:rsidR="00D777B9" w:rsidRPr="002732B1" w:rsidRDefault="00D777B9" w:rsidP="002732B1">
            <w:pPr>
              <w:spacing w:after="200"/>
              <w:jc w:val="right"/>
              <w:rPr>
                <w:b/>
                <w:bCs/>
                <w:sz w:val="22"/>
                <w:szCs w:val="22"/>
                <w:lang w:eastAsia="sk-SK"/>
              </w:rPr>
            </w:pPr>
            <w:r w:rsidRPr="002732B1">
              <w:rPr>
                <w:color w:val="000000"/>
                <w:sz w:val="22"/>
                <w:szCs w:val="22"/>
              </w:rPr>
              <w:t>0</w:t>
            </w:r>
          </w:p>
        </w:tc>
        <w:tc>
          <w:tcPr>
            <w:tcW w:w="1701" w:type="dxa"/>
            <w:tcBorders>
              <w:top w:val="single" w:sz="4" w:space="0" w:color="auto"/>
              <w:left w:val="nil"/>
              <w:bottom w:val="single" w:sz="4" w:space="0" w:color="auto"/>
              <w:right w:val="single" w:sz="4" w:space="0" w:color="auto"/>
            </w:tcBorders>
          </w:tcPr>
          <w:p w14:paraId="3899821C" w14:textId="77777777" w:rsidR="00D777B9" w:rsidRPr="002732B1" w:rsidRDefault="00D777B9" w:rsidP="002732B1">
            <w:pPr>
              <w:spacing w:after="200"/>
              <w:jc w:val="right"/>
              <w:rPr>
                <w:b/>
                <w:bCs/>
                <w:sz w:val="22"/>
                <w:szCs w:val="22"/>
                <w:lang w:eastAsia="sk-SK"/>
              </w:rPr>
            </w:pPr>
            <w:r w:rsidRPr="002732B1">
              <w:rPr>
                <w:color w:val="000000"/>
                <w:sz w:val="22"/>
                <w:szCs w:val="22"/>
              </w:rPr>
              <w:t>4 000,00</w:t>
            </w:r>
          </w:p>
        </w:tc>
        <w:tc>
          <w:tcPr>
            <w:tcW w:w="1559" w:type="dxa"/>
            <w:gridSpan w:val="3"/>
            <w:tcBorders>
              <w:top w:val="single" w:sz="4" w:space="0" w:color="auto"/>
              <w:left w:val="nil"/>
              <w:bottom w:val="single" w:sz="4" w:space="0" w:color="auto"/>
              <w:right w:val="single" w:sz="4" w:space="0" w:color="auto"/>
            </w:tcBorders>
          </w:tcPr>
          <w:p w14:paraId="74214350" w14:textId="77777777" w:rsidR="00D777B9" w:rsidRPr="002732B1" w:rsidRDefault="00D777B9" w:rsidP="002732B1">
            <w:pPr>
              <w:spacing w:after="200"/>
              <w:jc w:val="right"/>
              <w:rPr>
                <w:color w:val="000000"/>
                <w:sz w:val="22"/>
                <w:szCs w:val="22"/>
              </w:rPr>
            </w:pPr>
            <w:r w:rsidRPr="002732B1">
              <w:rPr>
                <w:color w:val="000000"/>
                <w:sz w:val="22"/>
                <w:szCs w:val="22"/>
              </w:rPr>
              <w:t>4 000,00</w:t>
            </w:r>
          </w:p>
        </w:tc>
        <w:tc>
          <w:tcPr>
            <w:tcW w:w="1701" w:type="dxa"/>
            <w:tcBorders>
              <w:top w:val="nil"/>
              <w:left w:val="nil"/>
              <w:bottom w:val="single" w:sz="4" w:space="0" w:color="auto"/>
              <w:right w:val="single" w:sz="4" w:space="0" w:color="auto"/>
            </w:tcBorders>
            <w:noWrap/>
            <w:vAlign w:val="bottom"/>
          </w:tcPr>
          <w:p w14:paraId="3B20376B" w14:textId="77777777" w:rsidR="00D777B9" w:rsidRPr="002732B1" w:rsidRDefault="00D777B9" w:rsidP="00D777B9">
            <w:pPr>
              <w:rPr>
                <w:sz w:val="22"/>
                <w:szCs w:val="22"/>
                <w:lang w:eastAsia="sk-SK"/>
              </w:rPr>
            </w:pPr>
            <w:r w:rsidRPr="002732B1">
              <w:rPr>
                <w:sz w:val="22"/>
                <w:szCs w:val="22"/>
                <w:lang w:eastAsia="sk-SK"/>
              </w:rPr>
              <w:t> </w:t>
            </w:r>
          </w:p>
        </w:tc>
      </w:tr>
      <w:tr w:rsidR="00D777B9" w:rsidRPr="002732B1" w14:paraId="66E0F863" w14:textId="77777777" w:rsidTr="00D777B9">
        <w:trPr>
          <w:gridAfter w:val="2"/>
          <w:wAfter w:w="2295" w:type="dxa"/>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7B496A19" w14:textId="77777777" w:rsidR="00D777B9" w:rsidRPr="002732B1" w:rsidRDefault="00D777B9" w:rsidP="00D777B9">
            <w:pPr>
              <w:rPr>
                <w:b/>
                <w:bCs/>
                <w:sz w:val="22"/>
                <w:szCs w:val="22"/>
                <w:lang w:eastAsia="sk-SK"/>
              </w:rPr>
            </w:pPr>
            <w:r w:rsidRPr="002732B1">
              <w:rPr>
                <w:b/>
                <w:bCs/>
                <w:sz w:val="22"/>
                <w:szCs w:val="22"/>
                <w:lang w:eastAsia="sk-SK"/>
              </w:rPr>
              <w:t>Osobné výdavky celkom (v eurách)</w:t>
            </w:r>
          </w:p>
        </w:tc>
        <w:tc>
          <w:tcPr>
            <w:tcW w:w="1254" w:type="dxa"/>
            <w:tcBorders>
              <w:top w:val="nil"/>
              <w:left w:val="nil"/>
              <w:bottom w:val="single" w:sz="4" w:space="0" w:color="auto"/>
              <w:right w:val="single" w:sz="4" w:space="0" w:color="auto"/>
            </w:tcBorders>
            <w:shd w:val="clear" w:color="auto" w:fill="BFBFBF" w:themeFill="background1" w:themeFillShade="BF"/>
            <w:vAlign w:val="bottom"/>
          </w:tcPr>
          <w:p w14:paraId="4A7836A5" w14:textId="77777777" w:rsidR="00D777B9" w:rsidRPr="002732B1" w:rsidRDefault="00D777B9" w:rsidP="002732B1">
            <w:pPr>
              <w:spacing w:after="200"/>
              <w:jc w:val="right"/>
              <w:rPr>
                <w:b/>
                <w:color w:val="000000"/>
                <w:sz w:val="22"/>
                <w:szCs w:val="22"/>
              </w:rPr>
            </w:pPr>
            <w:r w:rsidRPr="002732B1">
              <w:rPr>
                <w:b/>
                <w:color w:val="000000"/>
                <w:sz w:val="22"/>
                <w:szCs w:val="22"/>
              </w:rPr>
              <w:t>0</w:t>
            </w:r>
          </w:p>
        </w:tc>
        <w:tc>
          <w:tcPr>
            <w:tcW w:w="1701" w:type="dxa"/>
            <w:tcBorders>
              <w:top w:val="nil"/>
              <w:left w:val="nil"/>
              <w:bottom w:val="single" w:sz="4" w:space="0" w:color="auto"/>
              <w:right w:val="single" w:sz="4" w:space="0" w:color="auto"/>
            </w:tcBorders>
            <w:shd w:val="clear" w:color="auto" w:fill="BFBFBF" w:themeFill="background1" w:themeFillShade="BF"/>
          </w:tcPr>
          <w:p w14:paraId="00D531A2" w14:textId="77777777" w:rsidR="00D777B9" w:rsidRPr="002732B1" w:rsidRDefault="00D777B9" w:rsidP="002732B1">
            <w:pPr>
              <w:spacing w:after="200"/>
              <w:jc w:val="right"/>
              <w:rPr>
                <w:b/>
                <w:color w:val="000000"/>
                <w:sz w:val="22"/>
                <w:szCs w:val="22"/>
              </w:rPr>
            </w:pPr>
            <w:r w:rsidRPr="002732B1">
              <w:rPr>
                <w:sz w:val="22"/>
                <w:szCs w:val="22"/>
              </w:rPr>
              <w:t>0</w:t>
            </w:r>
          </w:p>
        </w:tc>
        <w:tc>
          <w:tcPr>
            <w:tcW w:w="1701" w:type="dxa"/>
            <w:tcBorders>
              <w:top w:val="nil"/>
              <w:left w:val="nil"/>
              <w:bottom w:val="single" w:sz="4" w:space="0" w:color="auto"/>
              <w:right w:val="single" w:sz="4" w:space="0" w:color="auto"/>
            </w:tcBorders>
            <w:shd w:val="clear" w:color="auto" w:fill="BFBFBF" w:themeFill="background1" w:themeFillShade="BF"/>
          </w:tcPr>
          <w:p w14:paraId="0DDDD797" w14:textId="77777777" w:rsidR="00D777B9" w:rsidRPr="002732B1" w:rsidRDefault="00D777B9" w:rsidP="002732B1">
            <w:pPr>
              <w:spacing w:after="200"/>
              <w:jc w:val="right"/>
              <w:rPr>
                <w:b/>
                <w:color w:val="000000"/>
                <w:sz w:val="22"/>
                <w:szCs w:val="22"/>
              </w:rPr>
            </w:pPr>
            <w:r w:rsidRPr="002732B1">
              <w:rPr>
                <w:sz w:val="22"/>
                <w:szCs w:val="22"/>
              </w:rPr>
              <w:t>129 552,00</w:t>
            </w:r>
          </w:p>
        </w:tc>
        <w:tc>
          <w:tcPr>
            <w:tcW w:w="1559" w:type="dxa"/>
            <w:gridSpan w:val="3"/>
            <w:tcBorders>
              <w:top w:val="nil"/>
              <w:left w:val="nil"/>
              <w:bottom w:val="single" w:sz="4" w:space="0" w:color="auto"/>
              <w:right w:val="single" w:sz="4" w:space="0" w:color="auto"/>
            </w:tcBorders>
            <w:shd w:val="clear" w:color="auto" w:fill="BFBFBF" w:themeFill="background1" w:themeFillShade="BF"/>
          </w:tcPr>
          <w:p w14:paraId="12A47721" w14:textId="77777777" w:rsidR="00D777B9" w:rsidRPr="002732B1" w:rsidRDefault="00D777B9" w:rsidP="002732B1">
            <w:pPr>
              <w:spacing w:after="200"/>
              <w:jc w:val="right"/>
              <w:rPr>
                <w:b/>
                <w:color w:val="000000"/>
                <w:sz w:val="22"/>
                <w:szCs w:val="22"/>
              </w:rPr>
            </w:pPr>
            <w:r w:rsidRPr="002732B1">
              <w:rPr>
                <w:sz w:val="22"/>
                <w:szCs w:val="22"/>
              </w:rPr>
              <w:t>129 552,00</w:t>
            </w:r>
          </w:p>
        </w:tc>
        <w:tc>
          <w:tcPr>
            <w:tcW w:w="1701" w:type="dxa"/>
            <w:tcBorders>
              <w:top w:val="nil"/>
              <w:left w:val="nil"/>
              <w:bottom w:val="single" w:sz="4" w:space="0" w:color="auto"/>
              <w:right w:val="single" w:sz="4" w:space="0" w:color="auto"/>
            </w:tcBorders>
            <w:shd w:val="clear" w:color="auto" w:fill="BFBFBF" w:themeFill="background1" w:themeFillShade="BF"/>
            <w:noWrap/>
            <w:vAlign w:val="bottom"/>
          </w:tcPr>
          <w:p w14:paraId="4A7ADF9A" w14:textId="77777777" w:rsidR="00D777B9" w:rsidRPr="002732B1" w:rsidRDefault="00D777B9" w:rsidP="00D777B9">
            <w:pPr>
              <w:rPr>
                <w:b/>
                <w:bCs/>
                <w:sz w:val="22"/>
                <w:szCs w:val="22"/>
                <w:lang w:eastAsia="sk-SK"/>
              </w:rPr>
            </w:pPr>
            <w:r w:rsidRPr="002732B1">
              <w:rPr>
                <w:b/>
                <w:bCs/>
                <w:sz w:val="22"/>
                <w:szCs w:val="22"/>
                <w:lang w:eastAsia="sk-SK"/>
              </w:rPr>
              <w:t> </w:t>
            </w:r>
          </w:p>
        </w:tc>
      </w:tr>
      <w:tr w:rsidR="00D777B9" w:rsidRPr="002732B1" w14:paraId="0A7364AC" w14:textId="77777777" w:rsidTr="00D777B9">
        <w:trPr>
          <w:gridAfter w:val="2"/>
          <w:wAfter w:w="2295" w:type="dxa"/>
          <w:trHeight w:val="255"/>
        </w:trPr>
        <w:tc>
          <w:tcPr>
            <w:tcW w:w="6188" w:type="dxa"/>
            <w:tcBorders>
              <w:top w:val="nil"/>
              <w:left w:val="single" w:sz="4" w:space="0" w:color="auto"/>
              <w:bottom w:val="single" w:sz="4" w:space="0" w:color="auto"/>
              <w:right w:val="single" w:sz="4" w:space="0" w:color="auto"/>
            </w:tcBorders>
          </w:tcPr>
          <w:p w14:paraId="5FA5E39A" w14:textId="77777777" w:rsidR="00D777B9" w:rsidRPr="002732B1" w:rsidRDefault="00D777B9" w:rsidP="00D777B9">
            <w:pPr>
              <w:rPr>
                <w:b/>
                <w:bCs/>
                <w:sz w:val="22"/>
                <w:szCs w:val="22"/>
                <w:lang w:eastAsia="sk-SK"/>
              </w:rPr>
            </w:pPr>
            <w:r w:rsidRPr="002732B1">
              <w:rPr>
                <w:b/>
                <w:bCs/>
                <w:sz w:val="22"/>
                <w:szCs w:val="22"/>
                <w:lang w:eastAsia="sk-SK"/>
              </w:rPr>
              <w:t>Mzdy, platy, služobné príjmy a ostatné osobné vyrovnania (610)</w:t>
            </w:r>
          </w:p>
        </w:tc>
        <w:tc>
          <w:tcPr>
            <w:tcW w:w="1254" w:type="dxa"/>
            <w:tcBorders>
              <w:top w:val="nil"/>
              <w:left w:val="nil"/>
              <w:bottom w:val="single" w:sz="4" w:space="0" w:color="auto"/>
              <w:right w:val="single" w:sz="4" w:space="0" w:color="auto"/>
            </w:tcBorders>
          </w:tcPr>
          <w:p w14:paraId="7A196B86" w14:textId="77777777" w:rsidR="00D777B9" w:rsidRPr="002732B1" w:rsidRDefault="00D777B9" w:rsidP="002732B1">
            <w:pPr>
              <w:spacing w:after="200"/>
              <w:jc w:val="right"/>
              <w:rPr>
                <w:sz w:val="22"/>
                <w:szCs w:val="22"/>
              </w:rPr>
            </w:pPr>
            <w:r w:rsidRPr="002732B1">
              <w:rPr>
                <w:sz w:val="22"/>
                <w:szCs w:val="22"/>
              </w:rPr>
              <w:t>0</w:t>
            </w:r>
          </w:p>
        </w:tc>
        <w:tc>
          <w:tcPr>
            <w:tcW w:w="1701" w:type="dxa"/>
            <w:tcBorders>
              <w:top w:val="nil"/>
              <w:left w:val="nil"/>
              <w:bottom w:val="single" w:sz="4" w:space="0" w:color="auto"/>
              <w:right w:val="single" w:sz="4" w:space="0" w:color="auto"/>
            </w:tcBorders>
            <w:vAlign w:val="bottom"/>
          </w:tcPr>
          <w:p w14:paraId="3C3EF90D" w14:textId="77777777" w:rsidR="00D777B9" w:rsidRPr="002732B1" w:rsidRDefault="00D777B9" w:rsidP="002732B1">
            <w:pPr>
              <w:spacing w:after="200"/>
              <w:jc w:val="right"/>
              <w:rPr>
                <w:sz w:val="22"/>
                <w:szCs w:val="22"/>
              </w:rPr>
            </w:pPr>
            <w:r w:rsidRPr="002732B1">
              <w:rPr>
                <w:color w:val="000000"/>
                <w:sz w:val="22"/>
                <w:szCs w:val="22"/>
              </w:rPr>
              <w:t>0</w:t>
            </w:r>
          </w:p>
        </w:tc>
        <w:tc>
          <w:tcPr>
            <w:tcW w:w="1701" w:type="dxa"/>
            <w:tcBorders>
              <w:top w:val="nil"/>
              <w:left w:val="nil"/>
              <w:bottom w:val="single" w:sz="4" w:space="0" w:color="auto"/>
              <w:right w:val="single" w:sz="4" w:space="0" w:color="auto"/>
            </w:tcBorders>
            <w:vAlign w:val="bottom"/>
          </w:tcPr>
          <w:p w14:paraId="56E54DD9" w14:textId="77777777" w:rsidR="00D777B9" w:rsidRPr="002732B1" w:rsidRDefault="00D777B9" w:rsidP="002732B1">
            <w:pPr>
              <w:spacing w:after="200"/>
              <w:jc w:val="right"/>
              <w:rPr>
                <w:sz w:val="22"/>
                <w:szCs w:val="22"/>
              </w:rPr>
            </w:pPr>
            <w:r w:rsidRPr="002732B1">
              <w:rPr>
                <w:color w:val="000000"/>
                <w:sz w:val="22"/>
                <w:szCs w:val="22"/>
              </w:rPr>
              <w:t>96 000,00</w:t>
            </w:r>
          </w:p>
        </w:tc>
        <w:tc>
          <w:tcPr>
            <w:tcW w:w="1559" w:type="dxa"/>
            <w:gridSpan w:val="3"/>
            <w:tcBorders>
              <w:top w:val="nil"/>
              <w:left w:val="nil"/>
              <w:bottom w:val="single" w:sz="4" w:space="0" w:color="auto"/>
              <w:right w:val="single" w:sz="4" w:space="0" w:color="auto"/>
            </w:tcBorders>
            <w:vAlign w:val="bottom"/>
          </w:tcPr>
          <w:p w14:paraId="35E86DC7" w14:textId="77777777" w:rsidR="00D777B9" w:rsidRPr="002732B1" w:rsidRDefault="00D777B9" w:rsidP="002732B1">
            <w:pPr>
              <w:spacing w:after="200"/>
              <w:jc w:val="right"/>
              <w:rPr>
                <w:sz w:val="22"/>
                <w:szCs w:val="22"/>
              </w:rPr>
            </w:pPr>
            <w:r w:rsidRPr="002732B1">
              <w:rPr>
                <w:color w:val="000000"/>
                <w:sz w:val="22"/>
                <w:szCs w:val="22"/>
              </w:rPr>
              <w:t>96 000,00</w:t>
            </w:r>
          </w:p>
        </w:tc>
        <w:tc>
          <w:tcPr>
            <w:tcW w:w="1701" w:type="dxa"/>
            <w:tcBorders>
              <w:top w:val="nil"/>
              <w:left w:val="nil"/>
              <w:bottom w:val="single" w:sz="4" w:space="0" w:color="auto"/>
              <w:right w:val="single" w:sz="4" w:space="0" w:color="auto"/>
            </w:tcBorders>
            <w:noWrap/>
            <w:vAlign w:val="bottom"/>
          </w:tcPr>
          <w:p w14:paraId="30C82D02" w14:textId="77777777" w:rsidR="00D777B9" w:rsidRPr="002732B1" w:rsidRDefault="00D777B9" w:rsidP="00D777B9">
            <w:pPr>
              <w:rPr>
                <w:b/>
                <w:bCs/>
                <w:sz w:val="22"/>
                <w:szCs w:val="22"/>
                <w:lang w:eastAsia="sk-SK"/>
              </w:rPr>
            </w:pPr>
            <w:r w:rsidRPr="002732B1">
              <w:rPr>
                <w:b/>
                <w:bCs/>
                <w:sz w:val="22"/>
                <w:szCs w:val="22"/>
                <w:lang w:eastAsia="sk-SK"/>
              </w:rPr>
              <w:t> </w:t>
            </w:r>
          </w:p>
        </w:tc>
      </w:tr>
      <w:tr w:rsidR="00D777B9" w:rsidRPr="002732B1" w14:paraId="184BE3E9" w14:textId="77777777" w:rsidTr="00D777B9">
        <w:trPr>
          <w:gridAfter w:val="2"/>
          <w:wAfter w:w="2295" w:type="dxa"/>
          <w:trHeight w:val="255"/>
        </w:trPr>
        <w:tc>
          <w:tcPr>
            <w:tcW w:w="6188" w:type="dxa"/>
            <w:tcBorders>
              <w:top w:val="nil"/>
              <w:left w:val="single" w:sz="4" w:space="0" w:color="auto"/>
              <w:bottom w:val="single" w:sz="4" w:space="0" w:color="auto"/>
              <w:right w:val="single" w:sz="4" w:space="0" w:color="auto"/>
            </w:tcBorders>
          </w:tcPr>
          <w:p w14:paraId="07E9BDC8" w14:textId="77777777" w:rsidR="00D777B9" w:rsidRPr="002732B1" w:rsidRDefault="00D777B9" w:rsidP="00D777B9">
            <w:pPr>
              <w:rPr>
                <w:sz w:val="22"/>
                <w:szCs w:val="22"/>
                <w:lang w:eastAsia="sk-SK"/>
              </w:rPr>
            </w:pPr>
            <w:r w:rsidRPr="002732B1">
              <w:rPr>
                <w:b/>
                <w:bCs/>
                <w:sz w:val="22"/>
                <w:szCs w:val="22"/>
                <w:lang w:eastAsia="sk-SK"/>
              </w:rPr>
              <w:t xml:space="preserve">   z toho vplyv na ŠR</w:t>
            </w:r>
          </w:p>
        </w:tc>
        <w:tc>
          <w:tcPr>
            <w:tcW w:w="1254" w:type="dxa"/>
            <w:tcBorders>
              <w:top w:val="nil"/>
              <w:left w:val="nil"/>
              <w:bottom w:val="single" w:sz="4" w:space="0" w:color="auto"/>
              <w:right w:val="single" w:sz="4" w:space="0" w:color="auto"/>
            </w:tcBorders>
          </w:tcPr>
          <w:p w14:paraId="2D2243FA" w14:textId="77777777" w:rsidR="00D777B9" w:rsidRPr="002732B1" w:rsidRDefault="00D777B9" w:rsidP="002732B1">
            <w:pPr>
              <w:spacing w:after="200"/>
              <w:jc w:val="right"/>
              <w:rPr>
                <w:sz w:val="22"/>
                <w:szCs w:val="22"/>
              </w:rPr>
            </w:pPr>
            <w:r w:rsidRPr="002732B1">
              <w:rPr>
                <w:sz w:val="22"/>
                <w:szCs w:val="22"/>
              </w:rPr>
              <w:t>0</w:t>
            </w:r>
          </w:p>
        </w:tc>
        <w:tc>
          <w:tcPr>
            <w:tcW w:w="1701" w:type="dxa"/>
            <w:tcBorders>
              <w:top w:val="nil"/>
              <w:left w:val="nil"/>
              <w:bottom w:val="single" w:sz="4" w:space="0" w:color="auto"/>
              <w:right w:val="single" w:sz="4" w:space="0" w:color="auto"/>
            </w:tcBorders>
            <w:vAlign w:val="bottom"/>
          </w:tcPr>
          <w:p w14:paraId="169688A4" w14:textId="77777777" w:rsidR="00D777B9" w:rsidRPr="002732B1" w:rsidRDefault="00D777B9" w:rsidP="002732B1">
            <w:pPr>
              <w:spacing w:after="200"/>
              <w:jc w:val="right"/>
              <w:rPr>
                <w:sz w:val="22"/>
                <w:szCs w:val="22"/>
              </w:rPr>
            </w:pPr>
            <w:r w:rsidRPr="002732B1">
              <w:rPr>
                <w:color w:val="000000"/>
                <w:sz w:val="22"/>
                <w:szCs w:val="22"/>
              </w:rPr>
              <w:t>0</w:t>
            </w:r>
          </w:p>
        </w:tc>
        <w:tc>
          <w:tcPr>
            <w:tcW w:w="1701" w:type="dxa"/>
            <w:tcBorders>
              <w:top w:val="nil"/>
              <w:left w:val="nil"/>
              <w:bottom w:val="single" w:sz="4" w:space="0" w:color="auto"/>
              <w:right w:val="single" w:sz="4" w:space="0" w:color="auto"/>
            </w:tcBorders>
            <w:vAlign w:val="bottom"/>
          </w:tcPr>
          <w:p w14:paraId="2804C59C" w14:textId="77777777" w:rsidR="00D777B9" w:rsidRPr="002732B1" w:rsidRDefault="00D777B9" w:rsidP="002732B1">
            <w:pPr>
              <w:spacing w:after="200"/>
              <w:jc w:val="right"/>
              <w:rPr>
                <w:sz w:val="22"/>
                <w:szCs w:val="22"/>
              </w:rPr>
            </w:pPr>
            <w:r w:rsidRPr="002732B1">
              <w:rPr>
                <w:color w:val="000000"/>
                <w:sz w:val="22"/>
                <w:szCs w:val="22"/>
              </w:rPr>
              <w:t>96 000,00</w:t>
            </w:r>
          </w:p>
        </w:tc>
        <w:tc>
          <w:tcPr>
            <w:tcW w:w="1559" w:type="dxa"/>
            <w:gridSpan w:val="3"/>
            <w:tcBorders>
              <w:top w:val="nil"/>
              <w:left w:val="nil"/>
              <w:bottom w:val="single" w:sz="4" w:space="0" w:color="auto"/>
              <w:right w:val="single" w:sz="4" w:space="0" w:color="auto"/>
            </w:tcBorders>
            <w:vAlign w:val="bottom"/>
          </w:tcPr>
          <w:p w14:paraId="5A1DB6D4" w14:textId="77777777" w:rsidR="00D777B9" w:rsidRPr="002732B1" w:rsidRDefault="00D777B9" w:rsidP="002732B1">
            <w:pPr>
              <w:spacing w:after="200"/>
              <w:jc w:val="right"/>
              <w:rPr>
                <w:sz w:val="22"/>
                <w:szCs w:val="22"/>
              </w:rPr>
            </w:pPr>
            <w:r w:rsidRPr="002732B1">
              <w:rPr>
                <w:color w:val="000000"/>
                <w:sz w:val="22"/>
                <w:szCs w:val="22"/>
              </w:rPr>
              <w:t>96 000,00</w:t>
            </w:r>
          </w:p>
        </w:tc>
        <w:tc>
          <w:tcPr>
            <w:tcW w:w="1701" w:type="dxa"/>
            <w:tcBorders>
              <w:top w:val="nil"/>
              <w:left w:val="nil"/>
              <w:bottom w:val="single" w:sz="4" w:space="0" w:color="auto"/>
              <w:right w:val="single" w:sz="4" w:space="0" w:color="auto"/>
            </w:tcBorders>
            <w:noWrap/>
            <w:vAlign w:val="bottom"/>
          </w:tcPr>
          <w:p w14:paraId="40FBD5F5" w14:textId="77777777" w:rsidR="00D777B9" w:rsidRPr="002732B1" w:rsidRDefault="00D777B9" w:rsidP="00D777B9">
            <w:pPr>
              <w:rPr>
                <w:sz w:val="22"/>
                <w:szCs w:val="22"/>
                <w:lang w:eastAsia="sk-SK"/>
              </w:rPr>
            </w:pPr>
            <w:r w:rsidRPr="002732B1">
              <w:rPr>
                <w:sz w:val="22"/>
                <w:szCs w:val="22"/>
                <w:lang w:eastAsia="sk-SK"/>
              </w:rPr>
              <w:t> </w:t>
            </w:r>
          </w:p>
        </w:tc>
      </w:tr>
      <w:tr w:rsidR="00D777B9" w:rsidRPr="002732B1" w14:paraId="4269086D" w14:textId="77777777" w:rsidTr="00D777B9">
        <w:trPr>
          <w:gridAfter w:val="2"/>
          <w:wAfter w:w="2295" w:type="dxa"/>
          <w:trHeight w:val="255"/>
        </w:trPr>
        <w:tc>
          <w:tcPr>
            <w:tcW w:w="6188" w:type="dxa"/>
            <w:tcBorders>
              <w:top w:val="nil"/>
              <w:left w:val="single" w:sz="4" w:space="0" w:color="auto"/>
              <w:bottom w:val="single" w:sz="4" w:space="0" w:color="auto"/>
              <w:right w:val="single" w:sz="4" w:space="0" w:color="auto"/>
            </w:tcBorders>
          </w:tcPr>
          <w:p w14:paraId="32731532" w14:textId="77777777" w:rsidR="00D777B9" w:rsidRPr="002732B1" w:rsidRDefault="00D777B9" w:rsidP="00D777B9">
            <w:pPr>
              <w:rPr>
                <w:b/>
                <w:bCs/>
                <w:sz w:val="22"/>
                <w:szCs w:val="22"/>
                <w:lang w:eastAsia="sk-SK"/>
              </w:rPr>
            </w:pPr>
            <w:r w:rsidRPr="002732B1">
              <w:rPr>
                <w:b/>
                <w:bCs/>
                <w:sz w:val="22"/>
                <w:szCs w:val="22"/>
                <w:lang w:eastAsia="sk-SK"/>
              </w:rPr>
              <w:t>Poistné a príspevok do poisťovní (620)</w:t>
            </w:r>
          </w:p>
        </w:tc>
        <w:tc>
          <w:tcPr>
            <w:tcW w:w="1254" w:type="dxa"/>
            <w:tcBorders>
              <w:top w:val="nil"/>
              <w:left w:val="nil"/>
              <w:bottom w:val="single" w:sz="4" w:space="0" w:color="auto"/>
              <w:right w:val="single" w:sz="4" w:space="0" w:color="auto"/>
            </w:tcBorders>
          </w:tcPr>
          <w:p w14:paraId="0400F7CF" w14:textId="77777777" w:rsidR="00D777B9" w:rsidRPr="002732B1" w:rsidRDefault="00D777B9" w:rsidP="002732B1">
            <w:pPr>
              <w:spacing w:after="200"/>
              <w:jc w:val="right"/>
              <w:rPr>
                <w:sz w:val="22"/>
                <w:szCs w:val="22"/>
              </w:rPr>
            </w:pPr>
            <w:r w:rsidRPr="002732B1">
              <w:rPr>
                <w:sz w:val="22"/>
                <w:szCs w:val="22"/>
              </w:rPr>
              <w:t>0</w:t>
            </w:r>
          </w:p>
        </w:tc>
        <w:tc>
          <w:tcPr>
            <w:tcW w:w="1701" w:type="dxa"/>
            <w:tcBorders>
              <w:top w:val="nil"/>
              <w:left w:val="nil"/>
              <w:bottom w:val="single" w:sz="4" w:space="0" w:color="auto"/>
              <w:right w:val="single" w:sz="4" w:space="0" w:color="auto"/>
            </w:tcBorders>
            <w:vAlign w:val="bottom"/>
          </w:tcPr>
          <w:p w14:paraId="342F6F1B" w14:textId="77777777" w:rsidR="00D777B9" w:rsidRPr="002732B1" w:rsidRDefault="00D777B9" w:rsidP="002732B1">
            <w:pPr>
              <w:spacing w:after="200"/>
              <w:jc w:val="right"/>
              <w:rPr>
                <w:sz w:val="22"/>
                <w:szCs w:val="22"/>
              </w:rPr>
            </w:pPr>
            <w:r w:rsidRPr="002732B1">
              <w:rPr>
                <w:color w:val="000000"/>
                <w:sz w:val="22"/>
                <w:szCs w:val="22"/>
              </w:rPr>
              <w:t>0</w:t>
            </w:r>
          </w:p>
        </w:tc>
        <w:tc>
          <w:tcPr>
            <w:tcW w:w="1701" w:type="dxa"/>
            <w:tcBorders>
              <w:top w:val="nil"/>
              <w:left w:val="nil"/>
              <w:bottom w:val="single" w:sz="4" w:space="0" w:color="auto"/>
              <w:right w:val="single" w:sz="4" w:space="0" w:color="auto"/>
            </w:tcBorders>
            <w:vAlign w:val="bottom"/>
          </w:tcPr>
          <w:p w14:paraId="1AC62D69" w14:textId="77777777" w:rsidR="00D777B9" w:rsidRPr="002732B1" w:rsidRDefault="00D777B9" w:rsidP="002732B1">
            <w:pPr>
              <w:spacing w:after="200"/>
              <w:jc w:val="right"/>
              <w:rPr>
                <w:sz w:val="22"/>
                <w:szCs w:val="22"/>
              </w:rPr>
            </w:pPr>
            <w:r w:rsidRPr="002732B1">
              <w:rPr>
                <w:color w:val="000000"/>
                <w:sz w:val="22"/>
                <w:szCs w:val="22"/>
              </w:rPr>
              <w:t>33 552,00</w:t>
            </w:r>
          </w:p>
        </w:tc>
        <w:tc>
          <w:tcPr>
            <w:tcW w:w="1559" w:type="dxa"/>
            <w:gridSpan w:val="3"/>
            <w:tcBorders>
              <w:top w:val="nil"/>
              <w:left w:val="nil"/>
              <w:bottom w:val="single" w:sz="4" w:space="0" w:color="auto"/>
              <w:right w:val="single" w:sz="4" w:space="0" w:color="auto"/>
            </w:tcBorders>
            <w:vAlign w:val="bottom"/>
          </w:tcPr>
          <w:p w14:paraId="3FC8DD60" w14:textId="77777777" w:rsidR="00D777B9" w:rsidRPr="002732B1" w:rsidRDefault="00D777B9" w:rsidP="002732B1">
            <w:pPr>
              <w:spacing w:after="200"/>
              <w:jc w:val="right"/>
              <w:rPr>
                <w:sz w:val="22"/>
                <w:szCs w:val="22"/>
              </w:rPr>
            </w:pPr>
            <w:r w:rsidRPr="002732B1">
              <w:rPr>
                <w:color w:val="000000"/>
                <w:sz w:val="22"/>
                <w:szCs w:val="22"/>
              </w:rPr>
              <w:t>33 552,00</w:t>
            </w:r>
          </w:p>
        </w:tc>
        <w:tc>
          <w:tcPr>
            <w:tcW w:w="1701" w:type="dxa"/>
            <w:tcBorders>
              <w:top w:val="nil"/>
              <w:left w:val="nil"/>
              <w:bottom w:val="single" w:sz="4" w:space="0" w:color="auto"/>
              <w:right w:val="single" w:sz="4" w:space="0" w:color="auto"/>
            </w:tcBorders>
            <w:noWrap/>
            <w:vAlign w:val="bottom"/>
          </w:tcPr>
          <w:p w14:paraId="17E1899D" w14:textId="77777777" w:rsidR="00D777B9" w:rsidRPr="002732B1" w:rsidRDefault="00D777B9" w:rsidP="00D777B9">
            <w:pPr>
              <w:rPr>
                <w:b/>
                <w:bCs/>
                <w:sz w:val="22"/>
                <w:szCs w:val="22"/>
                <w:lang w:eastAsia="sk-SK"/>
              </w:rPr>
            </w:pPr>
            <w:r w:rsidRPr="002732B1">
              <w:rPr>
                <w:b/>
                <w:bCs/>
                <w:sz w:val="22"/>
                <w:szCs w:val="22"/>
                <w:lang w:eastAsia="sk-SK"/>
              </w:rPr>
              <w:t> </w:t>
            </w:r>
          </w:p>
        </w:tc>
      </w:tr>
      <w:tr w:rsidR="00D777B9" w:rsidRPr="002732B1" w14:paraId="45C2AC18" w14:textId="77777777" w:rsidTr="00D777B9">
        <w:trPr>
          <w:gridAfter w:val="2"/>
          <w:wAfter w:w="2295" w:type="dxa"/>
          <w:trHeight w:val="255"/>
        </w:trPr>
        <w:tc>
          <w:tcPr>
            <w:tcW w:w="6188" w:type="dxa"/>
            <w:tcBorders>
              <w:top w:val="nil"/>
              <w:left w:val="single" w:sz="4" w:space="0" w:color="auto"/>
              <w:bottom w:val="single" w:sz="4" w:space="0" w:color="auto"/>
              <w:right w:val="single" w:sz="4" w:space="0" w:color="auto"/>
            </w:tcBorders>
          </w:tcPr>
          <w:p w14:paraId="527526DF" w14:textId="77777777" w:rsidR="00D777B9" w:rsidRPr="002732B1" w:rsidRDefault="00D777B9" w:rsidP="00D777B9">
            <w:pPr>
              <w:rPr>
                <w:sz w:val="22"/>
                <w:szCs w:val="22"/>
                <w:lang w:eastAsia="sk-SK"/>
              </w:rPr>
            </w:pPr>
            <w:r w:rsidRPr="002732B1">
              <w:rPr>
                <w:b/>
                <w:bCs/>
                <w:sz w:val="22"/>
                <w:szCs w:val="22"/>
                <w:lang w:eastAsia="sk-SK"/>
              </w:rPr>
              <w:t xml:space="preserve">   z toho vplyv na ŠR</w:t>
            </w:r>
          </w:p>
        </w:tc>
        <w:tc>
          <w:tcPr>
            <w:tcW w:w="1254" w:type="dxa"/>
            <w:tcBorders>
              <w:top w:val="nil"/>
              <w:left w:val="nil"/>
              <w:bottom w:val="single" w:sz="4" w:space="0" w:color="auto"/>
              <w:right w:val="single" w:sz="4" w:space="0" w:color="auto"/>
            </w:tcBorders>
          </w:tcPr>
          <w:p w14:paraId="73611AB7" w14:textId="77777777" w:rsidR="00D777B9" w:rsidRPr="002732B1" w:rsidRDefault="00D777B9" w:rsidP="002732B1">
            <w:pPr>
              <w:spacing w:after="200"/>
              <w:jc w:val="right"/>
              <w:rPr>
                <w:sz w:val="22"/>
                <w:szCs w:val="22"/>
              </w:rPr>
            </w:pPr>
            <w:r w:rsidRPr="002732B1">
              <w:rPr>
                <w:sz w:val="22"/>
                <w:szCs w:val="22"/>
              </w:rPr>
              <w:t>0</w:t>
            </w:r>
          </w:p>
        </w:tc>
        <w:tc>
          <w:tcPr>
            <w:tcW w:w="1701" w:type="dxa"/>
            <w:tcBorders>
              <w:top w:val="nil"/>
              <w:left w:val="nil"/>
              <w:bottom w:val="single" w:sz="4" w:space="0" w:color="auto"/>
              <w:right w:val="single" w:sz="4" w:space="0" w:color="auto"/>
            </w:tcBorders>
            <w:vAlign w:val="bottom"/>
          </w:tcPr>
          <w:p w14:paraId="6F4AD949" w14:textId="77777777" w:rsidR="00D777B9" w:rsidRPr="002732B1" w:rsidRDefault="00D777B9" w:rsidP="002732B1">
            <w:pPr>
              <w:spacing w:after="200"/>
              <w:jc w:val="right"/>
              <w:rPr>
                <w:sz w:val="22"/>
                <w:szCs w:val="22"/>
              </w:rPr>
            </w:pPr>
            <w:r w:rsidRPr="002732B1">
              <w:rPr>
                <w:color w:val="000000"/>
                <w:sz w:val="22"/>
                <w:szCs w:val="22"/>
              </w:rPr>
              <w:t>0</w:t>
            </w:r>
          </w:p>
        </w:tc>
        <w:tc>
          <w:tcPr>
            <w:tcW w:w="1701" w:type="dxa"/>
            <w:tcBorders>
              <w:top w:val="nil"/>
              <w:left w:val="nil"/>
              <w:bottom w:val="single" w:sz="4" w:space="0" w:color="auto"/>
              <w:right w:val="single" w:sz="4" w:space="0" w:color="auto"/>
            </w:tcBorders>
            <w:vAlign w:val="bottom"/>
          </w:tcPr>
          <w:p w14:paraId="257EBAA2" w14:textId="77777777" w:rsidR="00D777B9" w:rsidRPr="002732B1" w:rsidRDefault="00D777B9" w:rsidP="002732B1">
            <w:pPr>
              <w:spacing w:after="200"/>
              <w:jc w:val="right"/>
              <w:rPr>
                <w:sz w:val="22"/>
                <w:szCs w:val="22"/>
              </w:rPr>
            </w:pPr>
            <w:r w:rsidRPr="002732B1">
              <w:rPr>
                <w:color w:val="000000"/>
                <w:sz w:val="22"/>
                <w:szCs w:val="22"/>
              </w:rPr>
              <w:t xml:space="preserve">33 552,00  </w:t>
            </w:r>
          </w:p>
        </w:tc>
        <w:tc>
          <w:tcPr>
            <w:tcW w:w="1559" w:type="dxa"/>
            <w:gridSpan w:val="3"/>
            <w:tcBorders>
              <w:top w:val="nil"/>
              <w:left w:val="nil"/>
              <w:bottom w:val="single" w:sz="4" w:space="0" w:color="auto"/>
              <w:right w:val="single" w:sz="4" w:space="0" w:color="auto"/>
            </w:tcBorders>
            <w:vAlign w:val="bottom"/>
          </w:tcPr>
          <w:p w14:paraId="09CAAF19" w14:textId="77777777" w:rsidR="00D777B9" w:rsidRPr="002732B1" w:rsidRDefault="00D777B9" w:rsidP="002732B1">
            <w:pPr>
              <w:spacing w:after="200"/>
              <w:jc w:val="right"/>
              <w:rPr>
                <w:sz w:val="22"/>
                <w:szCs w:val="22"/>
              </w:rPr>
            </w:pPr>
            <w:r w:rsidRPr="002732B1">
              <w:rPr>
                <w:color w:val="000000"/>
                <w:sz w:val="22"/>
                <w:szCs w:val="22"/>
              </w:rPr>
              <w:t>33 552,00</w:t>
            </w:r>
          </w:p>
        </w:tc>
        <w:tc>
          <w:tcPr>
            <w:tcW w:w="1701" w:type="dxa"/>
            <w:tcBorders>
              <w:top w:val="nil"/>
              <w:left w:val="nil"/>
              <w:bottom w:val="single" w:sz="4" w:space="0" w:color="auto"/>
              <w:right w:val="single" w:sz="4" w:space="0" w:color="auto"/>
            </w:tcBorders>
            <w:noWrap/>
            <w:vAlign w:val="bottom"/>
          </w:tcPr>
          <w:p w14:paraId="3FAC082E" w14:textId="77777777" w:rsidR="00D777B9" w:rsidRPr="002732B1" w:rsidRDefault="00D777B9" w:rsidP="00D777B9">
            <w:pPr>
              <w:rPr>
                <w:sz w:val="22"/>
                <w:szCs w:val="22"/>
                <w:lang w:eastAsia="sk-SK"/>
              </w:rPr>
            </w:pPr>
            <w:r w:rsidRPr="002732B1">
              <w:rPr>
                <w:sz w:val="22"/>
                <w:szCs w:val="22"/>
                <w:lang w:eastAsia="sk-SK"/>
              </w:rPr>
              <w:t> </w:t>
            </w:r>
          </w:p>
        </w:tc>
      </w:tr>
      <w:tr w:rsidR="00D777B9" w:rsidRPr="002732B1" w14:paraId="32555648" w14:textId="77777777" w:rsidTr="00D777B9">
        <w:trPr>
          <w:gridAfter w:val="2"/>
          <w:wAfter w:w="2295" w:type="dxa"/>
          <w:trHeight w:val="255"/>
        </w:trPr>
        <w:tc>
          <w:tcPr>
            <w:tcW w:w="6188" w:type="dxa"/>
            <w:tcBorders>
              <w:top w:val="nil"/>
              <w:left w:val="nil"/>
              <w:bottom w:val="nil"/>
              <w:right w:val="nil"/>
            </w:tcBorders>
            <w:noWrap/>
            <w:vAlign w:val="bottom"/>
          </w:tcPr>
          <w:p w14:paraId="5850F753" w14:textId="77777777" w:rsidR="00D777B9" w:rsidRPr="002732B1" w:rsidRDefault="00D777B9" w:rsidP="00D777B9">
            <w:pPr>
              <w:rPr>
                <w:sz w:val="22"/>
                <w:szCs w:val="22"/>
                <w:lang w:eastAsia="sk-SK"/>
              </w:rPr>
            </w:pPr>
          </w:p>
        </w:tc>
        <w:tc>
          <w:tcPr>
            <w:tcW w:w="1254" w:type="dxa"/>
            <w:tcBorders>
              <w:top w:val="nil"/>
              <w:left w:val="nil"/>
              <w:bottom w:val="nil"/>
              <w:right w:val="nil"/>
            </w:tcBorders>
            <w:noWrap/>
            <w:vAlign w:val="bottom"/>
          </w:tcPr>
          <w:p w14:paraId="352D067E" w14:textId="77777777" w:rsidR="00D777B9" w:rsidRPr="002732B1" w:rsidRDefault="00D777B9" w:rsidP="00D777B9">
            <w:pPr>
              <w:rPr>
                <w:sz w:val="22"/>
                <w:szCs w:val="22"/>
                <w:lang w:eastAsia="sk-SK"/>
              </w:rPr>
            </w:pPr>
          </w:p>
        </w:tc>
        <w:tc>
          <w:tcPr>
            <w:tcW w:w="1701" w:type="dxa"/>
            <w:tcBorders>
              <w:top w:val="nil"/>
              <w:left w:val="nil"/>
              <w:bottom w:val="nil"/>
              <w:right w:val="nil"/>
            </w:tcBorders>
            <w:noWrap/>
            <w:vAlign w:val="bottom"/>
          </w:tcPr>
          <w:p w14:paraId="1B5ED35C" w14:textId="77777777" w:rsidR="00D777B9" w:rsidRPr="002732B1" w:rsidRDefault="00D777B9" w:rsidP="00D777B9">
            <w:pPr>
              <w:rPr>
                <w:sz w:val="22"/>
                <w:szCs w:val="22"/>
                <w:lang w:eastAsia="sk-SK"/>
              </w:rPr>
            </w:pPr>
          </w:p>
        </w:tc>
        <w:tc>
          <w:tcPr>
            <w:tcW w:w="1701" w:type="dxa"/>
            <w:tcBorders>
              <w:top w:val="nil"/>
              <w:left w:val="nil"/>
              <w:bottom w:val="nil"/>
              <w:right w:val="nil"/>
            </w:tcBorders>
            <w:noWrap/>
            <w:vAlign w:val="bottom"/>
          </w:tcPr>
          <w:p w14:paraId="1FDF441E" w14:textId="77777777" w:rsidR="00D777B9" w:rsidRPr="002732B1" w:rsidRDefault="00D777B9" w:rsidP="00D777B9">
            <w:pPr>
              <w:rPr>
                <w:sz w:val="22"/>
                <w:szCs w:val="22"/>
                <w:lang w:eastAsia="sk-SK"/>
              </w:rPr>
            </w:pPr>
          </w:p>
        </w:tc>
        <w:tc>
          <w:tcPr>
            <w:tcW w:w="1559" w:type="dxa"/>
            <w:gridSpan w:val="3"/>
            <w:tcBorders>
              <w:top w:val="nil"/>
              <w:left w:val="nil"/>
              <w:bottom w:val="nil"/>
              <w:right w:val="nil"/>
            </w:tcBorders>
            <w:noWrap/>
            <w:vAlign w:val="bottom"/>
          </w:tcPr>
          <w:p w14:paraId="5345089E" w14:textId="77777777" w:rsidR="00D777B9" w:rsidRPr="002732B1" w:rsidRDefault="00D777B9" w:rsidP="00D777B9">
            <w:pPr>
              <w:rPr>
                <w:sz w:val="22"/>
                <w:szCs w:val="22"/>
                <w:lang w:eastAsia="sk-SK"/>
              </w:rPr>
            </w:pPr>
          </w:p>
        </w:tc>
        <w:tc>
          <w:tcPr>
            <w:tcW w:w="1701" w:type="dxa"/>
            <w:tcBorders>
              <w:top w:val="nil"/>
              <w:left w:val="nil"/>
              <w:bottom w:val="nil"/>
              <w:right w:val="nil"/>
            </w:tcBorders>
            <w:noWrap/>
            <w:vAlign w:val="bottom"/>
          </w:tcPr>
          <w:p w14:paraId="1A686773" w14:textId="77777777" w:rsidR="00D777B9" w:rsidRPr="002732B1" w:rsidRDefault="00D777B9" w:rsidP="00D777B9">
            <w:pPr>
              <w:rPr>
                <w:sz w:val="22"/>
                <w:szCs w:val="22"/>
                <w:lang w:eastAsia="sk-SK"/>
              </w:rPr>
            </w:pPr>
          </w:p>
        </w:tc>
      </w:tr>
      <w:tr w:rsidR="00D777B9" w:rsidRPr="002732B1" w14:paraId="510BD6D0" w14:textId="77777777" w:rsidTr="00D777B9">
        <w:trPr>
          <w:gridAfter w:val="2"/>
          <w:wAfter w:w="2295" w:type="dxa"/>
          <w:trHeight w:val="255"/>
        </w:trPr>
        <w:tc>
          <w:tcPr>
            <w:tcW w:w="6188" w:type="dxa"/>
            <w:tcBorders>
              <w:top w:val="nil"/>
              <w:left w:val="nil"/>
              <w:bottom w:val="nil"/>
              <w:right w:val="nil"/>
            </w:tcBorders>
          </w:tcPr>
          <w:p w14:paraId="0EDBE825" w14:textId="77777777" w:rsidR="00D777B9" w:rsidRPr="002732B1" w:rsidRDefault="00D777B9" w:rsidP="00D777B9">
            <w:pPr>
              <w:rPr>
                <w:b/>
                <w:bCs/>
                <w:sz w:val="22"/>
                <w:szCs w:val="22"/>
                <w:lang w:eastAsia="sk-SK"/>
              </w:rPr>
            </w:pPr>
            <w:r w:rsidRPr="002732B1">
              <w:rPr>
                <w:b/>
                <w:bCs/>
                <w:sz w:val="22"/>
                <w:szCs w:val="22"/>
                <w:lang w:eastAsia="sk-SK"/>
              </w:rPr>
              <w:t>Poznámky:</w:t>
            </w:r>
          </w:p>
        </w:tc>
        <w:tc>
          <w:tcPr>
            <w:tcW w:w="1254" w:type="dxa"/>
            <w:tcBorders>
              <w:top w:val="nil"/>
              <w:left w:val="nil"/>
              <w:bottom w:val="nil"/>
              <w:right w:val="nil"/>
            </w:tcBorders>
            <w:noWrap/>
            <w:vAlign w:val="bottom"/>
          </w:tcPr>
          <w:p w14:paraId="25657AB5" w14:textId="77777777" w:rsidR="00D777B9" w:rsidRPr="002732B1" w:rsidRDefault="00D777B9" w:rsidP="00D777B9">
            <w:pPr>
              <w:rPr>
                <w:sz w:val="22"/>
                <w:szCs w:val="22"/>
                <w:lang w:eastAsia="sk-SK"/>
              </w:rPr>
            </w:pPr>
          </w:p>
        </w:tc>
        <w:tc>
          <w:tcPr>
            <w:tcW w:w="1701" w:type="dxa"/>
            <w:tcBorders>
              <w:top w:val="nil"/>
              <w:left w:val="nil"/>
              <w:bottom w:val="nil"/>
              <w:right w:val="nil"/>
            </w:tcBorders>
            <w:noWrap/>
            <w:vAlign w:val="bottom"/>
          </w:tcPr>
          <w:p w14:paraId="41212C20" w14:textId="77777777" w:rsidR="00D777B9" w:rsidRPr="002732B1" w:rsidRDefault="00D777B9" w:rsidP="00D777B9">
            <w:pPr>
              <w:rPr>
                <w:sz w:val="22"/>
                <w:szCs w:val="22"/>
                <w:lang w:eastAsia="sk-SK"/>
              </w:rPr>
            </w:pPr>
          </w:p>
        </w:tc>
        <w:tc>
          <w:tcPr>
            <w:tcW w:w="1701" w:type="dxa"/>
            <w:tcBorders>
              <w:top w:val="nil"/>
              <w:left w:val="nil"/>
              <w:bottom w:val="nil"/>
              <w:right w:val="nil"/>
            </w:tcBorders>
            <w:noWrap/>
            <w:vAlign w:val="bottom"/>
          </w:tcPr>
          <w:p w14:paraId="30A68E35" w14:textId="77777777" w:rsidR="00D777B9" w:rsidRPr="002732B1" w:rsidRDefault="00D777B9" w:rsidP="00D777B9">
            <w:pPr>
              <w:rPr>
                <w:sz w:val="22"/>
                <w:szCs w:val="22"/>
                <w:lang w:eastAsia="sk-SK"/>
              </w:rPr>
            </w:pPr>
          </w:p>
        </w:tc>
        <w:tc>
          <w:tcPr>
            <w:tcW w:w="1559" w:type="dxa"/>
            <w:gridSpan w:val="3"/>
            <w:tcBorders>
              <w:top w:val="nil"/>
              <w:left w:val="nil"/>
              <w:bottom w:val="nil"/>
              <w:right w:val="nil"/>
            </w:tcBorders>
            <w:noWrap/>
            <w:vAlign w:val="bottom"/>
          </w:tcPr>
          <w:p w14:paraId="00AA6525" w14:textId="77777777" w:rsidR="00D777B9" w:rsidRPr="002732B1" w:rsidRDefault="00D777B9" w:rsidP="00D777B9">
            <w:pPr>
              <w:rPr>
                <w:sz w:val="22"/>
                <w:szCs w:val="22"/>
                <w:lang w:eastAsia="sk-SK"/>
              </w:rPr>
            </w:pPr>
          </w:p>
        </w:tc>
        <w:tc>
          <w:tcPr>
            <w:tcW w:w="1701" w:type="dxa"/>
            <w:tcBorders>
              <w:top w:val="nil"/>
              <w:left w:val="nil"/>
              <w:bottom w:val="nil"/>
              <w:right w:val="nil"/>
            </w:tcBorders>
            <w:noWrap/>
            <w:vAlign w:val="bottom"/>
          </w:tcPr>
          <w:p w14:paraId="23F6E069" w14:textId="77777777" w:rsidR="00D777B9" w:rsidRPr="002732B1" w:rsidRDefault="00D777B9" w:rsidP="00D777B9">
            <w:pPr>
              <w:rPr>
                <w:sz w:val="22"/>
                <w:szCs w:val="22"/>
                <w:lang w:eastAsia="sk-SK"/>
              </w:rPr>
            </w:pPr>
          </w:p>
        </w:tc>
      </w:tr>
      <w:tr w:rsidR="00D777B9" w:rsidRPr="002732B1" w14:paraId="36516E1C" w14:textId="77777777" w:rsidTr="00D777B9">
        <w:trPr>
          <w:gridAfter w:val="2"/>
          <w:wAfter w:w="2295" w:type="dxa"/>
          <w:trHeight w:val="255"/>
        </w:trPr>
        <w:tc>
          <w:tcPr>
            <w:tcW w:w="12403" w:type="dxa"/>
            <w:gridSpan w:val="7"/>
            <w:tcBorders>
              <w:top w:val="nil"/>
              <w:left w:val="nil"/>
              <w:bottom w:val="nil"/>
              <w:right w:val="nil"/>
            </w:tcBorders>
            <w:noWrap/>
          </w:tcPr>
          <w:p w14:paraId="4E3CD785" w14:textId="77777777" w:rsidR="00D777B9" w:rsidRPr="002732B1" w:rsidRDefault="00D777B9" w:rsidP="00D777B9">
            <w:pPr>
              <w:tabs>
                <w:tab w:val="num" w:pos="1080"/>
              </w:tabs>
              <w:jc w:val="both"/>
              <w:rPr>
                <w:bCs/>
                <w:sz w:val="22"/>
                <w:szCs w:val="22"/>
                <w:lang w:eastAsia="sk-SK"/>
              </w:rPr>
            </w:pPr>
            <w:r w:rsidRPr="002732B1">
              <w:rPr>
                <w:bCs/>
                <w:sz w:val="22"/>
                <w:szCs w:val="22"/>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F24E555" w14:textId="77777777" w:rsidR="00D777B9" w:rsidRPr="002732B1" w:rsidRDefault="00D777B9" w:rsidP="00D777B9">
            <w:pPr>
              <w:rPr>
                <w:sz w:val="22"/>
                <w:szCs w:val="22"/>
                <w:lang w:eastAsia="sk-SK"/>
              </w:rPr>
            </w:pPr>
            <w:r w:rsidRPr="002732B1">
              <w:rPr>
                <w:sz w:val="22"/>
                <w:szCs w:val="22"/>
                <w:lang w:eastAsia="sk-SK"/>
              </w:rPr>
              <w:t>Priemerný mzdový výdavok je tvorený podielom mzdových výdavkov na jedného zamestnanca na jeden kalendárny mesiac bežného roka.</w:t>
            </w:r>
          </w:p>
        </w:tc>
        <w:tc>
          <w:tcPr>
            <w:tcW w:w="1701" w:type="dxa"/>
            <w:tcBorders>
              <w:top w:val="nil"/>
              <w:left w:val="nil"/>
              <w:bottom w:val="nil"/>
              <w:right w:val="nil"/>
            </w:tcBorders>
            <w:noWrap/>
            <w:vAlign w:val="bottom"/>
          </w:tcPr>
          <w:p w14:paraId="157EA375" w14:textId="77777777" w:rsidR="00D777B9" w:rsidRPr="002732B1" w:rsidRDefault="00D777B9" w:rsidP="00D777B9">
            <w:pPr>
              <w:rPr>
                <w:sz w:val="22"/>
                <w:szCs w:val="22"/>
                <w:lang w:eastAsia="sk-SK"/>
              </w:rPr>
            </w:pPr>
          </w:p>
        </w:tc>
      </w:tr>
      <w:tr w:rsidR="00D777B9" w:rsidRPr="00FA364E" w14:paraId="12A208F1" w14:textId="77777777" w:rsidTr="00D777B9">
        <w:trPr>
          <w:trHeight w:val="255"/>
        </w:trPr>
        <w:tc>
          <w:tcPr>
            <w:tcW w:w="11222" w:type="dxa"/>
            <w:gridSpan w:val="5"/>
            <w:tcBorders>
              <w:top w:val="nil"/>
              <w:left w:val="nil"/>
              <w:bottom w:val="nil"/>
              <w:right w:val="nil"/>
            </w:tcBorders>
            <w:noWrap/>
            <w:vAlign w:val="bottom"/>
          </w:tcPr>
          <w:p w14:paraId="6CFA0142" w14:textId="77777777" w:rsidR="00D777B9" w:rsidRPr="002732B1" w:rsidRDefault="00D777B9" w:rsidP="00D777B9">
            <w:pPr>
              <w:rPr>
                <w:sz w:val="22"/>
                <w:szCs w:val="22"/>
                <w:lang w:eastAsia="sk-SK"/>
              </w:rPr>
            </w:pPr>
            <w:r w:rsidRPr="002732B1">
              <w:rPr>
                <w:sz w:val="22"/>
                <w:szCs w:val="22"/>
                <w:lang w:eastAsia="sk-SK"/>
              </w:rPr>
              <w:t>Kategórie 610 a 620 sú z tejto prílohy prenášané do príslušných kategórií prílohy „výdavky“.</w:t>
            </w:r>
          </w:p>
          <w:p w14:paraId="4E0F400E" w14:textId="77777777" w:rsidR="00D777B9" w:rsidRPr="002732B1" w:rsidRDefault="00D777B9" w:rsidP="00D777B9">
            <w:pPr>
              <w:rPr>
                <w:sz w:val="22"/>
                <w:szCs w:val="22"/>
                <w:lang w:eastAsia="sk-SK"/>
              </w:rPr>
            </w:pPr>
          </w:p>
          <w:p w14:paraId="3A193553" w14:textId="77777777" w:rsidR="00D777B9" w:rsidRPr="002732B1" w:rsidRDefault="00D777B9" w:rsidP="00D777B9">
            <w:pPr>
              <w:rPr>
                <w:sz w:val="22"/>
                <w:szCs w:val="22"/>
                <w:lang w:eastAsia="sk-SK"/>
              </w:rPr>
            </w:pPr>
          </w:p>
        </w:tc>
        <w:tc>
          <w:tcPr>
            <w:tcW w:w="160" w:type="dxa"/>
            <w:tcBorders>
              <w:top w:val="nil"/>
              <w:left w:val="nil"/>
              <w:bottom w:val="nil"/>
              <w:right w:val="nil"/>
            </w:tcBorders>
            <w:noWrap/>
            <w:vAlign w:val="bottom"/>
          </w:tcPr>
          <w:p w14:paraId="741F7BA1" w14:textId="77777777" w:rsidR="00D777B9" w:rsidRPr="002732B1" w:rsidRDefault="00D777B9" w:rsidP="00D777B9">
            <w:pPr>
              <w:rPr>
                <w:sz w:val="22"/>
                <w:szCs w:val="22"/>
                <w:lang w:eastAsia="sk-SK"/>
              </w:rPr>
            </w:pPr>
          </w:p>
        </w:tc>
        <w:tc>
          <w:tcPr>
            <w:tcW w:w="4857" w:type="dxa"/>
            <w:gridSpan w:val="3"/>
            <w:tcBorders>
              <w:top w:val="nil"/>
              <w:left w:val="nil"/>
              <w:bottom w:val="nil"/>
              <w:right w:val="nil"/>
            </w:tcBorders>
            <w:noWrap/>
            <w:vAlign w:val="bottom"/>
          </w:tcPr>
          <w:p w14:paraId="76D6BE74" w14:textId="77777777" w:rsidR="00D777B9" w:rsidRPr="002732B1" w:rsidRDefault="00D777B9" w:rsidP="00D777B9">
            <w:pPr>
              <w:rPr>
                <w:sz w:val="22"/>
                <w:szCs w:val="22"/>
                <w:lang w:eastAsia="sk-SK"/>
              </w:rPr>
            </w:pPr>
          </w:p>
        </w:tc>
        <w:tc>
          <w:tcPr>
            <w:tcW w:w="160" w:type="dxa"/>
            <w:tcBorders>
              <w:top w:val="nil"/>
              <w:left w:val="nil"/>
              <w:bottom w:val="nil"/>
              <w:right w:val="nil"/>
            </w:tcBorders>
            <w:noWrap/>
            <w:vAlign w:val="bottom"/>
          </w:tcPr>
          <w:p w14:paraId="275568CB" w14:textId="77777777" w:rsidR="00D777B9" w:rsidRPr="00FA364E" w:rsidRDefault="00D777B9" w:rsidP="00D777B9">
            <w:pPr>
              <w:rPr>
                <w:lang w:eastAsia="sk-SK"/>
              </w:rPr>
            </w:pPr>
          </w:p>
        </w:tc>
      </w:tr>
    </w:tbl>
    <w:p w14:paraId="6D3DCD2E" w14:textId="77777777" w:rsidR="00D777B9" w:rsidRPr="00FA364E" w:rsidRDefault="00D777B9" w:rsidP="00D777B9">
      <w:pPr>
        <w:rPr>
          <w:b/>
          <w:bCs/>
          <w:lang w:eastAsia="sk-SK"/>
        </w:rPr>
        <w:sectPr w:rsidR="00D777B9" w:rsidRPr="00FA364E" w:rsidSect="00D777B9">
          <w:pgSz w:w="16838" w:h="11906" w:orient="landscape"/>
          <w:pgMar w:top="1418" w:right="1418" w:bottom="1418" w:left="1418" w:header="709" w:footer="709" w:gutter="0"/>
          <w:cols w:space="708"/>
          <w:docGrid w:linePitch="360"/>
        </w:sectPr>
      </w:pPr>
    </w:p>
    <w:p w14:paraId="0A025753" w14:textId="77777777" w:rsidR="002732B1" w:rsidRPr="00895898" w:rsidRDefault="002732B1" w:rsidP="002732B1">
      <w:pPr>
        <w:jc w:val="center"/>
        <w:rPr>
          <w:rFonts w:eastAsia="Calibri"/>
          <w:b/>
          <w:sz w:val="28"/>
          <w:szCs w:val="28"/>
        </w:rPr>
      </w:pPr>
      <w:r w:rsidRPr="00895898">
        <w:rPr>
          <w:rFonts w:eastAsia="Calibri"/>
          <w:b/>
          <w:sz w:val="28"/>
          <w:szCs w:val="28"/>
        </w:rPr>
        <w:lastRenderedPageBreak/>
        <w:t>Analýza vplyvov na podnikateľské prostredie</w:t>
      </w:r>
    </w:p>
    <w:p w14:paraId="16DCBA83" w14:textId="77777777" w:rsidR="002732B1" w:rsidRPr="00895898" w:rsidRDefault="002732B1" w:rsidP="002732B1">
      <w:pPr>
        <w:jc w:val="both"/>
        <w:rPr>
          <w:rFonts w:eastAsia="Calibri"/>
          <w:b/>
        </w:rPr>
      </w:pPr>
    </w:p>
    <w:p w14:paraId="2CEBDF46" w14:textId="77777777" w:rsidR="002732B1" w:rsidRPr="002732B1" w:rsidRDefault="002732B1" w:rsidP="002732B1">
      <w:pPr>
        <w:jc w:val="both"/>
        <w:rPr>
          <w:rFonts w:eastAsia="Calibri"/>
          <w:sz w:val="22"/>
          <w:szCs w:val="22"/>
        </w:rPr>
      </w:pPr>
      <w:r w:rsidRPr="002732B1">
        <w:rPr>
          <w:rFonts w:eastAsia="Calibri"/>
          <w:b/>
          <w:sz w:val="22"/>
          <w:szCs w:val="22"/>
        </w:rPr>
        <w:t xml:space="preserve">Názov materiálu: </w:t>
      </w:r>
      <w:r w:rsidRPr="002732B1">
        <w:rPr>
          <w:rFonts w:eastAsia="Calibri"/>
          <w:sz w:val="22"/>
          <w:szCs w:val="22"/>
        </w:rPr>
        <w:t>Návrh zákona, ktorým sa mení a dopĺňa zákon č. 305/2013 Z. z. o elektronickej podobe výkonu pôsobnosti orgánov verejnej moci a o zmene a doplnení niektorých zákonov (zákon o e-Governmente) v znení neskorších predpisov a ktorým sa menia a dopĺňajú niektoré zákony</w:t>
      </w:r>
    </w:p>
    <w:p w14:paraId="5FF95B9E" w14:textId="77777777" w:rsidR="002732B1" w:rsidRDefault="002732B1" w:rsidP="002732B1">
      <w:pPr>
        <w:jc w:val="both"/>
        <w:rPr>
          <w:rFonts w:eastAsia="Calibri"/>
          <w:b/>
          <w:sz w:val="22"/>
          <w:szCs w:val="22"/>
        </w:rPr>
      </w:pPr>
    </w:p>
    <w:p w14:paraId="6FE1564B" w14:textId="23787A52" w:rsidR="002732B1" w:rsidRPr="002732B1" w:rsidRDefault="002732B1" w:rsidP="002732B1">
      <w:pPr>
        <w:jc w:val="both"/>
        <w:rPr>
          <w:rFonts w:eastAsia="Calibri"/>
          <w:b/>
          <w:sz w:val="22"/>
          <w:szCs w:val="22"/>
        </w:rPr>
      </w:pPr>
      <w:r w:rsidRPr="002732B1">
        <w:rPr>
          <w:rFonts w:eastAsia="Calibri"/>
          <w:b/>
          <w:sz w:val="22"/>
          <w:szCs w:val="22"/>
        </w:rPr>
        <w:t xml:space="preserve">Predkladateľ: </w:t>
      </w:r>
      <w:r w:rsidRPr="002732B1">
        <w:rPr>
          <w:rFonts w:eastAsia="Calibri"/>
          <w:sz w:val="22"/>
          <w:szCs w:val="22"/>
        </w:rPr>
        <w:t>Ministerstvo investícií, regionálneho rozvoja a informatizácie Slovenskej republiky</w:t>
      </w:r>
    </w:p>
    <w:p w14:paraId="32B88198" w14:textId="77777777" w:rsidR="002732B1" w:rsidRPr="002732B1" w:rsidRDefault="002732B1" w:rsidP="002732B1">
      <w:pPr>
        <w:jc w:val="both"/>
        <w:rPr>
          <w:rFonts w:eastAsia="Calibri"/>
          <w:b/>
          <w:sz w:val="22"/>
          <w:szCs w:val="22"/>
        </w:rPr>
      </w:pPr>
    </w:p>
    <w:p w14:paraId="56EA69EE" w14:textId="77777777" w:rsidR="002732B1" w:rsidRDefault="002732B1" w:rsidP="002732B1">
      <w:pPr>
        <w:jc w:val="both"/>
        <w:rPr>
          <w:rFonts w:eastAsia="Calibri"/>
          <w:b/>
          <w:sz w:val="22"/>
          <w:szCs w:val="22"/>
        </w:rPr>
      </w:pPr>
    </w:p>
    <w:p w14:paraId="6B5071EB" w14:textId="76C0A0EC" w:rsidR="002732B1" w:rsidRPr="002732B1" w:rsidRDefault="002732B1" w:rsidP="002732B1">
      <w:pPr>
        <w:jc w:val="both"/>
        <w:rPr>
          <w:rFonts w:eastAsia="Calibri"/>
          <w:b/>
          <w:sz w:val="22"/>
          <w:szCs w:val="22"/>
        </w:rPr>
      </w:pPr>
      <w:r w:rsidRPr="002732B1">
        <w:rPr>
          <w:rFonts w:eastAsia="Calibri"/>
          <w:b/>
          <w:sz w:val="22"/>
          <w:szCs w:val="22"/>
        </w:rPr>
        <w:t>3.1 Náklady regulácie</w:t>
      </w:r>
    </w:p>
    <w:p w14:paraId="082F2C13" w14:textId="77777777" w:rsidR="002732B1" w:rsidRPr="002732B1" w:rsidRDefault="002732B1" w:rsidP="002732B1">
      <w:pPr>
        <w:tabs>
          <w:tab w:val="left" w:pos="8025"/>
        </w:tabs>
        <w:rPr>
          <w:rFonts w:eastAsia="Calibri"/>
          <w:bCs/>
          <w:i/>
          <w:iCs/>
          <w:sz w:val="22"/>
          <w:szCs w:val="22"/>
        </w:rPr>
      </w:pPr>
      <w:r w:rsidRPr="002732B1">
        <w:rPr>
          <w:rFonts w:eastAsia="Calibri"/>
          <w:b/>
          <w:i/>
          <w:iCs/>
          <w:sz w:val="22"/>
          <w:szCs w:val="22"/>
        </w:rPr>
        <w:t xml:space="preserve">3.1.1 Súhrnná tabuľka nákladov regulácie </w:t>
      </w:r>
      <w:r w:rsidRPr="002732B1">
        <w:rPr>
          <w:rFonts w:eastAsia="Calibri"/>
          <w:b/>
          <w:i/>
          <w:iCs/>
          <w:sz w:val="22"/>
          <w:szCs w:val="22"/>
        </w:rPr>
        <w:tab/>
      </w:r>
    </w:p>
    <w:p w14:paraId="14BA975E" w14:textId="77777777" w:rsidR="002732B1" w:rsidRPr="002732B1" w:rsidRDefault="002732B1" w:rsidP="002732B1">
      <w:pPr>
        <w:jc w:val="both"/>
        <w:rPr>
          <w:rFonts w:eastAsia="Calibri"/>
          <w:b/>
          <w:sz w:val="22"/>
          <w:szCs w:val="22"/>
        </w:rPr>
      </w:pPr>
    </w:p>
    <w:p w14:paraId="554DA90B" w14:textId="7B7668B5" w:rsidR="002732B1" w:rsidRDefault="002732B1" w:rsidP="002732B1">
      <w:pPr>
        <w:jc w:val="both"/>
        <w:rPr>
          <w:rFonts w:eastAsia="Calibri"/>
          <w:i/>
          <w:sz w:val="22"/>
          <w:szCs w:val="22"/>
        </w:rPr>
      </w:pPr>
      <w:r w:rsidRPr="002732B1">
        <w:rPr>
          <w:rFonts w:eastAsia="Calibri"/>
          <w:i/>
          <w:sz w:val="22"/>
          <w:szCs w:val="22"/>
        </w:rPr>
        <w:t xml:space="preserve">Tabuľka č. 1: Zmeny nákladov (ročne) v prepočte na podnikateľské prostredie (PP), vyhodnotenie mechanizmu znižovania byrokracie a nákladov. </w:t>
      </w:r>
    </w:p>
    <w:p w14:paraId="089BD30E" w14:textId="77777777" w:rsidR="002732B1" w:rsidRPr="002732B1" w:rsidRDefault="002732B1" w:rsidP="002732B1">
      <w:pPr>
        <w:jc w:val="both"/>
        <w:rPr>
          <w:rFonts w:eastAsia="Calibri"/>
          <w:i/>
          <w:sz w:val="22"/>
          <w:szCs w:val="22"/>
        </w:rPr>
      </w:pPr>
    </w:p>
    <w:p w14:paraId="1F5AF82B" w14:textId="36251BA3" w:rsidR="002732B1" w:rsidRDefault="002732B1" w:rsidP="002732B1">
      <w:pPr>
        <w:jc w:val="both"/>
        <w:rPr>
          <w:rFonts w:eastAsia="Calibri"/>
          <w:i/>
          <w:sz w:val="22"/>
          <w:szCs w:val="22"/>
        </w:rPr>
      </w:pPr>
      <w:r w:rsidRPr="002732B1">
        <w:rPr>
          <w:rFonts w:eastAsia="Calibri"/>
          <w:i/>
          <w:sz w:val="22"/>
          <w:szCs w:val="22"/>
        </w:rPr>
        <w:t xml:space="preserve">Nahraďte rovnakou tabuľkou po vyplnení Kalkulačky nákladov podnikateľského prostredia, ktorá je povinnou prílohou tejto analýzy a nájdete ju na </w:t>
      </w:r>
      <w:hyperlink r:id="rId18" w:history="1">
        <w:r w:rsidRPr="002732B1">
          <w:rPr>
            <w:rFonts w:eastAsia="Calibri"/>
            <w:i/>
            <w:color w:val="0563C1"/>
            <w:sz w:val="22"/>
            <w:szCs w:val="22"/>
            <w:u w:val="single"/>
          </w:rPr>
          <w:t>webovom sídle MH SR</w:t>
        </w:r>
      </w:hyperlink>
      <w:r w:rsidRPr="002732B1">
        <w:rPr>
          <w:rFonts w:eastAsia="Calibri"/>
          <w:i/>
          <w:sz w:val="22"/>
          <w:szCs w:val="22"/>
        </w:rPr>
        <w:t>, (ďalej len „Kalkulačka nákladov“):</w:t>
      </w:r>
    </w:p>
    <w:p w14:paraId="48A1FAA1" w14:textId="77777777" w:rsidR="002732B1" w:rsidRPr="002732B1" w:rsidRDefault="002732B1" w:rsidP="002732B1">
      <w:pPr>
        <w:jc w:val="both"/>
        <w:rPr>
          <w:rFonts w:eastAsia="Calibri"/>
          <w:i/>
          <w:sz w:val="22"/>
          <w:szCs w:val="22"/>
        </w:rPr>
      </w:pPr>
    </w:p>
    <w:p w14:paraId="7FEF560B" w14:textId="77777777" w:rsidR="002732B1" w:rsidRPr="002732B1" w:rsidRDefault="002732B1" w:rsidP="002732B1">
      <w:pPr>
        <w:rPr>
          <w:rFonts w:eastAsia="Calibri"/>
          <w:i/>
          <w:sz w:val="22"/>
          <w:szCs w:val="22"/>
        </w:rPr>
      </w:pPr>
    </w:p>
    <w:tbl>
      <w:tblPr>
        <w:tblStyle w:val="Mriekatabuky2"/>
        <w:tblW w:w="9067" w:type="dxa"/>
        <w:tblLook w:val="04A0" w:firstRow="1" w:lastRow="0" w:firstColumn="1" w:lastColumn="0" w:noHBand="0" w:noVBand="1"/>
      </w:tblPr>
      <w:tblGrid>
        <w:gridCol w:w="3681"/>
        <w:gridCol w:w="2693"/>
        <w:gridCol w:w="2693"/>
      </w:tblGrid>
      <w:tr w:rsidR="002732B1" w:rsidRPr="002732B1" w14:paraId="6958CF06" w14:textId="77777777" w:rsidTr="00FF4CD7">
        <w:tc>
          <w:tcPr>
            <w:tcW w:w="3681" w:type="dxa"/>
          </w:tcPr>
          <w:p w14:paraId="1BC4EEB1" w14:textId="77777777" w:rsidR="002732B1" w:rsidRPr="002732B1" w:rsidRDefault="002732B1" w:rsidP="00FF4CD7">
            <w:pPr>
              <w:rPr>
                <w:rFonts w:eastAsia="Calibri"/>
                <w:b/>
                <w:bCs/>
                <w:i/>
                <w:sz w:val="20"/>
                <w:szCs w:val="20"/>
              </w:rPr>
            </w:pPr>
            <w:r w:rsidRPr="002732B1">
              <w:rPr>
                <w:rFonts w:eastAsia="Calibri"/>
                <w:b/>
                <w:bCs/>
                <w:i/>
                <w:sz w:val="20"/>
                <w:szCs w:val="20"/>
              </w:rPr>
              <w:t>TYP NÁKLADOV</w:t>
            </w:r>
          </w:p>
        </w:tc>
        <w:tc>
          <w:tcPr>
            <w:tcW w:w="2693" w:type="dxa"/>
            <w:shd w:val="clear" w:color="auto" w:fill="FFC000"/>
          </w:tcPr>
          <w:p w14:paraId="6D05B82B" w14:textId="77777777" w:rsidR="002732B1" w:rsidRPr="002732B1" w:rsidRDefault="002732B1" w:rsidP="00FF4CD7">
            <w:pPr>
              <w:jc w:val="center"/>
              <w:rPr>
                <w:rFonts w:eastAsia="Calibri"/>
                <w:i/>
                <w:sz w:val="20"/>
                <w:szCs w:val="20"/>
              </w:rPr>
            </w:pPr>
            <w:r w:rsidRPr="002732B1">
              <w:rPr>
                <w:rFonts w:eastAsia="Calibri"/>
                <w:b/>
                <w:bCs/>
                <w:color w:val="000000"/>
                <w:sz w:val="20"/>
                <w:szCs w:val="20"/>
              </w:rPr>
              <w:t>Zvýšenie nákladov v € na PP</w:t>
            </w:r>
          </w:p>
        </w:tc>
        <w:tc>
          <w:tcPr>
            <w:tcW w:w="2693" w:type="dxa"/>
            <w:shd w:val="clear" w:color="auto" w:fill="92D050"/>
          </w:tcPr>
          <w:p w14:paraId="0F77287C" w14:textId="77777777" w:rsidR="002732B1" w:rsidRPr="002732B1" w:rsidRDefault="002732B1" w:rsidP="00FF4CD7">
            <w:pPr>
              <w:jc w:val="center"/>
              <w:rPr>
                <w:rFonts w:eastAsia="Calibri"/>
                <w:b/>
                <w:bCs/>
                <w:color w:val="000000"/>
                <w:sz w:val="20"/>
                <w:szCs w:val="20"/>
              </w:rPr>
            </w:pPr>
            <w:r w:rsidRPr="002732B1">
              <w:rPr>
                <w:rFonts w:eastAsia="Calibri"/>
                <w:b/>
                <w:bCs/>
                <w:color w:val="000000"/>
                <w:sz w:val="20"/>
                <w:szCs w:val="20"/>
              </w:rPr>
              <w:t>Zníženie nákladov v € na PP</w:t>
            </w:r>
          </w:p>
        </w:tc>
      </w:tr>
      <w:tr w:rsidR="002732B1" w:rsidRPr="002732B1" w14:paraId="3CEBA2B8" w14:textId="77777777" w:rsidTr="00FF4CD7">
        <w:trPr>
          <w:trHeight w:val="227"/>
        </w:trPr>
        <w:tc>
          <w:tcPr>
            <w:tcW w:w="3681" w:type="dxa"/>
          </w:tcPr>
          <w:p w14:paraId="0F0AF8F1" w14:textId="77777777" w:rsidR="002732B1" w:rsidRPr="002732B1" w:rsidRDefault="002732B1" w:rsidP="00FF4CD7">
            <w:pPr>
              <w:rPr>
                <w:rFonts w:eastAsia="Calibri"/>
                <w:i/>
                <w:iCs/>
                <w:sz w:val="20"/>
                <w:szCs w:val="20"/>
              </w:rPr>
            </w:pPr>
            <w:r w:rsidRPr="002732B1">
              <w:rPr>
                <w:rFonts w:eastAsia="Calibri"/>
                <w:i/>
                <w:iCs/>
                <w:color w:val="000000"/>
                <w:sz w:val="20"/>
                <w:szCs w:val="20"/>
              </w:rPr>
              <w:t>A. Dane, odvody, clá a poplatky</w:t>
            </w:r>
            <w:r w:rsidRPr="002732B1">
              <w:rPr>
                <w:sz w:val="20"/>
                <w:szCs w:val="20"/>
              </w:rPr>
              <w:t>,</w:t>
            </w:r>
            <w:r w:rsidRPr="002732B1">
              <w:rPr>
                <w:b/>
                <w:bCs/>
                <w:sz w:val="20"/>
                <w:szCs w:val="20"/>
              </w:rPr>
              <w:t xml:space="preserve"> </w:t>
            </w:r>
            <w:r w:rsidRPr="002732B1">
              <w:rPr>
                <w:rFonts w:eastAsia="Calibri"/>
                <w:i/>
                <w:iCs/>
                <w:color w:val="000000"/>
                <w:sz w:val="20"/>
                <w:szCs w:val="20"/>
              </w:rPr>
              <w:t>ktorých cieľom je znižovať negatívne externality</w:t>
            </w:r>
          </w:p>
        </w:tc>
        <w:tc>
          <w:tcPr>
            <w:tcW w:w="2693" w:type="dxa"/>
            <w:shd w:val="clear" w:color="auto" w:fill="FFC000"/>
          </w:tcPr>
          <w:p w14:paraId="32FCEE46" w14:textId="77777777" w:rsidR="002732B1" w:rsidRPr="002732B1" w:rsidRDefault="002732B1" w:rsidP="00FF4CD7">
            <w:pPr>
              <w:jc w:val="center"/>
              <w:rPr>
                <w:rFonts w:eastAsia="Calibri"/>
                <w:i/>
                <w:sz w:val="20"/>
                <w:szCs w:val="20"/>
              </w:rPr>
            </w:pPr>
            <w:r w:rsidRPr="002732B1">
              <w:rPr>
                <w:rFonts w:eastAsia="Calibri"/>
                <w:i/>
                <w:sz w:val="20"/>
                <w:szCs w:val="20"/>
              </w:rPr>
              <w:t>0</w:t>
            </w:r>
          </w:p>
        </w:tc>
        <w:tc>
          <w:tcPr>
            <w:tcW w:w="2693" w:type="dxa"/>
            <w:shd w:val="clear" w:color="auto" w:fill="92D050"/>
          </w:tcPr>
          <w:p w14:paraId="2C4DBA2A" w14:textId="77777777" w:rsidR="002732B1" w:rsidRPr="002732B1" w:rsidRDefault="002732B1" w:rsidP="00FF4CD7">
            <w:pPr>
              <w:jc w:val="center"/>
              <w:rPr>
                <w:rFonts w:eastAsia="Calibri"/>
                <w:i/>
                <w:sz w:val="20"/>
                <w:szCs w:val="20"/>
              </w:rPr>
            </w:pPr>
            <w:r w:rsidRPr="002732B1">
              <w:rPr>
                <w:rFonts w:eastAsia="Calibri"/>
                <w:i/>
                <w:sz w:val="20"/>
                <w:szCs w:val="20"/>
              </w:rPr>
              <w:t>0</w:t>
            </w:r>
          </w:p>
        </w:tc>
      </w:tr>
      <w:tr w:rsidR="002732B1" w:rsidRPr="002732B1" w14:paraId="702B04BD" w14:textId="77777777" w:rsidTr="00FF4CD7">
        <w:tc>
          <w:tcPr>
            <w:tcW w:w="3681" w:type="dxa"/>
          </w:tcPr>
          <w:p w14:paraId="36CE2EEE" w14:textId="77777777" w:rsidR="002732B1" w:rsidRPr="002732B1" w:rsidRDefault="002732B1" w:rsidP="00FF4CD7">
            <w:pPr>
              <w:rPr>
                <w:rFonts w:eastAsia="Calibri"/>
                <w:i/>
                <w:sz w:val="20"/>
                <w:szCs w:val="20"/>
              </w:rPr>
            </w:pPr>
            <w:r w:rsidRPr="002732B1">
              <w:rPr>
                <w:rFonts w:eastAsia="Calibri"/>
                <w:i/>
                <w:sz w:val="20"/>
                <w:szCs w:val="20"/>
              </w:rPr>
              <w:t>B. Iné poplatky</w:t>
            </w:r>
          </w:p>
        </w:tc>
        <w:tc>
          <w:tcPr>
            <w:tcW w:w="2693" w:type="dxa"/>
            <w:shd w:val="clear" w:color="auto" w:fill="FFC000"/>
          </w:tcPr>
          <w:p w14:paraId="1EEB423F" w14:textId="77777777" w:rsidR="002732B1" w:rsidRPr="002732B1" w:rsidRDefault="002732B1" w:rsidP="00FF4CD7">
            <w:pPr>
              <w:jc w:val="center"/>
              <w:rPr>
                <w:rFonts w:eastAsia="Calibri"/>
                <w:i/>
                <w:sz w:val="20"/>
                <w:szCs w:val="20"/>
              </w:rPr>
            </w:pPr>
            <w:r w:rsidRPr="002732B1">
              <w:rPr>
                <w:rFonts w:eastAsia="Calibri"/>
                <w:i/>
                <w:sz w:val="20"/>
                <w:szCs w:val="20"/>
              </w:rPr>
              <w:t>0</w:t>
            </w:r>
          </w:p>
        </w:tc>
        <w:tc>
          <w:tcPr>
            <w:tcW w:w="2693" w:type="dxa"/>
            <w:shd w:val="clear" w:color="auto" w:fill="92D050"/>
          </w:tcPr>
          <w:p w14:paraId="42591FF0" w14:textId="77777777" w:rsidR="002732B1" w:rsidRPr="002732B1" w:rsidRDefault="002732B1" w:rsidP="00FF4CD7">
            <w:pPr>
              <w:jc w:val="center"/>
              <w:rPr>
                <w:rFonts w:eastAsia="Calibri"/>
                <w:i/>
                <w:sz w:val="20"/>
                <w:szCs w:val="20"/>
              </w:rPr>
            </w:pPr>
            <w:r w:rsidRPr="002732B1">
              <w:rPr>
                <w:rFonts w:eastAsia="Calibri"/>
                <w:i/>
                <w:sz w:val="20"/>
                <w:szCs w:val="20"/>
              </w:rPr>
              <w:t>0</w:t>
            </w:r>
          </w:p>
        </w:tc>
      </w:tr>
      <w:tr w:rsidR="002732B1" w:rsidRPr="002732B1" w14:paraId="494FADEB" w14:textId="77777777" w:rsidTr="00FF4CD7">
        <w:tc>
          <w:tcPr>
            <w:tcW w:w="3681" w:type="dxa"/>
          </w:tcPr>
          <w:p w14:paraId="3D61BC99" w14:textId="77777777" w:rsidR="002732B1" w:rsidRPr="002732B1" w:rsidRDefault="002732B1" w:rsidP="00FF4CD7">
            <w:pPr>
              <w:rPr>
                <w:rFonts w:eastAsia="Calibri"/>
                <w:i/>
                <w:sz w:val="20"/>
                <w:szCs w:val="20"/>
              </w:rPr>
            </w:pPr>
            <w:r w:rsidRPr="002732B1">
              <w:rPr>
                <w:rFonts w:eastAsia="Calibri"/>
                <w:i/>
                <w:sz w:val="20"/>
                <w:szCs w:val="20"/>
              </w:rPr>
              <w:t>C. Nepriame finančné náklady</w:t>
            </w:r>
          </w:p>
        </w:tc>
        <w:tc>
          <w:tcPr>
            <w:tcW w:w="2693" w:type="dxa"/>
            <w:shd w:val="clear" w:color="auto" w:fill="FFC000"/>
          </w:tcPr>
          <w:p w14:paraId="698D0FD3" w14:textId="77777777" w:rsidR="002732B1" w:rsidRPr="002732B1" w:rsidRDefault="002732B1" w:rsidP="00FF4CD7">
            <w:pPr>
              <w:jc w:val="center"/>
              <w:rPr>
                <w:rFonts w:eastAsia="Calibri"/>
                <w:i/>
                <w:sz w:val="20"/>
                <w:szCs w:val="20"/>
              </w:rPr>
            </w:pPr>
            <w:r w:rsidRPr="002732B1">
              <w:rPr>
                <w:rFonts w:eastAsia="Calibri"/>
                <w:i/>
                <w:sz w:val="20"/>
                <w:szCs w:val="20"/>
              </w:rPr>
              <w:t>0</w:t>
            </w:r>
          </w:p>
        </w:tc>
        <w:tc>
          <w:tcPr>
            <w:tcW w:w="2693" w:type="dxa"/>
            <w:shd w:val="clear" w:color="auto" w:fill="92D050"/>
          </w:tcPr>
          <w:p w14:paraId="63A4EE1D" w14:textId="77777777" w:rsidR="002732B1" w:rsidRPr="002732B1" w:rsidRDefault="002732B1" w:rsidP="00FF4CD7">
            <w:pPr>
              <w:jc w:val="center"/>
              <w:rPr>
                <w:rFonts w:eastAsia="Calibri"/>
                <w:i/>
                <w:sz w:val="20"/>
                <w:szCs w:val="20"/>
              </w:rPr>
            </w:pPr>
            <w:r w:rsidRPr="002732B1">
              <w:rPr>
                <w:rFonts w:eastAsia="Calibri"/>
                <w:i/>
                <w:sz w:val="20"/>
                <w:szCs w:val="20"/>
              </w:rPr>
              <w:t>0</w:t>
            </w:r>
          </w:p>
        </w:tc>
      </w:tr>
      <w:tr w:rsidR="002732B1" w:rsidRPr="002732B1" w14:paraId="2D99A661" w14:textId="77777777" w:rsidTr="00FF4CD7">
        <w:tc>
          <w:tcPr>
            <w:tcW w:w="3681" w:type="dxa"/>
          </w:tcPr>
          <w:p w14:paraId="10CFF2FB" w14:textId="77777777" w:rsidR="002732B1" w:rsidRPr="002732B1" w:rsidRDefault="002732B1" w:rsidP="00FF4CD7">
            <w:pPr>
              <w:rPr>
                <w:rFonts w:eastAsia="Calibri"/>
                <w:i/>
                <w:sz w:val="20"/>
                <w:szCs w:val="20"/>
              </w:rPr>
            </w:pPr>
            <w:r w:rsidRPr="002732B1">
              <w:rPr>
                <w:rFonts w:eastAsia="Calibri"/>
                <w:i/>
                <w:sz w:val="20"/>
                <w:szCs w:val="20"/>
              </w:rPr>
              <w:t>D. Administratívne náklady</w:t>
            </w:r>
          </w:p>
        </w:tc>
        <w:tc>
          <w:tcPr>
            <w:tcW w:w="2693" w:type="dxa"/>
            <w:shd w:val="clear" w:color="auto" w:fill="FFC000"/>
          </w:tcPr>
          <w:p w14:paraId="14A93C29" w14:textId="77777777" w:rsidR="002732B1" w:rsidRPr="002732B1" w:rsidRDefault="002732B1" w:rsidP="00FF4CD7">
            <w:pPr>
              <w:jc w:val="center"/>
              <w:rPr>
                <w:rFonts w:eastAsia="Calibri"/>
                <w:i/>
                <w:sz w:val="20"/>
                <w:szCs w:val="20"/>
              </w:rPr>
            </w:pPr>
            <w:r w:rsidRPr="002732B1">
              <w:rPr>
                <w:rFonts w:eastAsia="Calibri"/>
                <w:i/>
                <w:sz w:val="20"/>
                <w:szCs w:val="20"/>
              </w:rPr>
              <w:t>0</w:t>
            </w:r>
          </w:p>
        </w:tc>
        <w:tc>
          <w:tcPr>
            <w:tcW w:w="2693" w:type="dxa"/>
            <w:shd w:val="clear" w:color="auto" w:fill="92D050"/>
          </w:tcPr>
          <w:p w14:paraId="3B75B47B" w14:textId="77777777" w:rsidR="002732B1" w:rsidRPr="002732B1" w:rsidRDefault="002732B1" w:rsidP="00FF4CD7">
            <w:pPr>
              <w:jc w:val="center"/>
              <w:rPr>
                <w:rFonts w:eastAsia="Calibri"/>
                <w:b/>
                <w:i/>
                <w:sz w:val="20"/>
                <w:szCs w:val="20"/>
              </w:rPr>
            </w:pPr>
            <w:r w:rsidRPr="002732B1">
              <w:rPr>
                <w:rFonts w:eastAsia="Calibri"/>
                <w:b/>
                <w:i/>
                <w:sz w:val="20"/>
                <w:szCs w:val="20"/>
              </w:rPr>
              <w:t>76 176,00</w:t>
            </w:r>
          </w:p>
        </w:tc>
      </w:tr>
      <w:tr w:rsidR="002732B1" w:rsidRPr="002732B1" w14:paraId="7371F5B5" w14:textId="77777777" w:rsidTr="00FF4CD7">
        <w:tc>
          <w:tcPr>
            <w:tcW w:w="3681" w:type="dxa"/>
          </w:tcPr>
          <w:p w14:paraId="7A90ACF4" w14:textId="77777777" w:rsidR="002732B1" w:rsidRPr="002732B1" w:rsidRDefault="002732B1" w:rsidP="00FF4CD7">
            <w:pPr>
              <w:rPr>
                <w:rFonts w:eastAsia="Calibri"/>
                <w:b/>
                <w:i/>
                <w:sz w:val="20"/>
                <w:szCs w:val="20"/>
              </w:rPr>
            </w:pPr>
            <w:r w:rsidRPr="002732B1">
              <w:rPr>
                <w:rFonts w:eastAsia="Calibri"/>
                <w:b/>
                <w:i/>
                <w:sz w:val="20"/>
                <w:szCs w:val="20"/>
              </w:rPr>
              <w:t>Spolu = A+B+C+D</w:t>
            </w:r>
          </w:p>
        </w:tc>
        <w:tc>
          <w:tcPr>
            <w:tcW w:w="2693" w:type="dxa"/>
            <w:shd w:val="clear" w:color="auto" w:fill="FFC000"/>
          </w:tcPr>
          <w:p w14:paraId="1B48050E" w14:textId="77777777" w:rsidR="002732B1" w:rsidRPr="002732B1" w:rsidRDefault="002732B1" w:rsidP="00FF4CD7">
            <w:pPr>
              <w:jc w:val="center"/>
              <w:rPr>
                <w:rFonts w:eastAsia="Calibri"/>
                <w:b/>
                <w:i/>
                <w:sz w:val="20"/>
                <w:szCs w:val="20"/>
              </w:rPr>
            </w:pPr>
            <w:r w:rsidRPr="002732B1">
              <w:rPr>
                <w:rFonts w:eastAsia="Calibri"/>
                <w:b/>
                <w:i/>
                <w:sz w:val="20"/>
                <w:szCs w:val="20"/>
              </w:rPr>
              <w:t>0</w:t>
            </w:r>
          </w:p>
        </w:tc>
        <w:tc>
          <w:tcPr>
            <w:tcW w:w="2693" w:type="dxa"/>
            <w:shd w:val="clear" w:color="auto" w:fill="92D050"/>
          </w:tcPr>
          <w:p w14:paraId="34F699AB" w14:textId="77777777" w:rsidR="002732B1" w:rsidRPr="002732B1" w:rsidRDefault="002732B1" w:rsidP="00FF4CD7">
            <w:pPr>
              <w:jc w:val="center"/>
              <w:rPr>
                <w:rFonts w:eastAsia="Calibri"/>
                <w:b/>
                <w:i/>
                <w:sz w:val="20"/>
                <w:szCs w:val="20"/>
              </w:rPr>
            </w:pPr>
            <w:r w:rsidRPr="002732B1">
              <w:rPr>
                <w:rFonts w:eastAsia="Calibri"/>
                <w:b/>
                <w:i/>
                <w:sz w:val="20"/>
                <w:szCs w:val="20"/>
              </w:rPr>
              <w:t>76 176,00</w:t>
            </w:r>
          </w:p>
        </w:tc>
      </w:tr>
      <w:tr w:rsidR="002732B1" w:rsidRPr="002732B1" w14:paraId="62C54604" w14:textId="77777777" w:rsidTr="00FF4CD7">
        <w:tc>
          <w:tcPr>
            <w:tcW w:w="3681" w:type="dxa"/>
          </w:tcPr>
          <w:p w14:paraId="75EC109E" w14:textId="77777777" w:rsidR="002732B1" w:rsidRPr="002732B1" w:rsidRDefault="002732B1" w:rsidP="00FF4CD7">
            <w:pPr>
              <w:rPr>
                <w:rFonts w:eastAsia="Calibri"/>
                <w:b/>
                <w:i/>
                <w:sz w:val="20"/>
                <w:szCs w:val="20"/>
              </w:rPr>
            </w:pPr>
            <w:r w:rsidRPr="002732B1">
              <w:rPr>
                <w:rFonts w:eastAsia="Calibri"/>
                <w:b/>
                <w:i/>
                <w:sz w:val="20"/>
                <w:szCs w:val="20"/>
              </w:rPr>
              <w:t xml:space="preserve"> z toho</w:t>
            </w:r>
          </w:p>
        </w:tc>
        <w:tc>
          <w:tcPr>
            <w:tcW w:w="2693" w:type="dxa"/>
            <w:shd w:val="clear" w:color="auto" w:fill="FFC000"/>
          </w:tcPr>
          <w:p w14:paraId="7C4684F1" w14:textId="77777777" w:rsidR="002732B1" w:rsidRPr="002732B1" w:rsidRDefault="002732B1" w:rsidP="00FF4CD7">
            <w:pPr>
              <w:jc w:val="center"/>
              <w:rPr>
                <w:rFonts w:eastAsia="Calibri"/>
                <w:b/>
                <w:i/>
                <w:sz w:val="20"/>
                <w:szCs w:val="20"/>
              </w:rPr>
            </w:pPr>
          </w:p>
        </w:tc>
        <w:tc>
          <w:tcPr>
            <w:tcW w:w="2693" w:type="dxa"/>
            <w:shd w:val="clear" w:color="auto" w:fill="92D050"/>
          </w:tcPr>
          <w:p w14:paraId="38670205" w14:textId="77777777" w:rsidR="002732B1" w:rsidRPr="002732B1" w:rsidRDefault="002732B1" w:rsidP="00FF4CD7">
            <w:pPr>
              <w:jc w:val="center"/>
              <w:rPr>
                <w:rFonts w:eastAsia="Calibri"/>
                <w:b/>
                <w:i/>
                <w:sz w:val="20"/>
                <w:szCs w:val="20"/>
              </w:rPr>
            </w:pPr>
          </w:p>
        </w:tc>
      </w:tr>
      <w:tr w:rsidR="002732B1" w:rsidRPr="002732B1" w14:paraId="7ABD15B2" w14:textId="77777777" w:rsidTr="00FF4CD7">
        <w:tc>
          <w:tcPr>
            <w:tcW w:w="3681" w:type="dxa"/>
          </w:tcPr>
          <w:p w14:paraId="451BFD3E" w14:textId="77777777" w:rsidR="002732B1" w:rsidRPr="002732B1" w:rsidRDefault="002732B1" w:rsidP="00FF4CD7">
            <w:pPr>
              <w:rPr>
                <w:rFonts w:eastAsia="Calibri"/>
                <w:i/>
                <w:sz w:val="20"/>
                <w:szCs w:val="20"/>
              </w:rPr>
            </w:pPr>
            <w:r w:rsidRPr="002732B1">
              <w:rPr>
                <w:rFonts w:eastAsia="Calibri"/>
                <w:i/>
                <w:sz w:val="20"/>
                <w:szCs w:val="20"/>
              </w:rPr>
              <w:t>E. Vplyv na mikro, malé a stredné podniky</w:t>
            </w:r>
          </w:p>
        </w:tc>
        <w:tc>
          <w:tcPr>
            <w:tcW w:w="2693" w:type="dxa"/>
            <w:shd w:val="clear" w:color="auto" w:fill="FFC000"/>
          </w:tcPr>
          <w:p w14:paraId="5DCEFBAE" w14:textId="77777777" w:rsidR="002732B1" w:rsidRPr="002732B1" w:rsidRDefault="002732B1" w:rsidP="00FF4CD7">
            <w:pPr>
              <w:jc w:val="center"/>
              <w:rPr>
                <w:rFonts w:eastAsia="Calibri"/>
                <w:b/>
                <w:i/>
                <w:sz w:val="20"/>
                <w:szCs w:val="20"/>
              </w:rPr>
            </w:pPr>
            <w:r w:rsidRPr="002732B1">
              <w:rPr>
                <w:rFonts w:eastAsia="Calibri"/>
                <w:i/>
                <w:sz w:val="20"/>
                <w:szCs w:val="20"/>
              </w:rPr>
              <w:t>0</w:t>
            </w:r>
          </w:p>
        </w:tc>
        <w:tc>
          <w:tcPr>
            <w:tcW w:w="2693" w:type="dxa"/>
            <w:shd w:val="clear" w:color="auto" w:fill="92D050"/>
          </w:tcPr>
          <w:p w14:paraId="689A18FA" w14:textId="77777777" w:rsidR="002732B1" w:rsidRPr="002732B1" w:rsidRDefault="002732B1" w:rsidP="00FF4CD7">
            <w:pPr>
              <w:jc w:val="center"/>
              <w:rPr>
                <w:rFonts w:eastAsia="Calibri"/>
                <w:b/>
                <w:i/>
                <w:sz w:val="20"/>
                <w:szCs w:val="20"/>
              </w:rPr>
            </w:pPr>
            <w:r w:rsidRPr="002732B1">
              <w:rPr>
                <w:rFonts w:eastAsia="Calibri"/>
                <w:i/>
                <w:sz w:val="20"/>
                <w:szCs w:val="20"/>
              </w:rPr>
              <w:t>0</w:t>
            </w:r>
          </w:p>
        </w:tc>
      </w:tr>
      <w:tr w:rsidR="002732B1" w:rsidRPr="002732B1" w14:paraId="2616C207" w14:textId="77777777" w:rsidTr="00FF4CD7">
        <w:tc>
          <w:tcPr>
            <w:tcW w:w="3681" w:type="dxa"/>
          </w:tcPr>
          <w:p w14:paraId="42F63690" w14:textId="77777777" w:rsidR="002732B1" w:rsidRPr="002732B1" w:rsidRDefault="002732B1" w:rsidP="00FF4CD7">
            <w:pPr>
              <w:rPr>
                <w:rFonts w:eastAsia="Calibri"/>
                <w:i/>
                <w:sz w:val="20"/>
                <w:szCs w:val="20"/>
              </w:rPr>
            </w:pPr>
            <w:r w:rsidRPr="002732B1">
              <w:rPr>
                <w:rFonts w:eastAsia="Calibri"/>
                <w:i/>
                <w:sz w:val="20"/>
                <w:szCs w:val="20"/>
              </w:rPr>
              <w:t>F. Úplná harmonizácia práva EÚ</w:t>
            </w:r>
          </w:p>
        </w:tc>
        <w:tc>
          <w:tcPr>
            <w:tcW w:w="2693" w:type="dxa"/>
            <w:shd w:val="clear" w:color="auto" w:fill="FFC000"/>
          </w:tcPr>
          <w:p w14:paraId="7A98178A" w14:textId="77777777" w:rsidR="002732B1" w:rsidRPr="002732B1" w:rsidRDefault="002732B1" w:rsidP="00FF4CD7">
            <w:pPr>
              <w:jc w:val="center"/>
              <w:rPr>
                <w:rFonts w:eastAsia="Calibri"/>
                <w:b/>
                <w:i/>
                <w:sz w:val="20"/>
                <w:szCs w:val="20"/>
              </w:rPr>
            </w:pPr>
            <w:r w:rsidRPr="002732B1">
              <w:rPr>
                <w:rFonts w:eastAsia="Calibri"/>
                <w:i/>
                <w:sz w:val="20"/>
                <w:szCs w:val="20"/>
              </w:rPr>
              <w:t>0</w:t>
            </w:r>
          </w:p>
        </w:tc>
        <w:tc>
          <w:tcPr>
            <w:tcW w:w="2693" w:type="dxa"/>
            <w:shd w:val="clear" w:color="auto" w:fill="92D050"/>
          </w:tcPr>
          <w:p w14:paraId="37CBF22F" w14:textId="77777777" w:rsidR="002732B1" w:rsidRPr="002732B1" w:rsidRDefault="002732B1" w:rsidP="00FF4CD7">
            <w:pPr>
              <w:jc w:val="center"/>
              <w:rPr>
                <w:rFonts w:eastAsia="Calibri"/>
                <w:b/>
                <w:i/>
                <w:sz w:val="20"/>
                <w:szCs w:val="20"/>
              </w:rPr>
            </w:pPr>
            <w:r w:rsidRPr="002732B1">
              <w:rPr>
                <w:rFonts w:eastAsia="Calibri"/>
                <w:i/>
                <w:sz w:val="20"/>
                <w:szCs w:val="20"/>
              </w:rPr>
              <w:t>0</w:t>
            </w:r>
          </w:p>
        </w:tc>
      </w:tr>
      <w:tr w:rsidR="002732B1" w:rsidRPr="002732B1" w14:paraId="6FC69F67" w14:textId="77777777" w:rsidTr="00FF4CD7">
        <w:tc>
          <w:tcPr>
            <w:tcW w:w="9067" w:type="dxa"/>
            <w:gridSpan w:val="3"/>
            <w:shd w:val="clear" w:color="auto" w:fill="auto"/>
          </w:tcPr>
          <w:p w14:paraId="521E4EEC" w14:textId="77777777" w:rsidR="002732B1" w:rsidRPr="002732B1" w:rsidRDefault="002732B1" w:rsidP="00FF4CD7">
            <w:pPr>
              <w:jc w:val="center"/>
              <w:rPr>
                <w:rFonts w:eastAsia="Calibri"/>
                <w:b/>
                <w:bCs/>
                <w:i/>
                <w:sz w:val="20"/>
                <w:szCs w:val="20"/>
              </w:rPr>
            </w:pPr>
          </w:p>
        </w:tc>
      </w:tr>
      <w:tr w:rsidR="002732B1" w:rsidRPr="002732B1" w14:paraId="31CC4288" w14:textId="77777777" w:rsidTr="00FF4CD7">
        <w:tc>
          <w:tcPr>
            <w:tcW w:w="3681" w:type="dxa"/>
          </w:tcPr>
          <w:p w14:paraId="31DE334C" w14:textId="77777777" w:rsidR="002732B1" w:rsidRPr="002732B1" w:rsidRDefault="002732B1" w:rsidP="00FF4CD7">
            <w:pPr>
              <w:rPr>
                <w:rFonts w:eastAsia="Calibri"/>
                <w:b/>
                <w:i/>
                <w:sz w:val="20"/>
                <w:szCs w:val="20"/>
              </w:rPr>
            </w:pPr>
            <w:r w:rsidRPr="002732B1">
              <w:rPr>
                <w:rFonts w:eastAsia="Calibri"/>
                <w:b/>
                <w:bCs/>
                <w:i/>
                <w:sz w:val="20"/>
                <w:szCs w:val="20"/>
              </w:rPr>
              <w:t>VÝPOČET mechanizmu znižovania byrokracie a nákladov</w:t>
            </w:r>
          </w:p>
        </w:tc>
        <w:tc>
          <w:tcPr>
            <w:tcW w:w="2693" w:type="dxa"/>
            <w:shd w:val="clear" w:color="auto" w:fill="FFC000"/>
          </w:tcPr>
          <w:p w14:paraId="3462AE45" w14:textId="77777777" w:rsidR="002732B1" w:rsidRPr="002732B1" w:rsidRDefault="002732B1" w:rsidP="00FF4CD7">
            <w:pPr>
              <w:jc w:val="center"/>
              <w:rPr>
                <w:rFonts w:eastAsia="Calibri"/>
                <w:b/>
                <w:bCs/>
                <w:i/>
                <w:sz w:val="20"/>
                <w:szCs w:val="20"/>
              </w:rPr>
            </w:pPr>
            <w:r w:rsidRPr="002732B1">
              <w:rPr>
                <w:rFonts w:eastAsia="Calibri"/>
                <w:b/>
                <w:bCs/>
                <w:i/>
                <w:sz w:val="20"/>
                <w:szCs w:val="20"/>
              </w:rPr>
              <w:t>IN</w:t>
            </w:r>
          </w:p>
        </w:tc>
        <w:tc>
          <w:tcPr>
            <w:tcW w:w="2693" w:type="dxa"/>
            <w:shd w:val="clear" w:color="auto" w:fill="92D050"/>
          </w:tcPr>
          <w:p w14:paraId="48C467BB" w14:textId="77777777" w:rsidR="002732B1" w:rsidRPr="002732B1" w:rsidRDefault="002732B1" w:rsidP="00FF4CD7">
            <w:pPr>
              <w:jc w:val="center"/>
              <w:rPr>
                <w:rFonts w:eastAsia="Calibri"/>
                <w:b/>
                <w:bCs/>
                <w:i/>
                <w:sz w:val="20"/>
                <w:szCs w:val="20"/>
              </w:rPr>
            </w:pPr>
            <w:r w:rsidRPr="002732B1">
              <w:rPr>
                <w:rFonts w:eastAsia="Calibri"/>
                <w:b/>
                <w:bCs/>
                <w:i/>
                <w:sz w:val="20"/>
                <w:szCs w:val="20"/>
              </w:rPr>
              <w:t>OUT</w:t>
            </w:r>
          </w:p>
        </w:tc>
      </w:tr>
      <w:tr w:rsidR="002732B1" w:rsidRPr="002732B1" w14:paraId="6CD679C1" w14:textId="77777777" w:rsidTr="00FF4CD7">
        <w:tc>
          <w:tcPr>
            <w:tcW w:w="3681" w:type="dxa"/>
          </w:tcPr>
          <w:p w14:paraId="04212DD5" w14:textId="77777777" w:rsidR="002732B1" w:rsidRPr="002732B1" w:rsidRDefault="002732B1" w:rsidP="00FF4CD7">
            <w:pPr>
              <w:rPr>
                <w:rFonts w:eastAsia="Calibri"/>
                <w:b/>
                <w:i/>
                <w:sz w:val="20"/>
                <w:szCs w:val="20"/>
              </w:rPr>
            </w:pPr>
            <w:r w:rsidRPr="002732B1">
              <w:rPr>
                <w:rFonts w:eastAsia="Calibri"/>
                <w:b/>
                <w:i/>
                <w:sz w:val="20"/>
                <w:szCs w:val="20"/>
              </w:rPr>
              <w:t>G. Náklady okrem výnimiek = B+C+D-F</w:t>
            </w:r>
          </w:p>
        </w:tc>
        <w:tc>
          <w:tcPr>
            <w:tcW w:w="2693" w:type="dxa"/>
            <w:shd w:val="clear" w:color="auto" w:fill="FFC000"/>
          </w:tcPr>
          <w:p w14:paraId="07E7F05E" w14:textId="77777777" w:rsidR="002732B1" w:rsidRPr="002732B1" w:rsidRDefault="002732B1" w:rsidP="00FF4CD7">
            <w:pPr>
              <w:jc w:val="center"/>
              <w:rPr>
                <w:rFonts w:eastAsia="Calibri"/>
                <w:b/>
                <w:bCs/>
                <w:i/>
                <w:sz w:val="20"/>
                <w:szCs w:val="20"/>
              </w:rPr>
            </w:pPr>
            <w:r w:rsidRPr="002732B1">
              <w:rPr>
                <w:rFonts w:eastAsia="Calibri"/>
                <w:b/>
                <w:bCs/>
                <w:i/>
                <w:sz w:val="20"/>
                <w:szCs w:val="20"/>
              </w:rPr>
              <w:t>0</w:t>
            </w:r>
          </w:p>
        </w:tc>
        <w:tc>
          <w:tcPr>
            <w:tcW w:w="2693" w:type="dxa"/>
            <w:shd w:val="clear" w:color="auto" w:fill="92D050"/>
          </w:tcPr>
          <w:p w14:paraId="67FCEB29" w14:textId="77777777" w:rsidR="002732B1" w:rsidRPr="002732B1" w:rsidRDefault="002732B1" w:rsidP="00FF4CD7">
            <w:pPr>
              <w:jc w:val="center"/>
              <w:rPr>
                <w:rFonts w:eastAsia="Calibri"/>
                <w:b/>
                <w:bCs/>
                <w:i/>
                <w:sz w:val="20"/>
                <w:szCs w:val="20"/>
              </w:rPr>
            </w:pPr>
            <w:r w:rsidRPr="002732B1">
              <w:rPr>
                <w:rFonts w:eastAsia="Calibri"/>
                <w:b/>
                <w:i/>
                <w:sz w:val="20"/>
                <w:szCs w:val="20"/>
              </w:rPr>
              <w:t>76 176,00</w:t>
            </w:r>
          </w:p>
        </w:tc>
      </w:tr>
    </w:tbl>
    <w:p w14:paraId="7B09D699" w14:textId="77777777" w:rsidR="002732B1" w:rsidRPr="002732B1" w:rsidRDefault="002732B1" w:rsidP="002732B1">
      <w:pPr>
        <w:rPr>
          <w:rFonts w:eastAsia="Calibri"/>
          <w:i/>
          <w:sz w:val="22"/>
          <w:szCs w:val="22"/>
        </w:rPr>
      </w:pPr>
    </w:p>
    <w:p w14:paraId="437AA497" w14:textId="77777777" w:rsidR="002732B1" w:rsidRPr="002732B1" w:rsidRDefault="002732B1" w:rsidP="002732B1">
      <w:pPr>
        <w:rPr>
          <w:rFonts w:eastAsia="Calibri"/>
          <w:b/>
          <w:sz w:val="22"/>
          <w:szCs w:val="22"/>
        </w:rPr>
      </w:pPr>
    </w:p>
    <w:p w14:paraId="53091C2E" w14:textId="77777777" w:rsidR="002732B1" w:rsidRPr="00895898" w:rsidRDefault="002732B1" w:rsidP="002732B1">
      <w:pPr>
        <w:rPr>
          <w:rFonts w:eastAsia="Calibri"/>
          <w:b/>
        </w:rPr>
        <w:sectPr w:rsidR="002732B1" w:rsidRPr="00895898" w:rsidSect="001C7FA0">
          <w:headerReference w:type="default" r:id="rId19"/>
          <w:footerReference w:type="default" r:id="rId20"/>
          <w:pgSz w:w="11906" w:h="16838"/>
          <w:pgMar w:top="993" w:right="1417" w:bottom="1417" w:left="1417" w:header="708" w:footer="708" w:gutter="0"/>
          <w:cols w:space="708"/>
          <w:docGrid w:linePitch="360"/>
        </w:sectPr>
      </w:pPr>
    </w:p>
    <w:p w14:paraId="1F8AFD0F" w14:textId="77777777" w:rsidR="002732B1" w:rsidRPr="001F1B43" w:rsidRDefault="002732B1" w:rsidP="002732B1">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14:paraId="321AF4F4" w14:textId="77777777" w:rsidR="002732B1" w:rsidRPr="004A2699" w:rsidRDefault="002732B1" w:rsidP="002732B1">
      <w:pPr>
        <w:jc w:val="both"/>
        <w:rPr>
          <w:rFonts w:eastAsia="Calibri"/>
          <w:i/>
        </w:rPr>
      </w:pPr>
      <w:r w:rsidRPr="004A2699">
        <w:rPr>
          <w:rFonts w:eastAsia="Calibri"/>
          <w:i/>
        </w:rPr>
        <w:t>Tabuľka č. 2: Výpočet vplyvov jednotlivých regulácií (nahraďte rovnakou tabuľkou po vyplnení Kalkulačky nákladov):</w:t>
      </w:r>
    </w:p>
    <w:tbl>
      <w:tblPr>
        <w:tblW w:w="14960" w:type="dxa"/>
        <w:tblInd w:w="-431" w:type="dxa"/>
        <w:tblCellMar>
          <w:left w:w="70" w:type="dxa"/>
          <w:right w:w="70" w:type="dxa"/>
        </w:tblCellMar>
        <w:tblLook w:val="04A0" w:firstRow="1" w:lastRow="0" w:firstColumn="1" w:lastColumn="0" w:noHBand="0" w:noVBand="1"/>
      </w:tblPr>
      <w:tblGrid>
        <w:gridCol w:w="541"/>
        <w:gridCol w:w="2556"/>
        <w:gridCol w:w="831"/>
        <w:gridCol w:w="1082"/>
        <w:gridCol w:w="1231"/>
        <w:gridCol w:w="2825"/>
        <w:gridCol w:w="1228"/>
        <w:gridCol w:w="998"/>
        <w:gridCol w:w="998"/>
        <w:gridCol w:w="804"/>
        <w:gridCol w:w="998"/>
        <w:gridCol w:w="868"/>
      </w:tblGrid>
      <w:tr w:rsidR="002732B1" w14:paraId="799CB3E0" w14:textId="77777777" w:rsidTr="00FF4CD7">
        <w:trPr>
          <w:trHeight w:val="383"/>
        </w:trPr>
        <w:tc>
          <w:tcPr>
            <w:tcW w:w="54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F33F993" w14:textId="77777777" w:rsidR="002732B1" w:rsidRPr="00A60D39" w:rsidRDefault="002732B1" w:rsidP="00FF4CD7">
            <w:pPr>
              <w:jc w:val="center"/>
              <w:rPr>
                <w:b/>
                <w:bCs/>
                <w:color w:val="000000"/>
                <w:sz w:val="18"/>
                <w:szCs w:val="18"/>
              </w:rPr>
            </w:pPr>
            <w:r w:rsidRPr="00A60D39">
              <w:rPr>
                <w:b/>
                <w:bCs/>
                <w:color w:val="000000"/>
                <w:sz w:val="18"/>
                <w:szCs w:val="18"/>
              </w:rPr>
              <w:t>P.č.</w:t>
            </w:r>
          </w:p>
        </w:tc>
        <w:tc>
          <w:tcPr>
            <w:tcW w:w="255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7FA5A71" w14:textId="77777777" w:rsidR="002732B1" w:rsidRPr="00A60D39" w:rsidRDefault="002732B1" w:rsidP="00FF4CD7">
            <w:pPr>
              <w:jc w:val="center"/>
              <w:rPr>
                <w:b/>
                <w:bCs/>
                <w:color w:val="000000"/>
                <w:sz w:val="18"/>
                <w:szCs w:val="18"/>
              </w:rPr>
            </w:pPr>
            <w:r w:rsidRPr="00A60D39">
              <w:rPr>
                <w:b/>
                <w:bCs/>
                <w:color w:val="000000"/>
                <w:sz w:val="18"/>
                <w:szCs w:val="18"/>
              </w:rPr>
              <w:t xml:space="preserve">Zrozumiteľný a stručný opis regulácie </w:t>
            </w:r>
            <w:r w:rsidRPr="00A60D39">
              <w:rPr>
                <w:b/>
                <w:bCs/>
                <w:color w:val="000000"/>
                <w:sz w:val="18"/>
                <w:szCs w:val="18"/>
              </w:rPr>
              <w:br/>
              <w:t>(dôvod zvýšenia/zníženia nákladov na PP)</w:t>
            </w:r>
          </w:p>
        </w:tc>
        <w:tc>
          <w:tcPr>
            <w:tcW w:w="83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A6C52F3" w14:textId="77777777" w:rsidR="002732B1" w:rsidRPr="00A60D39" w:rsidRDefault="002732B1" w:rsidP="00FF4CD7">
            <w:pPr>
              <w:jc w:val="center"/>
              <w:rPr>
                <w:b/>
                <w:bCs/>
                <w:color w:val="000000"/>
                <w:sz w:val="18"/>
                <w:szCs w:val="18"/>
              </w:rPr>
            </w:pPr>
            <w:r w:rsidRPr="00A60D39">
              <w:rPr>
                <w:b/>
                <w:bCs/>
                <w:color w:val="000000"/>
                <w:sz w:val="18"/>
                <w:szCs w:val="18"/>
              </w:rPr>
              <w:t>Číslo normy</w:t>
            </w:r>
            <w:r w:rsidRPr="00A60D39">
              <w:rPr>
                <w:b/>
                <w:bCs/>
                <w:color w:val="000000"/>
                <w:sz w:val="18"/>
                <w:szCs w:val="18"/>
              </w:rPr>
              <w:br/>
            </w:r>
            <w:r w:rsidRPr="00A60D39">
              <w:rPr>
                <w:color w:val="000000"/>
                <w:sz w:val="18"/>
                <w:szCs w:val="18"/>
              </w:rPr>
              <w:t>(zákona, vyhlášky a pod.)</w:t>
            </w:r>
          </w:p>
        </w:tc>
        <w:tc>
          <w:tcPr>
            <w:tcW w:w="108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8B7336F" w14:textId="77777777" w:rsidR="002732B1" w:rsidRPr="00A60D39" w:rsidRDefault="002732B1" w:rsidP="00FF4CD7">
            <w:pPr>
              <w:jc w:val="center"/>
              <w:rPr>
                <w:b/>
                <w:bCs/>
                <w:color w:val="000000"/>
                <w:sz w:val="18"/>
                <w:szCs w:val="18"/>
              </w:rPr>
            </w:pPr>
            <w:r w:rsidRPr="00A60D39">
              <w:rPr>
                <w:b/>
                <w:bCs/>
                <w:color w:val="000000"/>
                <w:sz w:val="18"/>
                <w:szCs w:val="18"/>
              </w:rPr>
              <w:t>Lokalizácia</w:t>
            </w:r>
            <w:r w:rsidRPr="00A60D39">
              <w:rPr>
                <w:b/>
                <w:bCs/>
                <w:color w:val="000000"/>
                <w:sz w:val="18"/>
                <w:szCs w:val="18"/>
              </w:rPr>
              <w:br/>
              <w:t>(§, ods.)</w:t>
            </w:r>
          </w:p>
        </w:tc>
        <w:tc>
          <w:tcPr>
            <w:tcW w:w="12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73CE63E" w14:textId="77777777" w:rsidR="002732B1" w:rsidRPr="00A60D39" w:rsidRDefault="002732B1" w:rsidP="00FF4CD7">
            <w:pPr>
              <w:jc w:val="center"/>
              <w:rPr>
                <w:b/>
                <w:bCs/>
                <w:color w:val="000000"/>
                <w:sz w:val="18"/>
                <w:szCs w:val="18"/>
              </w:rPr>
            </w:pPr>
            <w:r w:rsidRPr="00A60D39">
              <w:rPr>
                <w:b/>
                <w:bCs/>
                <w:color w:val="000000"/>
                <w:sz w:val="18"/>
                <w:szCs w:val="18"/>
              </w:rPr>
              <w:t xml:space="preserve">Pôvod regulácie: </w:t>
            </w:r>
            <w:r w:rsidRPr="00A60D39">
              <w:rPr>
                <w:b/>
                <w:bCs/>
                <w:color w:val="000000"/>
                <w:sz w:val="18"/>
                <w:szCs w:val="18"/>
              </w:rPr>
              <w:br/>
            </w:r>
            <w:r w:rsidRPr="00A60D39">
              <w:rPr>
                <w:color w:val="000000"/>
                <w:sz w:val="18"/>
                <w:szCs w:val="18"/>
              </w:rPr>
              <w:t>SR/EÚ úplná harm./EÚ harm. s možnosťou voľby</w:t>
            </w:r>
          </w:p>
        </w:tc>
        <w:tc>
          <w:tcPr>
            <w:tcW w:w="282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659A5DA" w14:textId="77777777" w:rsidR="002732B1" w:rsidRPr="00A60D39" w:rsidRDefault="002732B1" w:rsidP="00FF4CD7">
            <w:pPr>
              <w:jc w:val="center"/>
              <w:rPr>
                <w:b/>
                <w:bCs/>
                <w:color w:val="000000"/>
                <w:sz w:val="18"/>
                <w:szCs w:val="18"/>
              </w:rPr>
            </w:pPr>
            <w:r w:rsidRPr="00A60D39">
              <w:rPr>
                <w:b/>
                <w:bCs/>
                <w:color w:val="000000"/>
                <w:sz w:val="18"/>
                <w:szCs w:val="18"/>
              </w:rPr>
              <w:t>Účinnosť regulácie</w:t>
            </w:r>
          </w:p>
        </w:tc>
        <w:tc>
          <w:tcPr>
            <w:tcW w:w="122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83C610F" w14:textId="77777777" w:rsidR="002732B1" w:rsidRPr="00A60D39" w:rsidRDefault="002732B1" w:rsidP="00FF4CD7">
            <w:pPr>
              <w:jc w:val="center"/>
              <w:rPr>
                <w:b/>
                <w:bCs/>
                <w:color w:val="000000"/>
                <w:sz w:val="18"/>
                <w:szCs w:val="18"/>
              </w:rPr>
            </w:pPr>
            <w:r w:rsidRPr="00A60D39">
              <w:rPr>
                <w:b/>
                <w:bCs/>
                <w:color w:val="000000"/>
                <w:sz w:val="18"/>
                <w:szCs w:val="18"/>
              </w:rPr>
              <w:t>Kategória dotk. subjektov</w:t>
            </w:r>
          </w:p>
        </w:tc>
        <w:tc>
          <w:tcPr>
            <w:tcW w:w="99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F642D28" w14:textId="77777777" w:rsidR="002732B1" w:rsidRPr="00A60D39" w:rsidRDefault="002732B1" w:rsidP="00FF4CD7">
            <w:pPr>
              <w:jc w:val="center"/>
              <w:rPr>
                <w:b/>
                <w:bCs/>
                <w:color w:val="000000"/>
                <w:sz w:val="18"/>
                <w:szCs w:val="18"/>
              </w:rPr>
            </w:pPr>
            <w:r w:rsidRPr="00A60D39">
              <w:rPr>
                <w:b/>
                <w:bCs/>
                <w:color w:val="000000"/>
                <w:sz w:val="18"/>
                <w:szCs w:val="18"/>
              </w:rPr>
              <w:t xml:space="preserve">Počet subjektov spolu </w:t>
            </w:r>
          </w:p>
        </w:tc>
        <w:tc>
          <w:tcPr>
            <w:tcW w:w="99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1250D8F" w14:textId="77777777" w:rsidR="002732B1" w:rsidRPr="00A60D39" w:rsidRDefault="002732B1" w:rsidP="00FF4CD7">
            <w:pPr>
              <w:jc w:val="center"/>
              <w:rPr>
                <w:b/>
                <w:bCs/>
                <w:color w:val="000000"/>
                <w:sz w:val="18"/>
                <w:szCs w:val="18"/>
              </w:rPr>
            </w:pPr>
            <w:r w:rsidRPr="00A60D39">
              <w:rPr>
                <w:b/>
                <w:bCs/>
                <w:color w:val="000000"/>
                <w:sz w:val="18"/>
                <w:szCs w:val="18"/>
              </w:rPr>
              <w:t>Počet subjektov MSP</w:t>
            </w:r>
          </w:p>
        </w:tc>
        <w:tc>
          <w:tcPr>
            <w:tcW w:w="80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585D900" w14:textId="77777777" w:rsidR="002732B1" w:rsidRPr="00A60D39" w:rsidRDefault="002732B1" w:rsidP="00FF4CD7">
            <w:pPr>
              <w:jc w:val="center"/>
              <w:rPr>
                <w:b/>
                <w:bCs/>
                <w:color w:val="000000"/>
                <w:sz w:val="18"/>
                <w:szCs w:val="18"/>
              </w:rPr>
            </w:pPr>
            <w:r w:rsidRPr="00A60D39">
              <w:rPr>
                <w:b/>
                <w:bCs/>
                <w:color w:val="000000"/>
                <w:sz w:val="18"/>
                <w:szCs w:val="18"/>
              </w:rPr>
              <w:t>Vplyv na 1 podnik. v €</w:t>
            </w:r>
          </w:p>
        </w:tc>
        <w:tc>
          <w:tcPr>
            <w:tcW w:w="99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E2BBBB" w14:textId="77777777" w:rsidR="002732B1" w:rsidRPr="00A60D39" w:rsidRDefault="002732B1" w:rsidP="00FF4CD7">
            <w:pPr>
              <w:jc w:val="center"/>
              <w:rPr>
                <w:b/>
                <w:bCs/>
                <w:color w:val="000000"/>
                <w:sz w:val="18"/>
                <w:szCs w:val="18"/>
              </w:rPr>
            </w:pPr>
            <w:r w:rsidRPr="00A60D39">
              <w:rPr>
                <w:b/>
                <w:bCs/>
                <w:color w:val="000000"/>
                <w:sz w:val="18"/>
                <w:szCs w:val="18"/>
              </w:rPr>
              <w:t>Vplyv na kategóriu dotk. subjektov v €</w:t>
            </w:r>
          </w:p>
        </w:tc>
        <w:tc>
          <w:tcPr>
            <w:tcW w:w="86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48A989" w14:textId="77777777" w:rsidR="002732B1" w:rsidRPr="00A60D39" w:rsidRDefault="002732B1" w:rsidP="00FF4CD7">
            <w:pPr>
              <w:jc w:val="center"/>
              <w:rPr>
                <w:b/>
                <w:bCs/>
                <w:color w:val="000000"/>
                <w:sz w:val="18"/>
                <w:szCs w:val="18"/>
              </w:rPr>
            </w:pPr>
            <w:r w:rsidRPr="00A60D39">
              <w:rPr>
                <w:b/>
                <w:bCs/>
                <w:color w:val="000000"/>
                <w:sz w:val="18"/>
                <w:szCs w:val="18"/>
              </w:rPr>
              <w:t>Druh vplyvu</w:t>
            </w:r>
            <w:r w:rsidRPr="00A60D39">
              <w:rPr>
                <w:b/>
                <w:bCs/>
                <w:color w:val="000000"/>
                <w:sz w:val="18"/>
                <w:szCs w:val="18"/>
              </w:rPr>
              <w:br/>
            </w:r>
            <w:r w:rsidRPr="00A60D39">
              <w:rPr>
                <w:color w:val="000000"/>
                <w:sz w:val="18"/>
                <w:szCs w:val="18"/>
              </w:rPr>
              <w:t xml:space="preserve">In (zvyšuje náklady) / </w:t>
            </w:r>
            <w:r w:rsidRPr="00A60D39">
              <w:rPr>
                <w:color w:val="000000"/>
                <w:sz w:val="18"/>
                <w:szCs w:val="18"/>
              </w:rPr>
              <w:br/>
              <w:t>Out (znižuje náklady)</w:t>
            </w:r>
          </w:p>
        </w:tc>
      </w:tr>
      <w:tr w:rsidR="002732B1" w14:paraId="2C817727" w14:textId="77777777" w:rsidTr="00FF4CD7">
        <w:trPr>
          <w:trHeight w:val="450"/>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0BAD80AE" w14:textId="77777777" w:rsidR="002732B1" w:rsidRPr="00A60D39" w:rsidRDefault="002732B1" w:rsidP="00FF4CD7">
            <w:pPr>
              <w:rPr>
                <w:b/>
                <w:bCs/>
                <w:color w:val="000000"/>
                <w:sz w:val="18"/>
                <w:szCs w:val="18"/>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1A2E40B2" w14:textId="77777777" w:rsidR="002732B1" w:rsidRPr="00A60D39" w:rsidRDefault="002732B1" w:rsidP="00FF4CD7">
            <w:pPr>
              <w:rPr>
                <w:b/>
                <w:bCs/>
                <w:color w:val="000000"/>
                <w:sz w:val="18"/>
                <w:szCs w:val="18"/>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14:paraId="7B74A9F4" w14:textId="77777777" w:rsidR="002732B1" w:rsidRPr="00A60D39" w:rsidRDefault="002732B1" w:rsidP="00FF4CD7">
            <w:pPr>
              <w:rPr>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45A8E5CF" w14:textId="77777777" w:rsidR="002732B1" w:rsidRPr="00A60D39" w:rsidRDefault="002732B1" w:rsidP="00FF4CD7">
            <w:pPr>
              <w:rPr>
                <w:b/>
                <w:bCs/>
                <w:color w:val="000000"/>
                <w:sz w:val="18"/>
                <w:szCs w:val="18"/>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7B850CE3" w14:textId="77777777" w:rsidR="002732B1" w:rsidRPr="00A60D39" w:rsidRDefault="002732B1" w:rsidP="00FF4CD7">
            <w:pPr>
              <w:rPr>
                <w:b/>
                <w:bCs/>
                <w:color w:val="000000"/>
                <w:sz w:val="18"/>
                <w:szCs w:val="18"/>
              </w:rPr>
            </w:pPr>
          </w:p>
        </w:tc>
        <w:tc>
          <w:tcPr>
            <w:tcW w:w="2825" w:type="dxa"/>
            <w:vMerge/>
            <w:tcBorders>
              <w:top w:val="single" w:sz="4" w:space="0" w:color="auto"/>
              <w:left w:val="single" w:sz="4" w:space="0" w:color="auto"/>
              <w:bottom w:val="single" w:sz="4" w:space="0" w:color="auto"/>
              <w:right w:val="single" w:sz="4" w:space="0" w:color="auto"/>
            </w:tcBorders>
            <w:vAlign w:val="center"/>
            <w:hideMark/>
          </w:tcPr>
          <w:p w14:paraId="3A4C66BD" w14:textId="77777777" w:rsidR="002732B1" w:rsidRPr="00A60D39" w:rsidRDefault="002732B1" w:rsidP="00FF4CD7">
            <w:pPr>
              <w:rPr>
                <w:b/>
                <w:bCs/>
                <w:color w:val="000000"/>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200E2752"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A073347"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147175D" w14:textId="77777777" w:rsidR="002732B1" w:rsidRPr="00A60D39" w:rsidRDefault="002732B1" w:rsidP="00FF4CD7">
            <w:pPr>
              <w:rPr>
                <w:b/>
                <w:bCs/>
                <w:color w:val="000000"/>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7F582C30"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74A432BB" w14:textId="77777777" w:rsidR="002732B1" w:rsidRPr="00A60D39" w:rsidRDefault="002732B1" w:rsidP="00FF4CD7">
            <w:pPr>
              <w:rPr>
                <w:b/>
                <w:bCs/>
                <w:color w:val="000000"/>
                <w:sz w:val="18"/>
                <w:szCs w:val="18"/>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5A3B3588" w14:textId="77777777" w:rsidR="002732B1" w:rsidRPr="00A60D39" w:rsidRDefault="002732B1" w:rsidP="00FF4CD7">
            <w:pPr>
              <w:rPr>
                <w:b/>
                <w:bCs/>
                <w:color w:val="000000"/>
                <w:sz w:val="18"/>
                <w:szCs w:val="18"/>
              </w:rPr>
            </w:pPr>
          </w:p>
        </w:tc>
      </w:tr>
      <w:tr w:rsidR="002732B1" w14:paraId="2D8655C0" w14:textId="77777777" w:rsidTr="00FF4CD7">
        <w:trPr>
          <w:trHeight w:val="450"/>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7DC4D759" w14:textId="77777777" w:rsidR="002732B1" w:rsidRPr="00A60D39" w:rsidRDefault="002732B1" w:rsidP="00FF4CD7">
            <w:pPr>
              <w:rPr>
                <w:b/>
                <w:bCs/>
                <w:color w:val="000000"/>
                <w:sz w:val="18"/>
                <w:szCs w:val="18"/>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03867CC7" w14:textId="77777777" w:rsidR="002732B1" w:rsidRPr="00A60D39" w:rsidRDefault="002732B1" w:rsidP="00FF4CD7">
            <w:pPr>
              <w:rPr>
                <w:b/>
                <w:bCs/>
                <w:color w:val="000000"/>
                <w:sz w:val="18"/>
                <w:szCs w:val="18"/>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14:paraId="596D931E" w14:textId="77777777" w:rsidR="002732B1" w:rsidRPr="00A60D39" w:rsidRDefault="002732B1" w:rsidP="00FF4CD7">
            <w:pPr>
              <w:rPr>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5BB1C1E9" w14:textId="77777777" w:rsidR="002732B1" w:rsidRPr="00A60D39" w:rsidRDefault="002732B1" w:rsidP="00FF4CD7">
            <w:pPr>
              <w:rPr>
                <w:b/>
                <w:bCs/>
                <w:color w:val="000000"/>
                <w:sz w:val="18"/>
                <w:szCs w:val="18"/>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4D68E395" w14:textId="77777777" w:rsidR="002732B1" w:rsidRPr="00A60D39" w:rsidRDefault="002732B1" w:rsidP="00FF4CD7">
            <w:pPr>
              <w:rPr>
                <w:b/>
                <w:bCs/>
                <w:color w:val="000000"/>
                <w:sz w:val="18"/>
                <w:szCs w:val="18"/>
              </w:rPr>
            </w:pPr>
          </w:p>
        </w:tc>
        <w:tc>
          <w:tcPr>
            <w:tcW w:w="2825" w:type="dxa"/>
            <w:vMerge/>
            <w:tcBorders>
              <w:top w:val="single" w:sz="4" w:space="0" w:color="auto"/>
              <w:left w:val="single" w:sz="4" w:space="0" w:color="auto"/>
              <w:bottom w:val="single" w:sz="4" w:space="0" w:color="auto"/>
              <w:right w:val="single" w:sz="4" w:space="0" w:color="auto"/>
            </w:tcBorders>
            <w:vAlign w:val="center"/>
            <w:hideMark/>
          </w:tcPr>
          <w:p w14:paraId="4BEFA019" w14:textId="77777777" w:rsidR="002732B1" w:rsidRPr="00A60D39" w:rsidRDefault="002732B1" w:rsidP="00FF4CD7">
            <w:pPr>
              <w:rPr>
                <w:b/>
                <w:bCs/>
                <w:color w:val="000000"/>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42DDB82C"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EEF48B3"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CC4D743" w14:textId="77777777" w:rsidR="002732B1" w:rsidRPr="00A60D39" w:rsidRDefault="002732B1" w:rsidP="00FF4CD7">
            <w:pPr>
              <w:rPr>
                <w:b/>
                <w:bCs/>
                <w:color w:val="000000"/>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3683162F"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DF6D1AE" w14:textId="77777777" w:rsidR="002732B1" w:rsidRPr="00A60D39" w:rsidRDefault="002732B1" w:rsidP="00FF4CD7">
            <w:pPr>
              <w:rPr>
                <w:b/>
                <w:bCs/>
                <w:color w:val="000000"/>
                <w:sz w:val="18"/>
                <w:szCs w:val="18"/>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0D6DA6C" w14:textId="77777777" w:rsidR="002732B1" w:rsidRPr="00A60D39" w:rsidRDefault="002732B1" w:rsidP="00FF4CD7">
            <w:pPr>
              <w:rPr>
                <w:b/>
                <w:bCs/>
                <w:color w:val="000000"/>
                <w:sz w:val="18"/>
                <w:szCs w:val="18"/>
              </w:rPr>
            </w:pPr>
          </w:p>
        </w:tc>
      </w:tr>
      <w:tr w:rsidR="002732B1" w14:paraId="5C410A05" w14:textId="77777777" w:rsidTr="00FF4CD7">
        <w:trPr>
          <w:trHeight w:val="450"/>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15946B89" w14:textId="77777777" w:rsidR="002732B1" w:rsidRPr="00A60D39" w:rsidRDefault="002732B1" w:rsidP="00FF4CD7">
            <w:pPr>
              <w:rPr>
                <w:b/>
                <w:bCs/>
                <w:color w:val="000000"/>
                <w:sz w:val="18"/>
                <w:szCs w:val="18"/>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79EE36DD" w14:textId="77777777" w:rsidR="002732B1" w:rsidRPr="00A60D39" w:rsidRDefault="002732B1" w:rsidP="00FF4CD7">
            <w:pPr>
              <w:rPr>
                <w:b/>
                <w:bCs/>
                <w:color w:val="000000"/>
                <w:sz w:val="18"/>
                <w:szCs w:val="18"/>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14:paraId="42BBC328" w14:textId="77777777" w:rsidR="002732B1" w:rsidRPr="00A60D39" w:rsidRDefault="002732B1" w:rsidP="00FF4CD7">
            <w:pPr>
              <w:rPr>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383AAD93" w14:textId="77777777" w:rsidR="002732B1" w:rsidRPr="00A60D39" w:rsidRDefault="002732B1" w:rsidP="00FF4CD7">
            <w:pPr>
              <w:rPr>
                <w:b/>
                <w:bCs/>
                <w:color w:val="000000"/>
                <w:sz w:val="18"/>
                <w:szCs w:val="18"/>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3E21A44A" w14:textId="77777777" w:rsidR="002732B1" w:rsidRPr="00A60D39" w:rsidRDefault="002732B1" w:rsidP="00FF4CD7">
            <w:pPr>
              <w:rPr>
                <w:b/>
                <w:bCs/>
                <w:color w:val="000000"/>
                <w:sz w:val="18"/>
                <w:szCs w:val="18"/>
              </w:rPr>
            </w:pPr>
          </w:p>
        </w:tc>
        <w:tc>
          <w:tcPr>
            <w:tcW w:w="2825" w:type="dxa"/>
            <w:vMerge/>
            <w:tcBorders>
              <w:top w:val="single" w:sz="4" w:space="0" w:color="auto"/>
              <w:left w:val="single" w:sz="4" w:space="0" w:color="auto"/>
              <w:bottom w:val="single" w:sz="4" w:space="0" w:color="auto"/>
              <w:right w:val="single" w:sz="4" w:space="0" w:color="auto"/>
            </w:tcBorders>
            <w:vAlign w:val="center"/>
            <w:hideMark/>
          </w:tcPr>
          <w:p w14:paraId="2BA87417" w14:textId="77777777" w:rsidR="002732B1" w:rsidRPr="00A60D39" w:rsidRDefault="002732B1" w:rsidP="00FF4CD7">
            <w:pPr>
              <w:rPr>
                <w:b/>
                <w:bCs/>
                <w:color w:val="000000"/>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787A5B96"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09188367"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0C75CE47" w14:textId="77777777" w:rsidR="002732B1" w:rsidRPr="00A60D39" w:rsidRDefault="002732B1" w:rsidP="00FF4CD7">
            <w:pPr>
              <w:rPr>
                <w:b/>
                <w:bCs/>
                <w:color w:val="000000"/>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E7734B0"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E2D14EF" w14:textId="77777777" w:rsidR="002732B1" w:rsidRPr="00A60D39" w:rsidRDefault="002732B1" w:rsidP="00FF4CD7">
            <w:pPr>
              <w:rPr>
                <w:b/>
                <w:bCs/>
                <w:color w:val="000000"/>
                <w:sz w:val="18"/>
                <w:szCs w:val="18"/>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0288FC3B" w14:textId="77777777" w:rsidR="002732B1" w:rsidRPr="00A60D39" w:rsidRDefault="002732B1" w:rsidP="00FF4CD7">
            <w:pPr>
              <w:rPr>
                <w:b/>
                <w:bCs/>
                <w:color w:val="000000"/>
                <w:sz w:val="18"/>
                <w:szCs w:val="18"/>
              </w:rPr>
            </w:pPr>
          </w:p>
        </w:tc>
      </w:tr>
      <w:tr w:rsidR="002732B1" w14:paraId="4BBA3F9B" w14:textId="77777777" w:rsidTr="00FF4CD7">
        <w:trPr>
          <w:trHeight w:val="450"/>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462A5090" w14:textId="77777777" w:rsidR="002732B1" w:rsidRPr="00A60D39" w:rsidRDefault="002732B1" w:rsidP="00FF4CD7">
            <w:pPr>
              <w:rPr>
                <w:b/>
                <w:bCs/>
                <w:color w:val="000000"/>
                <w:sz w:val="18"/>
                <w:szCs w:val="18"/>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6061809F" w14:textId="77777777" w:rsidR="002732B1" w:rsidRPr="00A60D39" w:rsidRDefault="002732B1" w:rsidP="00FF4CD7">
            <w:pPr>
              <w:rPr>
                <w:b/>
                <w:bCs/>
                <w:color w:val="000000"/>
                <w:sz w:val="18"/>
                <w:szCs w:val="18"/>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14:paraId="17904B93" w14:textId="77777777" w:rsidR="002732B1" w:rsidRPr="00A60D39" w:rsidRDefault="002732B1" w:rsidP="00FF4CD7">
            <w:pPr>
              <w:rPr>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15B00AE4" w14:textId="77777777" w:rsidR="002732B1" w:rsidRPr="00A60D39" w:rsidRDefault="002732B1" w:rsidP="00FF4CD7">
            <w:pPr>
              <w:rPr>
                <w:b/>
                <w:bCs/>
                <w:color w:val="000000"/>
                <w:sz w:val="18"/>
                <w:szCs w:val="18"/>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1D9E810E" w14:textId="77777777" w:rsidR="002732B1" w:rsidRPr="00A60D39" w:rsidRDefault="002732B1" w:rsidP="00FF4CD7">
            <w:pPr>
              <w:rPr>
                <w:b/>
                <w:bCs/>
                <w:color w:val="000000"/>
                <w:sz w:val="18"/>
                <w:szCs w:val="18"/>
              </w:rPr>
            </w:pPr>
          </w:p>
        </w:tc>
        <w:tc>
          <w:tcPr>
            <w:tcW w:w="2825" w:type="dxa"/>
            <w:vMerge/>
            <w:tcBorders>
              <w:top w:val="single" w:sz="4" w:space="0" w:color="auto"/>
              <w:left w:val="single" w:sz="4" w:space="0" w:color="auto"/>
              <w:bottom w:val="single" w:sz="4" w:space="0" w:color="auto"/>
              <w:right w:val="single" w:sz="4" w:space="0" w:color="auto"/>
            </w:tcBorders>
            <w:vAlign w:val="center"/>
            <w:hideMark/>
          </w:tcPr>
          <w:p w14:paraId="64C9C0B6" w14:textId="77777777" w:rsidR="002732B1" w:rsidRPr="00A60D39" w:rsidRDefault="002732B1" w:rsidP="00FF4CD7">
            <w:pPr>
              <w:rPr>
                <w:b/>
                <w:bCs/>
                <w:color w:val="000000"/>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2AF30306"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7C7CF27"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762DA11" w14:textId="77777777" w:rsidR="002732B1" w:rsidRPr="00A60D39" w:rsidRDefault="002732B1" w:rsidP="00FF4CD7">
            <w:pPr>
              <w:rPr>
                <w:b/>
                <w:bCs/>
                <w:color w:val="000000"/>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0654A249"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77E27167" w14:textId="77777777" w:rsidR="002732B1" w:rsidRPr="00A60D39" w:rsidRDefault="002732B1" w:rsidP="00FF4CD7">
            <w:pPr>
              <w:rPr>
                <w:b/>
                <w:bCs/>
                <w:color w:val="000000"/>
                <w:sz w:val="18"/>
                <w:szCs w:val="18"/>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5258709" w14:textId="77777777" w:rsidR="002732B1" w:rsidRPr="00A60D39" w:rsidRDefault="002732B1" w:rsidP="00FF4CD7">
            <w:pPr>
              <w:rPr>
                <w:b/>
                <w:bCs/>
                <w:color w:val="000000"/>
                <w:sz w:val="18"/>
                <w:szCs w:val="18"/>
              </w:rPr>
            </w:pPr>
          </w:p>
        </w:tc>
      </w:tr>
      <w:tr w:rsidR="002732B1" w14:paraId="7BA017E8" w14:textId="77777777" w:rsidTr="00FF4CD7">
        <w:trPr>
          <w:trHeight w:val="450"/>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43270742" w14:textId="77777777" w:rsidR="002732B1" w:rsidRPr="00A60D39" w:rsidRDefault="002732B1" w:rsidP="00FF4CD7">
            <w:pPr>
              <w:rPr>
                <w:b/>
                <w:bCs/>
                <w:color w:val="000000"/>
                <w:sz w:val="18"/>
                <w:szCs w:val="18"/>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4B4E42AC" w14:textId="77777777" w:rsidR="002732B1" w:rsidRPr="00A60D39" w:rsidRDefault="002732B1" w:rsidP="00FF4CD7">
            <w:pPr>
              <w:rPr>
                <w:b/>
                <w:bCs/>
                <w:color w:val="000000"/>
                <w:sz w:val="18"/>
                <w:szCs w:val="18"/>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14:paraId="14609635" w14:textId="77777777" w:rsidR="002732B1" w:rsidRPr="00A60D39" w:rsidRDefault="002732B1" w:rsidP="00FF4CD7">
            <w:pPr>
              <w:rPr>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586F1AF0" w14:textId="77777777" w:rsidR="002732B1" w:rsidRPr="00A60D39" w:rsidRDefault="002732B1" w:rsidP="00FF4CD7">
            <w:pPr>
              <w:rPr>
                <w:b/>
                <w:bCs/>
                <w:color w:val="000000"/>
                <w:sz w:val="18"/>
                <w:szCs w:val="18"/>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14:paraId="39693F0E" w14:textId="77777777" w:rsidR="002732B1" w:rsidRPr="00A60D39" w:rsidRDefault="002732B1" w:rsidP="00FF4CD7">
            <w:pPr>
              <w:rPr>
                <w:b/>
                <w:bCs/>
                <w:color w:val="000000"/>
                <w:sz w:val="18"/>
                <w:szCs w:val="18"/>
              </w:rPr>
            </w:pPr>
          </w:p>
        </w:tc>
        <w:tc>
          <w:tcPr>
            <w:tcW w:w="2825" w:type="dxa"/>
            <w:vMerge/>
            <w:tcBorders>
              <w:top w:val="single" w:sz="4" w:space="0" w:color="auto"/>
              <w:left w:val="single" w:sz="4" w:space="0" w:color="auto"/>
              <w:bottom w:val="single" w:sz="4" w:space="0" w:color="auto"/>
              <w:right w:val="single" w:sz="4" w:space="0" w:color="auto"/>
            </w:tcBorders>
            <w:vAlign w:val="center"/>
            <w:hideMark/>
          </w:tcPr>
          <w:p w14:paraId="15A4DC12" w14:textId="77777777" w:rsidR="002732B1" w:rsidRPr="00A60D39" w:rsidRDefault="002732B1" w:rsidP="00FF4CD7">
            <w:pPr>
              <w:rPr>
                <w:b/>
                <w:bCs/>
                <w:color w:val="000000"/>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709B6C2A"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159167FE"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064F41EF" w14:textId="77777777" w:rsidR="002732B1" w:rsidRPr="00A60D39" w:rsidRDefault="002732B1" w:rsidP="00FF4CD7">
            <w:pPr>
              <w:rPr>
                <w:b/>
                <w:bCs/>
                <w:color w:val="000000"/>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29A12C51" w14:textId="77777777" w:rsidR="002732B1" w:rsidRPr="00A60D39" w:rsidRDefault="002732B1" w:rsidP="00FF4CD7">
            <w:pPr>
              <w:rPr>
                <w:b/>
                <w:bCs/>
                <w:color w:val="000000"/>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72DE5A3" w14:textId="77777777" w:rsidR="002732B1" w:rsidRPr="00A60D39" w:rsidRDefault="002732B1" w:rsidP="00FF4CD7">
            <w:pPr>
              <w:rPr>
                <w:b/>
                <w:bCs/>
                <w:color w:val="000000"/>
                <w:sz w:val="18"/>
                <w:szCs w:val="18"/>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26CF5943" w14:textId="77777777" w:rsidR="002732B1" w:rsidRPr="00A60D39" w:rsidRDefault="002732B1" w:rsidP="00FF4CD7">
            <w:pPr>
              <w:rPr>
                <w:b/>
                <w:bCs/>
                <w:color w:val="000000"/>
                <w:sz w:val="18"/>
                <w:szCs w:val="18"/>
              </w:rPr>
            </w:pPr>
          </w:p>
        </w:tc>
      </w:tr>
      <w:tr w:rsidR="002732B1" w14:paraId="317B685D" w14:textId="77777777" w:rsidTr="00FF4CD7">
        <w:trPr>
          <w:trHeight w:val="222"/>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47C224CE" w14:textId="77777777" w:rsidR="002732B1" w:rsidRPr="00A60D39" w:rsidRDefault="002732B1" w:rsidP="00FF4CD7">
            <w:pPr>
              <w:jc w:val="center"/>
              <w:rPr>
                <w:color w:val="000000"/>
                <w:sz w:val="18"/>
                <w:szCs w:val="18"/>
              </w:rPr>
            </w:pPr>
            <w:r w:rsidRPr="00A60D39">
              <w:rPr>
                <w:color w:val="000000"/>
                <w:sz w:val="18"/>
                <w:szCs w:val="18"/>
              </w:rPr>
              <w:t>1</w:t>
            </w:r>
          </w:p>
        </w:tc>
        <w:tc>
          <w:tcPr>
            <w:tcW w:w="2556" w:type="dxa"/>
            <w:tcBorders>
              <w:top w:val="nil"/>
              <w:left w:val="nil"/>
              <w:bottom w:val="single" w:sz="4" w:space="0" w:color="auto"/>
              <w:right w:val="single" w:sz="4" w:space="0" w:color="auto"/>
            </w:tcBorders>
            <w:shd w:val="clear" w:color="auto" w:fill="auto"/>
            <w:vAlign w:val="center"/>
            <w:hideMark/>
          </w:tcPr>
          <w:p w14:paraId="7E0AC0AF" w14:textId="77777777" w:rsidR="002732B1" w:rsidRPr="00A60D39" w:rsidRDefault="002732B1" w:rsidP="00FF4CD7">
            <w:pPr>
              <w:jc w:val="center"/>
              <w:rPr>
                <w:color w:val="000000"/>
                <w:sz w:val="18"/>
                <w:szCs w:val="18"/>
              </w:rPr>
            </w:pPr>
            <w:r w:rsidRPr="00A60D39">
              <w:rPr>
                <w:color w:val="000000"/>
                <w:sz w:val="18"/>
                <w:szCs w:val="18"/>
              </w:rPr>
              <w:t>Oprávnenie vykonávať zaručenú konverziu pri výkone bankovej činnosti</w:t>
            </w:r>
          </w:p>
        </w:tc>
        <w:tc>
          <w:tcPr>
            <w:tcW w:w="831" w:type="dxa"/>
            <w:tcBorders>
              <w:top w:val="nil"/>
              <w:left w:val="nil"/>
              <w:bottom w:val="single" w:sz="4" w:space="0" w:color="auto"/>
              <w:right w:val="single" w:sz="4" w:space="0" w:color="auto"/>
            </w:tcBorders>
            <w:shd w:val="clear" w:color="auto" w:fill="auto"/>
            <w:vAlign w:val="center"/>
            <w:hideMark/>
          </w:tcPr>
          <w:p w14:paraId="7D8EEF35" w14:textId="77777777" w:rsidR="002732B1" w:rsidRPr="00A60D39" w:rsidRDefault="002732B1" w:rsidP="00FF4CD7">
            <w:pPr>
              <w:jc w:val="center"/>
              <w:rPr>
                <w:color w:val="000000"/>
                <w:sz w:val="18"/>
                <w:szCs w:val="18"/>
              </w:rPr>
            </w:pPr>
            <w:r w:rsidRPr="00A60D39">
              <w:rPr>
                <w:color w:val="000000"/>
                <w:sz w:val="18"/>
                <w:szCs w:val="18"/>
              </w:rPr>
              <w:t>305/2013 Z. z.</w:t>
            </w:r>
          </w:p>
        </w:tc>
        <w:tc>
          <w:tcPr>
            <w:tcW w:w="1082" w:type="dxa"/>
            <w:tcBorders>
              <w:top w:val="nil"/>
              <w:left w:val="nil"/>
              <w:bottom w:val="single" w:sz="4" w:space="0" w:color="auto"/>
              <w:right w:val="single" w:sz="4" w:space="0" w:color="auto"/>
            </w:tcBorders>
            <w:shd w:val="clear" w:color="auto" w:fill="auto"/>
            <w:vAlign w:val="center"/>
            <w:hideMark/>
          </w:tcPr>
          <w:p w14:paraId="6F7BCB59" w14:textId="77777777" w:rsidR="002732B1" w:rsidRPr="00A60D39" w:rsidRDefault="002732B1" w:rsidP="00FF4CD7">
            <w:pPr>
              <w:jc w:val="center"/>
              <w:rPr>
                <w:color w:val="000000"/>
                <w:sz w:val="18"/>
                <w:szCs w:val="18"/>
              </w:rPr>
            </w:pPr>
            <w:r w:rsidRPr="00A60D39">
              <w:rPr>
                <w:color w:val="000000"/>
                <w:sz w:val="18"/>
                <w:szCs w:val="18"/>
              </w:rPr>
              <w:t>§ 35 ods. 3 písm. f)</w:t>
            </w:r>
          </w:p>
        </w:tc>
        <w:tc>
          <w:tcPr>
            <w:tcW w:w="1231" w:type="dxa"/>
            <w:tcBorders>
              <w:top w:val="nil"/>
              <w:left w:val="nil"/>
              <w:bottom w:val="single" w:sz="4" w:space="0" w:color="auto"/>
              <w:right w:val="single" w:sz="4" w:space="0" w:color="auto"/>
            </w:tcBorders>
            <w:shd w:val="clear" w:color="auto" w:fill="auto"/>
            <w:vAlign w:val="center"/>
            <w:hideMark/>
          </w:tcPr>
          <w:p w14:paraId="7B350259" w14:textId="77777777" w:rsidR="002732B1" w:rsidRPr="00A60D39" w:rsidRDefault="002732B1" w:rsidP="00FF4CD7">
            <w:pPr>
              <w:jc w:val="center"/>
              <w:rPr>
                <w:color w:val="000000"/>
                <w:sz w:val="18"/>
                <w:szCs w:val="18"/>
              </w:rPr>
            </w:pPr>
            <w:r w:rsidRPr="00A60D39">
              <w:rPr>
                <w:color w:val="000000"/>
                <w:sz w:val="18"/>
                <w:szCs w:val="18"/>
              </w:rPr>
              <w:t>SK</w:t>
            </w:r>
          </w:p>
        </w:tc>
        <w:tc>
          <w:tcPr>
            <w:tcW w:w="2825" w:type="dxa"/>
            <w:tcBorders>
              <w:top w:val="nil"/>
              <w:left w:val="nil"/>
              <w:bottom w:val="single" w:sz="4" w:space="0" w:color="auto"/>
              <w:right w:val="single" w:sz="4" w:space="0" w:color="auto"/>
            </w:tcBorders>
            <w:shd w:val="clear" w:color="auto" w:fill="auto"/>
            <w:vAlign w:val="center"/>
            <w:hideMark/>
          </w:tcPr>
          <w:p w14:paraId="3BA81BA0" w14:textId="77777777" w:rsidR="002732B1" w:rsidRPr="00A60D39" w:rsidRDefault="002732B1" w:rsidP="00FF4CD7">
            <w:pPr>
              <w:jc w:val="center"/>
              <w:rPr>
                <w:color w:val="000000"/>
                <w:sz w:val="18"/>
                <w:szCs w:val="18"/>
              </w:rPr>
            </w:pPr>
            <w:r w:rsidRPr="00A60D39">
              <w:rPr>
                <w:color w:val="000000"/>
                <w:sz w:val="18"/>
                <w:szCs w:val="18"/>
              </w:rPr>
              <w:t>01.10.22</w:t>
            </w:r>
          </w:p>
        </w:tc>
        <w:tc>
          <w:tcPr>
            <w:tcW w:w="1228" w:type="dxa"/>
            <w:tcBorders>
              <w:top w:val="nil"/>
              <w:left w:val="nil"/>
              <w:bottom w:val="single" w:sz="4" w:space="0" w:color="auto"/>
              <w:right w:val="single" w:sz="4" w:space="0" w:color="auto"/>
            </w:tcBorders>
            <w:shd w:val="clear" w:color="auto" w:fill="auto"/>
            <w:vAlign w:val="center"/>
            <w:hideMark/>
          </w:tcPr>
          <w:p w14:paraId="3B389660" w14:textId="77777777" w:rsidR="002732B1" w:rsidRPr="00A60D39" w:rsidRDefault="002732B1" w:rsidP="00FF4CD7">
            <w:pPr>
              <w:jc w:val="center"/>
              <w:rPr>
                <w:color w:val="000000"/>
                <w:sz w:val="18"/>
                <w:szCs w:val="18"/>
              </w:rPr>
            </w:pPr>
            <w:r w:rsidRPr="00A60D39">
              <w:rPr>
                <w:color w:val="000000"/>
                <w:sz w:val="18"/>
                <w:szCs w:val="18"/>
              </w:rPr>
              <w:t>banka a pobočka zahraničnej banky</w:t>
            </w:r>
          </w:p>
        </w:tc>
        <w:tc>
          <w:tcPr>
            <w:tcW w:w="998" w:type="dxa"/>
            <w:tcBorders>
              <w:top w:val="nil"/>
              <w:left w:val="nil"/>
              <w:bottom w:val="single" w:sz="4" w:space="0" w:color="auto"/>
              <w:right w:val="single" w:sz="4" w:space="0" w:color="auto"/>
            </w:tcBorders>
            <w:shd w:val="clear" w:color="auto" w:fill="auto"/>
            <w:vAlign w:val="center"/>
            <w:hideMark/>
          </w:tcPr>
          <w:p w14:paraId="04EDC522" w14:textId="77777777" w:rsidR="002732B1" w:rsidRPr="00A60D39" w:rsidRDefault="002732B1" w:rsidP="00FF4CD7">
            <w:pPr>
              <w:rPr>
                <w:color w:val="000000"/>
                <w:sz w:val="18"/>
                <w:szCs w:val="18"/>
              </w:rPr>
            </w:pPr>
            <w:r w:rsidRPr="00A60D39">
              <w:rPr>
                <w:color w:val="000000"/>
                <w:sz w:val="18"/>
                <w:szCs w:val="18"/>
              </w:rPr>
              <w:t xml:space="preserve">               971 </w:t>
            </w:r>
          </w:p>
        </w:tc>
        <w:tc>
          <w:tcPr>
            <w:tcW w:w="998" w:type="dxa"/>
            <w:tcBorders>
              <w:top w:val="nil"/>
              <w:left w:val="nil"/>
              <w:bottom w:val="single" w:sz="4" w:space="0" w:color="auto"/>
              <w:right w:val="single" w:sz="4" w:space="0" w:color="auto"/>
            </w:tcBorders>
            <w:shd w:val="clear" w:color="auto" w:fill="auto"/>
            <w:vAlign w:val="center"/>
            <w:hideMark/>
          </w:tcPr>
          <w:p w14:paraId="30B05E2D" w14:textId="77777777" w:rsidR="002732B1" w:rsidRPr="00A60D39" w:rsidRDefault="002732B1" w:rsidP="00FF4CD7">
            <w:pPr>
              <w:rPr>
                <w:color w:val="000000"/>
                <w:sz w:val="18"/>
                <w:szCs w:val="18"/>
              </w:rPr>
            </w:pPr>
            <w:r w:rsidRPr="00A60D39">
              <w:rPr>
                <w:color w:val="000000"/>
                <w:sz w:val="18"/>
                <w:szCs w:val="18"/>
              </w:rPr>
              <w:t xml:space="preserve"> N </w:t>
            </w:r>
          </w:p>
        </w:tc>
        <w:tc>
          <w:tcPr>
            <w:tcW w:w="804" w:type="dxa"/>
            <w:tcBorders>
              <w:top w:val="nil"/>
              <w:left w:val="nil"/>
              <w:bottom w:val="single" w:sz="4" w:space="0" w:color="auto"/>
              <w:right w:val="single" w:sz="4" w:space="0" w:color="auto"/>
            </w:tcBorders>
            <w:shd w:val="clear" w:color="auto" w:fill="auto"/>
            <w:vAlign w:val="center"/>
            <w:hideMark/>
          </w:tcPr>
          <w:p w14:paraId="7919C05B" w14:textId="77777777" w:rsidR="002732B1" w:rsidRPr="00A60D39" w:rsidRDefault="002732B1" w:rsidP="00FF4CD7">
            <w:pPr>
              <w:jc w:val="center"/>
              <w:rPr>
                <w:color w:val="000000"/>
                <w:sz w:val="18"/>
                <w:szCs w:val="18"/>
              </w:rPr>
            </w:pPr>
            <w:r w:rsidRPr="00A60D39">
              <w:rPr>
                <w:color w:val="000000"/>
                <w:sz w:val="18"/>
                <w:szCs w:val="18"/>
              </w:rPr>
              <w:t>78</w:t>
            </w:r>
          </w:p>
        </w:tc>
        <w:tc>
          <w:tcPr>
            <w:tcW w:w="998" w:type="dxa"/>
            <w:tcBorders>
              <w:top w:val="nil"/>
              <w:left w:val="nil"/>
              <w:bottom w:val="single" w:sz="4" w:space="0" w:color="auto"/>
              <w:right w:val="single" w:sz="4" w:space="0" w:color="auto"/>
            </w:tcBorders>
            <w:shd w:val="clear" w:color="auto" w:fill="auto"/>
            <w:vAlign w:val="center"/>
            <w:hideMark/>
          </w:tcPr>
          <w:p w14:paraId="6BF5655B" w14:textId="77777777" w:rsidR="002732B1" w:rsidRPr="00A60D39" w:rsidRDefault="002732B1" w:rsidP="00FF4CD7">
            <w:pPr>
              <w:jc w:val="center"/>
              <w:rPr>
                <w:color w:val="000000"/>
                <w:sz w:val="18"/>
                <w:szCs w:val="18"/>
              </w:rPr>
            </w:pPr>
            <w:r w:rsidRPr="00A60D39">
              <w:rPr>
                <w:color w:val="000000"/>
                <w:sz w:val="18"/>
                <w:szCs w:val="18"/>
              </w:rPr>
              <w:t>76 176</w:t>
            </w:r>
          </w:p>
        </w:tc>
        <w:tc>
          <w:tcPr>
            <w:tcW w:w="868" w:type="dxa"/>
            <w:tcBorders>
              <w:top w:val="nil"/>
              <w:left w:val="nil"/>
              <w:bottom w:val="single" w:sz="4" w:space="0" w:color="auto"/>
              <w:right w:val="single" w:sz="4" w:space="0" w:color="auto"/>
            </w:tcBorders>
            <w:shd w:val="clear" w:color="auto" w:fill="auto"/>
            <w:vAlign w:val="center"/>
            <w:hideMark/>
          </w:tcPr>
          <w:p w14:paraId="403E4F77" w14:textId="77777777" w:rsidR="002732B1" w:rsidRPr="00A60D39" w:rsidRDefault="002732B1" w:rsidP="00FF4CD7">
            <w:pPr>
              <w:jc w:val="center"/>
              <w:rPr>
                <w:color w:val="000000"/>
                <w:sz w:val="18"/>
                <w:szCs w:val="18"/>
              </w:rPr>
            </w:pPr>
            <w:r w:rsidRPr="00A60D39">
              <w:rPr>
                <w:color w:val="000000"/>
                <w:sz w:val="18"/>
                <w:szCs w:val="18"/>
              </w:rPr>
              <w:t>Out (znižuje náklady)</w:t>
            </w:r>
          </w:p>
        </w:tc>
      </w:tr>
      <w:tr w:rsidR="002732B1" w14:paraId="53BE4946" w14:textId="77777777" w:rsidTr="00FF4CD7">
        <w:trPr>
          <w:trHeight w:val="21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665F9358" w14:textId="77777777" w:rsidR="002732B1" w:rsidRPr="00A60D39" w:rsidRDefault="002732B1" w:rsidP="00FF4CD7">
            <w:pPr>
              <w:jc w:val="center"/>
              <w:rPr>
                <w:color w:val="000000"/>
                <w:sz w:val="18"/>
                <w:szCs w:val="18"/>
              </w:rPr>
            </w:pPr>
          </w:p>
        </w:tc>
        <w:tc>
          <w:tcPr>
            <w:tcW w:w="2556" w:type="dxa"/>
            <w:tcBorders>
              <w:top w:val="nil"/>
              <w:left w:val="nil"/>
              <w:bottom w:val="single" w:sz="4" w:space="0" w:color="auto"/>
              <w:right w:val="single" w:sz="4" w:space="0" w:color="auto"/>
            </w:tcBorders>
            <w:shd w:val="clear" w:color="auto" w:fill="auto"/>
            <w:vAlign w:val="center"/>
            <w:hideMark/>
          </w:tcPr>
          <w:p w14:paraId="7BA495D2" w14:textId="77777777" w:rsidR="002732B1" w:rsidRPr="00A60D39" w:rsidRDefault="002732B1" w:rsidP="00FF4CD7">
            <w:pPr>
              <w:jc w:val="center"/>
              <w:rPr>
                <w:color w:val="000000"/>
                <w:sz w:val="18"/>
                <w:szCs w:val="18"/>
              </w:rPr>
            </w:pPr>
          </w:p>
        </w:tc>
        <w:tc>
          <w:tcPr>
            <w:tcW w:w="831" w:type="dxa"/>
            <w:tcBorders>
              <w:top w:val="nil"/>
              <w:left w:val="nil"/>
              <w:bottom w:val="single" w:sz="4" w:space="0" w:color="auto"/>
              <w:right w:val="single" w:sz="4" w:space="0" w:color="auto"/>
            </w:tcBorders>
            <w:shd w:val="clear" w:color="auto" w:fill="auto"/>
            <w:vAlign w:val="center"/>
            <w:hideMark/>
          </w:tcPr>
          <w:p w14:paraId="741486FB" w14:textId="77777777" w:rsidR="002732B1" w:rsidRPr="00A60D39" w:rsidRDefault="002732B1" w:rsidP="00FF4CD7">
            <w:pPr>
              <w:jc w:val="center"/>
              <w:rPr>
                <w:color w:val="000000"/>
                <w:sz w:val="18"/>
                <w:szCs w:val="18"/>
              </w:rPr>
            </w:pPr>
          </w:p>
        </w:tc>
        <w:tc>
          <w:tcPr>
            <w:tcW w:w="1082" w:type="dxa"/>
            <w:tcBorders>
              <w:top w:val="nil"/>
              <w:left w:val="nil"/>
              <w:bottom w:val="single" w:sz="4" w:space="0" w:color="auto"/>
              <w:right w:val="single" w:sz="4" w:space="0" w:color="auto"/>
            </w:tcBorders>
            <w:shd w:val="clear" w:color="auto" w:fill="auto"/>
            <w:vAlign w:val="center"/>
            <w:hideMark/>
          </w:tcPr>
          <w:p w14:paraId="528B4863" w14:textId="77777777" w:rsidR="002732B1" w:rsidRPr="00A60D39" w:rsidRDefault="002732B1" w:rsidP="00FF4CD7">
            <w:pPr>
              <w:jc w:val="center"/>
              <w:rPr>
                <w:color w:val="000000"/>
                <w:sz w:val="18"/>
                <w:szCs w:val="18"/>
              </w:rPr>
            </w:pPr>
          </w:p>
        </w:tc>
        <w:tc>
          <w:tcPr>
            <w:tcW w:w="1231" w:type="dxa"/>
            <w:tcBorders>
              <w:top w:val="nil"/>
              <w:left w:val="nil"/>
              <w:bottom w:val="single" w:sz="4" w:space="0" w:color="auto"/>
              <w:right w:val="single" w:sz="4" w:space="0" w:color="auto"/>
            </w:tcBorders>
            <w:shd w:val="clear" w:color="auto" w:fill="auto"/>
            <w:vAlign w:val="center"/>
            <w:hideMark/>
          </w:tcPr>
          <w:p w14:paraId="4464EBE2" w14:textId="77777777" w:rsidR="002732B1" w:rsidRPr="00A60D39" w:rsidRDefault="002732B1" w:rsidP="00FF4CD7">
            <w:pPr>
              <w:jc w:val="center"/>
              <w:rPr>
                <w:color w:val="000000"/>
                <w:sz w:val="18"/>
                <w:szCs w:val="18"/>
              </w:rPr>
            </w:pPr>
          </w:p>
        </w:tc>
        <w:tc>
          <w:tcPr>
            <w:tcW w:w="2825" w:type="dxa"/>
            <w:tcBorders>
              <w:top w:val="nil"/>
              <w:left w:val="nil"/>
              <w:bottom w:val="single" w:sz="4" w:space="0" w:color="auto"/>
              <w:right w:val="single" w:sz="4" w:space="0" w:color="auto"/>
            </w:tcBorders>
            <w:shd w:val="clear" w:color="auto" w:fill="auto"/>
            <w:vAlign w:val="center"/>
            <w:hideMark/>
          </w:tcPr>
          <w:p w14:paraId="6EBA28D9" w14:textId="77777777" w:rsidR="002732B1" w:rsidRPr="00A60D39" w:rsidRDefault="002732B1" w:rsidP="00FF4CD7">
            <w:pPr>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hideMark/>
          </w:tcPr>
          <w:p w14:paraId="76BDEE50"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6F6C590A" w14:textId="77777777" w:rsidR="002732B1" w:rsidRPr="00A60D39" w:rsidRDefault="002732B1" w:rsidP="00FF4CD7">
            <w:pPr>
              <w:rPr>
                <w:color w:val="000000"/>
                <w:sz w:val="18"/>
                <w:szCs w:val="18"/>
              </w:rPr>
            </w:pPr>
            <w:r>
              <w:rPr>
                <w:color w:val="000000"/>
                <w:sz w:val="18"/>
                <w:szCs w:val="18"/>
              </w:rPr>
              <w:t xml:space="preserve">                  </w:t>
            </w:r>
          </w:p>
        </w:tc>
        <w:tc>
          <w:tcPr>
            <w:tcW w:w="998" w:type="dxa"/>
            <w:tcBorders>
              <w:top w:val="nil"/>
              <w:left w:val="nil"/>
              <w:bottom w:val="single" w:sz="4" w:space="0" w:color="auto"/>
              <w:right w:val="single" w:sz="4" w:space="0" w:color="auto"/>
            </w:tcBorders>
            <w:shd w:val="clear" w:color="auto" w:fill="auto"/>
            <w:vAlign w:val="center"/>
            <w:hideMark/>
          </w:tcPr>
          <w:p w14:paraId="2AA0B6B7" w14:textId="77777777" w:rsidR="002732B1" w:rsidRPr="00A60D39" w:rsidRDefault="002732B1" w:rsidP="00FF4CD7">
            <w:pPr>
              <w:rPr>
                <w:color w:val="000000"/>
                <w:sz w:val="18"/>
                <w:szCs w:val="18"/>
              </w:rPr>
            </w:pPr>
            <w:r w:rsidRPr="00A60D39">
              <w:rPr>
                <w:color w:val="000000"/>
                <w:sz w:val="18"/>
                <w:szCs w:val="18"/>
              </w:rPr>
              <w:t xml:space="preserve">              </w:t>
            </w:r>
            <w:r>
              <w:rPr>
                <w:color w:val="000000"/>
                <w:sz w:val="18"/>
                <w:szCs w:val="18"/>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728E5B7A"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5A583EB8" w14:textId="77777777" w:rsidR="002732B1" w:rsidRPr="00A60D39" w:rsidRDefault="002732B1" w:rsidP="00FF4CD7">
            <w:pPr>
              <w:jc w:val="center"/>
              <w:rPr>
                <w:color w:val="000000"/>
                <w:sz w:val="18"/>
                <w:szCs w:val="18"/>
              </w:rPr>
            </w:pPr>
          </w:p>
        </w:tc>
        <w:tc>
          <w:tcPr>
            <w:tcW w:w="868" w:type="dxa"/>
            <w:tcBorders>
              <w:top w:val="nil"/>
              <w:left w:val="nil"/>
              <w:bottom w:val="single" w:sz="4" w:space="0" w:color="auto"/>
              <w:right w:val="single" w:sz="4" w:space="0" w:color="auto"/>
            </w:tcBorders>
            <w:shd w:val="clear" w:color="auto" w:fill="auto"/>
            <w:vAlign w:val="center"/>
            <w:hideMark/>
          </w:tcPr>
          <w:p w14:paraId="066B0C2A" w14:textId="77777777" w:rsidR="002732B1" w:rsidRPr="00A60D39" w:rsidRDefault="002732B1" w:rsidP="00FF4CD7">
            <w:pPr>
              <w:jc w:val="center"/>
              <w:rPr>
                <w:color w:val="000000"/>
                <w:sz w:val="18"/>
                <w:szCs w:val="18"/>
              </w:rPr>
            </w:pPr>
            <w:r w:rsidRPr="00A60D39">
              <w:rPr>
                <w:color w:val="000000"/>
                <w:sz w:val="18"/>
                <w:szCs w:val="18"/>
              </w:rPr>
              <w:t xml:space="preserve">  </w:t>
            </w:r>
          </w:p>
        </w:tc>
      </w:tr>
      <w:tr w:rsidR="002732B1" w14:paraId="16D8C0AB" w14:textId="77777777" w:rsidTr="00FF4CD7">
        <w:trPr>
          <w:trHeight w:val="21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460DEE1A" w14:textId="77777777" w:rsidR="002732B1" w:rsidRPr="00A60D39" w:rsidRDefault="002732B1" w:rsidP="00FF4CD7">
            <w:pPr>
              <w:jc w:val="center"/>
              <w:rPr>
                <w:color w:val="000000"/>
                <w:sz w:val="18"/>
                <w:szCs w:val="18"/>
              </w:rPr>
            </w:pPr>
          </w:p>
        </w:tc>
        <w:tc>
          <w:tcPr>
            <w:tcW w:w="2556" w:type="dxa"/>
            <w:tcBorders>
              <w:top w:val="nil"/>
              <w:left w:val="nil"/>
              <w:bottom w:val="single" w:sz="4" w:space="0" w:color="auto"/>
              <w:right w:val="single" w:sz="4" w:space="0" w:color="auto"/>
            </w:tcBorders>
            <w:shd w:val="clear" w:color="auto" w:fill="auto"/>
            <w:vAlign w:val="center"/>
            <w:hideMark/>
          </w:tcPr>
          <w:p w14:paraId="1F7435F6" w14:textId="77777777" w:rsidR="002732B1" w:rsidRPr="00A60D39" w:rsidRDefault="002732B1" w:rsidP="00FF4CD7">
            <w:pPr>
              <w:jc w:val="center"/>
              <w:rPr>
                <w:color w:val="000000"/>
                <w:sz w:val="18"/>
                <w:szCs w:val="18"/>
              </w:rPr>
            </w:pPr>
          </w:p>
        </w:tc>
        <w:tc>
          <w:tcPr>
            <w:tcW w:w="831" w:type="dxa"/>
            <w:tcBorders>
              <w:top w:val="nil"/>
              <w:left w:val="nil"/>
              <w:bottom w:val="single" w:sz="4" w:space="0" w:color="auto"/>
              <w:right w:val="single" w:sz="4" w:space="0" w:color="auto"/>
            </w:tcBorders>
            <w:shd w:val="clear" w:color="auto" w:fill="auto"/>
            <w:vAlign w:val="center"/>
            <w:hideMark/>
          </w:tcPr>
          <w:p w14:paraId="4846E207" w14:textId="77777777" w:rsidR="002732B1" w:rsidRPr="00A60D39" w:rsidRDefault="002732B1" w:rsidP="00FF4CD7">
            <w:pPr>
              <w:jc w:val="center"/>
              <w:rPr>
                <w:color w:val="000000"/>
                <w:sz w:val="18"/>
                <w:szCs w:val="18"/>
              </w:rPr>
            </w:pPr>
          </w:p>
        </w:tc>
        <w:tc>
          <w:tcPr>
            <w:tcW w:w="1082" w:type="dxa"/>
            <w:tcBorders>
              <w:top w:val="nil"/>
              <w:left w:val="nil"/>
              <w:bottom w:val="single" w:sz="4" w:space="0" w:color="auto"/>
              <w:right w:val="single" w:sz="4" w:space="0" w:color="auto"/>
            </w:tcBorders>
            <w:shd w:val="clear" w:color="auto" w:fill="auto"/>
            <w:vAlign w:val="center"/>
            <w:hideMark/>
          </w:tcPr>
          <w:p w14:paraId="625A0134" w14:textId="77777777" w:rsidR="002732B1" w:rsidRPr="00A60D39" w:rsidRDefault="002732B1" w:rsidP="00FF4CD7">
            <w:pPr>
              <w:jc w:val="center"/>
              <w:rPr>
                <w:color w:val="000000"/>
                <w:sz w:val="18"/>
                <w:szCs w:val="18"/>
              </w:rPr>
            </w:pPr>
          </w:p>
        </w:tc>
        <w:tc>
          <w:tcPr>
            <w:tcW w:w="1231" w:type="dxa"/>
            <w:tcBorders>
              <w:top w:val="nil"/>
              <w:left w:val="nil"/>
              <w:bottom w:val="single" w:sz="4" w:space="0" w:color="auto"/>
              <w:right w:val="single" w:sz="4" w:space="0" w:color="auto"/>
            </w:tcBorders>
            <w:shd w:val="clear" w:color="auto" w:fill="auto"/>
            <w:vAlign w:val="center"/>
            <w:hideMark/>
          </w:tcPr>
          <w:p w14:paraId="31ED1FDA" w14:textId="77777777" w:rsidR="002732B1" w:rsidRPr="00A60D39" w:rsidRDefault="002732B1" w:rsidP="00FF4CD7">
            <w:pPr>
              <w:jc w:val="center"/>
              <w:rPr>
                <w:color w:val="000000"/>
                <w:sz w:val="18"/>
                <w:szCs w:val="18"/>
              </w:rPr>
            </w:pPr>
          </w:p>
        </w:tc>
        <w:tc>
          <w:tcPr>
            <w:tcW w:w="2825" w:type="dxa"/>
            <w:tcBorders>
              <w:top w:val="nil"/>
              <w:left w:val="nil"/>
              <w:bottom w:val="single" w:sz="4" w:space="0" w:color="auto"/>
              <w:right w:val="single" w:sz="4" w:space="0" w:color="auto"/>
            </w:tcBorders>
            <w:shd w:val="clear" w:color="auto" w:fill="auto"/>
            <w:vAlign w:val="center"/>
            <w:hideMark/>
          </w:tcPr>
          <w:p w14:paraId="70EBC09D" w14:textId="77777777" w:rsidR="002732B1" w:rsidRPr="00A60D39" w:rsidRDefault="002732B1" w:rsidP="00FF4CD7">
            <w:pP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hideMark/>
          </w:tcPr>
          <w:p w14:paraId="1F493FBF"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581F4DD7" w14:textId="77777777" w:rsidR="002732B1" w:rsidRPr="00A60D39" w:rsidRDefault="002732B1" w:rsidP="00FF4CD7">
            <w:pPr>
              <w:rPr>
                <w:color w:val="000000"/>
                <w:sz w:val="18"/>
                <w:szCs w:val="18"/>
              </w:rPr>
            </w:pPr>
            <w:r>
              <w:rPr>
                <w:color w:val="000000"/>
                <w:sz w:val="18"/>
                <w:szCs w:val="18"/>
              </w:rPr>
              <w:t xml:space="preserve">                  </w:t>
            </w:r>
          </w:p>
        </w:tc>
        <w:tc>
          <w:tcPr>
            <w:tcW w:w="998" w:type="dxa"/>
            <w:tcBorders>
              <w:top w:val="nil"/>
              <w:left w:val="nil"/>
              <w:bottom w:val="single" w:sz="4" w:space="0" w:color="auto"/>
              <w:right w:val="single" w:sz="4" w:space="0" w:color="auto"/>
            </w:tcBorders>
            <w:shd w:val="clear" w:color="auto" w:fill="auto"/>
            <w:vAlign w:val="center"/>
            <w:hideMark/>
          </w:tcPr>
          <w:p w14:paraId="43FA0793" w14:textId="77777777" w:rsidR="002732B1" w:rsidRPr="00A60D39" w:rsidRDefault="002732B1" w:rsidP="00FF4CD7">
            <w:pPr>
              <w:rPr>
                <w:color w:val="000000"/>
                <w:sz w:val="18"/>
                <w:szCs w:val="18"/>
              </w:rPr>
            </w:pPr>
            <w:r>
              <w:rPr>
                <w:color w:val="000000"/>
                <w:sz w:val="18"/>
                <w:szCs w:val="18"/>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6A015D67"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516931CD" w14:textId="77777777" w:rsidR="002732B1" w:rsidRPr="00A60D39" w:rsidRDefault="002732B1" w:rsidP="00FF4CD7">
            <w:pPr>
              <w:jc w:val="center"/>
              <w:rPr>
                <w:color w:val="000000"/>
                <w:sz w:val="18"/>
                <w:szCs w:val="18"/>
              </w:rPr>
            </w:pPr>
          </w:p>
        </w:tc>
        <w:tc>
          <w:tcPr>
            <w:tcW w:w="868" w:type="dxa"/>
            <w:tcBorders>
              <w:top w:val="nil"/>
              <w:left w:val="nil"/>
              <w:bottom w:val="single" w:sz="4" w:space="0" w:color="auto"/>
              <w:right w:val="single" w:sz="4" w:space="0" w:color="auto"/>
            </w:tcBorders>
            <w:shd w:val="clear" w:color="auto" w:fill="auto"/>
            <w:vAlign w:val="center"/>
            <w:hideMark/>
          </w:tcPr>
          <w:p w14:paraId="4BA86934" w14:textId="77777777" w:rsidR="002732B1" w:rsidRPr="00A60D39" w:rsidRDefault="002732B1" w:rsidP="00FF4CD7">
            <w:pPr>
              <w:jc w:val="center"/>
              <w:rPr>
                <w:color w:val="000000"/>
                <w:sz w:val="18"/>
                <w:szCs w:val="18"/>
              </w:rPr>
            </w:pPr>
            <w:r w:rsidRPr="00A60D39">
              <w:rPr>
                <w:color w:val="000000"/>
                <w:sz w:val="18"/>
                <w:szCs w:val="18"/>
              </w:rPr>
              <w:t xml:space="preserve">  </w:t>
            </w:r>
          </w:p>
        </w:tc>
      </w:tr>
      <w:tr w:rsidR="002732B1" w14:paraId="6392CA22" w14:textId="77777777" w:rsidTr="00FF4CD7">
        <w:trPr>
          <w:trHeight w:val="21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14640C42" w14:textId="77777777" w:rsidR="002732B1" w:rsidRPr="00A60D39" w:rsidRDefault="002732B1" w:rsidP="00FF4CD7">
            <w:pPr>
              <w:jc w:val="center"/>
              <w:rPr>
                <w:color w:val="000000"/>
                <w:sz w:val="18"/>
                <w:szCs w:val="18"/>
              </w:rPr>
            </w:pPr>
          </w:p>
        </w:tc>
        <w:tc>
          <w:tcPr>
            <w:tcW w:w="2556" w:type="dxa"/>
            <w:tcBorders>
              <w:top w:val="nil"/>
              <w:left w:val="nil"/>
              <w:bottom w:val="single" w:sz="4" w:space="0" w:color="auto"/>
              <w:right w:val="single" w:sz="4" w:space="0" w:color="auto"/>
            </w:tcBorders>
            <w:shd w:val="clear" w:color="auto" w:fill="auto"/>
            <w:vAlign w:val="center"/>
            <w:hideMark/>
          </w:tcPr>
          <w:p w14:paraId="5D36F2ED" w14:textId="77777777" w:rsidR="002732B1" w:rsidRPr="00A60D39" w:rsidRDefault="002732B1" w:rsidP="00FF4CD7">
            <w:pPr>
              <w:jc w:val="center"/>
              <w:rPr>
                <w:color w:val="000000"/>
                <w:sz w:val="18"/>
                <w:szCs w:val="18"/>
              </w:rPr>
            </w:pPr>
          </w:p>
        </w:tc>
        <w:tc>
          <w:tcPr>
            <w:tcW w:w="831" w:type="dxa"/>
            <w:tcBorders>
              <w:top w:val="nil"/>
              <w:left w:val="nil"/>
              <w:bottom w:val="single" w:sz="4" w:space="0" w:color="auto"/>
              <w:right w:val="single" w:sz="4" w:space="0" w:color="auto"/>
            </w:tcBorders>
            <w:shd w:val="clear" w:color="auto" w:fill="auto"/>
            <w:vAlign w:val="center"/>
            <w:hideMark/>
          </w:tcPr>
          <w:p w14:paraId="20125BB8" w14:textId="77777777" w:rsidR="002732B1" w:rsidRPr="00A60D39" w:rsidRDefault="002732B1" w:rsidP="00FF4CD7">
            <w:pPr>
              <w:jc w:val="center"/>
              <w:rPr>
                <w:color w:val="000000"/>
                <w:sz w:val="18"/>
                <w:szCs w:val="18"/>
              </w:rPr>
            </w:pPr>
          </w:p>
        </w:tc>
        <w:tc>
          <w:tcPr>
            <w:tcW w:w="1082" w:type="dxa"/>
            <w:tcBorders>
              <w:top w:val="nil"/>
              <w:left w:val="nil"/>
              <w:bottom w:val="single" w:sz="4" w:space="0" w:color="auto"/>
              <w:right w:val="single" w:sz="4" w:space="0" w:color="auto"/>
            </w:tcBorders>
            <w:shd w:val="clear" w:color="auto" w:fill="auto"/>
            <w:vAlign w:val="center"/>
            <w:hideMark/>
          </w:tcPr>
          <w:p w14:paraId="7B5571B7" w14:textId="77777777" w:rsidR="002732B1" w:rsidRPr="00A60D39" w:rsidRDefault="002732B1" w:rsidP="00FF4CD7">
            <w:pPr>
              <w:jc w:val="center"/>
              <w:rPr>
                <w:color w:val="000000"/>
                <w:sz w:val="18"/>
                <w:szCs w:val="18"/>
              </w:rPr>
            </w:pPr>
          </w:p>
        </w:tc>
        <w:tc>
          <w:tcPr>
            <w:tcW w:w="1231" w:type="dxa"/>
            <w:tcBorders>
              <w:top w:val="nil"/>
              <w:left w:val="nil"/>
              <w:bottom w:val="single" w:sz="4" w:space="0" w:color="auto"/>
              <w:right w:val="single" w:sz="4" w:space="0" w:color="auto"/>
            </w:tcBorders>
            <w:shd w:val="clear" w:color="auto" w:fill="auto"/>
            <w:vAlign w:val="center"/>
            <w:hideMark/>
          </w:tcPr>
          <w:p w14:paraId="17F86B73" w14:textId="77777777" w:rsidR="002732B1" w:rsidRPr="00A60D39" w:rsidRDefault="002732B1" w:rsidP="00FF4CD7">
            <w:pPr>
              <w:jc w:val="center"/>
              <w:rPr>
                <w:color w:val="000000"/>
                <w:sz w:val="18"/>
                <w:szCs w:val="18"/>
              </w:rPr>
            </w:pPr>
            <w:r w:rsidRPr="00A60D39">
              <w:rPr>
                <w:color w:val="000000"/>
                <w:sz w:val="18"/>
                <w:szCs w:val="18"/>
              </w:rPr>
              <w:t xml:space="preserve">  </w:t>
            </w:r>
          </w:p>
        </w:tc>
        <w:tc>
          <w:tcPr>
            <w:tcW w:w="2825" w:type="dxa"/>
            <w:tcBorders>
              <w:top w:val="nil"/>
              <w:left w:val="nil"/>
              <w:bottom w:val="single" w:sz="4" w:space="0" w:color="auto"/>
              <w:right w:val="single" w:sz="4" w:space="0" w:color="auto"/>
            </w:tcBorders>
            <w:shd w:val="clear" w:color="auto" w:fill="auto"/>
            <w:vAlign w:val="center"/>
            <w:hideMark/>
          </w:tcPr>
          <w:p w14:paraId="303ED8E5" w14:textId="77777777" w:rsidR="002732B1" w:rsidRPr="00A60D39" w:rsidRDefault="002732B1" w:rsidP="00FF4CD7">
            <w:pPr>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hideMark/>
          </w:tcPr>
          <w:p w14:paraId="761392EB"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67F83762" w14:textId="77777777" w:rsidR="002732B1" w:rsidRPr="00A60D39" w:rsidRDefault="002732B1" w:rsidP="00FF4CD7">
            <w:pPr>
              <w:rPr>
                <w:color w:val="000000"/>
                <w:sz w:val="18"/>
                <w:szCs w:val="18"/>
              </w:rPr>
            </w:pPr>
            <w:r>
              <w:rPr>
                <w:color w:val="000000"/>
                <w:sz w:val="18"/>
                <w:szCs w:val="18"/>
              </w:rPr>
              <w:t xml:space="preserve">                  </w:t>
            </w:r>
          </w:p>
        </w:tc>
        <w:tc>
          <w:tcPr>
            <w:tcW w:w="998" w:type="dxa"/>
            <w:tcBorders>
              <w:top w:val="nil"/>
              <w:left w:val="nil"/>
              <w:bottom w:val="single" w:sz="4" w:space="0" w:color="auto"/>
              <w:right w:val="single" w:sz="4" w:space="0" w:color="auto"/>
            </w:tcBorders>
            <w:shd w:val="clear" w:color="auto" w:fill="auto"/>
            <w:vAlign w:val="center"/>
            <w:hideMark/>
          </w:tcPr>
          <w:p w14:paraId="387187BD" w14:textId="77777777" w:rsidR="002732B1" w:rsidRPr="00A60D39" w:rsidRDefault="002732B1" w:rsidP="00FF4CD7">
            <w:pPr>
              <w:rPr>
                <w:color w:val="000000"/>
                <w:sz w:val="18"/>
                <w:szCs w:val="18"/>
              </w:rPr>
            </w:pPr>
            <w:r>
              <w:rPr>
                <w:color w:val="000000"/>
                <w:sz w:val="18"/>
                <w:szCs w:val="18"/>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76712F07"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6F2629C8" w14:textId="77777777" w:rsidR="002732B1" w:rsidRPr="00A60D39" w:rsidRDefault="002732B1" w:rsidP="00FF4CD7">
            <w:pPr>
              <w:jc w:val="center"/>
              <w:rPr>
                <w:color w:val="000000"/>
                <w:sz w:val="18"/>
                <w:szCs w:val="18"/>
              </w:rPr>
            </w:pPr>
          </w:p>
        </w:tc>
        <w:tc>
          <w:tcPr>
            <w:tcW w:w="868" w:type="dxa"/>
            <w:tcBorders>
              <w:top w:val="nil"/>
              <w:left w:val="nil"/>
              <w:bottom w:val="single" w:sz="4" w:space="0" w:color="auto"/>
              <w:right w:val="single" w:sz="4" w:space="0" w:color="auto"/>
            </w:tcBorders>
            <w:shd w:val="clear" w:color="auto" w:fill="auto"/>
            <w:vAlign w:val="center"/>
            <w:hideMark/>
          </w:tcPr>
          <w:p w14:paraId="261DE2CE" w14:textId="77777777" w:rsidR="002732B1" w:rsidRPr="00A60D39" w:rsidRDefault="002732B1" w:rsidP="00FF4CD7">
            <w:pPr>
              <w:jc w:val="center"/>
              <w:rPr>
                <w:color w:val="000000"/>
                <w:sz w:val="18"/>
                <w:szCs w:val="18"/>
              </w:rPr>
            </w:pPr>
            <w:r w:rsidRPr="00A60D39">
              <w:rPr>
                <w:color w:val="000000"/>
                <w:sz w:val="18"/>
                <w:szCs w:val="18"/>
              </w:rPr>
              <w:t xml:space="preserve">  </w:t>
            </w:r>
          </w:p>
        </w:tc>
      </w:tr>
      <w:tr w:rsidR="002732B1" w14:paraId="0BF4B472" w14:textId="77777777" w:rsidTr="00FF4CD7">
        <w:trPr>
          <w:trHeight w:val="21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11615744" w14:textId="77777777" w:rsidR="002732B1" w:rsidRPr="00A60D39" w:rsidRDefault="002732B1" w:rsidP="00FF4CD7">
            <w:pPr>
              <w:jc w:val="center"/>
              <w:rPr>
                <w:color w:val="000000"/>
                <w:sz w:val="18"/>
                <w:szCs w:val="18"/>
              </w:rPr>
            </w:pPr>
          </w:p>
        </w:tc>
        <w:tc>
          <w:tcPr>
            <w:tcW w:w="2556" w:type="dxa"/>
            <w:tcBorders>
              <w:top w:val="nil"/>
              <w:left w:val="nil"/>
              <w:bottom w:val="single" w:sz="4" w:space="0" w:color="auto"/>
              <w:right w:val="single" w:sz="4" w:space="0" w:color="auto"/>
            </w:tcBorders>
            <w:shd w:val="clear" w:color="auto" w:fill="auto"/>
            <w:vAlign w:val="center"/>
            <w:hideMark/>
          </w:tcPr>
          <w:p w14:paraId="5E5D882B" w14:textId="77777777" w:rsidR="002732B1" w:rsidRPr="00A60D39" w:rsidRDefault="002732B1" w:rsidP="00FF4CD7">
            <w:pPr>
              <w:jc w:val="center"/>
              <w:rPr>
                <w:color w:val="000000"/>
                <w:sz w:val="18"/>
                <w:szCs w:val="18"/>
              </w:rPr>
            </w:pPr>
          </w:p>
        </w:tc>
        <w:tc>
          <w:tcPr>
            <w:tcW w:w="831" w:type="dxa"/>
            <w:tcBorders>
              <w:top w:val="nil"/>
              <w:left w:val="nil"/>
              <w:bottom w:val="single" w:sz="4" w:space="0" w:color="auto"/>
              <w:right w:val="single" w:sz="4" w:space="0" w:color="auto"/>
            </w:tcBorders>
            <w:shd w:val="clear" w:color="auto" w:fill="auto"/>
            <w:vAlign w:val="center"/>
            <w:hideMark/>
          </w:tcPr>
          <w:p w14:paraId="453DC9DD" w14:textId="77777777" w:rsidR="002732B1" w:rsidRPr="00A60D39" w:rsidRDefault="002732B1" w:rsidP="00FF4CD7">
            <w:pPr>
              <w:jc w:val="center"/>
              <w:rPr>
                <w:color w:val="000000"/>
                <w:sz w:val="18"/>
                <w:szCs w:val="18"/>
              </w:rPr>
            </w:pPr>
          </w:p>
        </w:tc>
        <w:tc>
          <w:tcPr>
            <w:tcW w:w="1082" w:type="dxa"/>
            <w:tcBorders>
              <w:top w:val="nil"/>
              <w:left w:val="nil"/>
              <w:bottom w:val="single" w:sz="4" w:space="0" w:color="auto"/>
              <w:right w:val="single" w:sz="4" w:space="0" w:color="auto"/>
            </w:tcBorders>
            <w:shd w:val="clear" w:color="auto" w:fill="auto"/>
            <w:vAlign w:val="center"/>
            <w:hideMark/>
          </w:tcPr>
          <w:p w14:paraId="6E7600DE" w14:textId="77777777" w:rsidR="002732B1" w:rsidRPr="00A60D39" w:rsidRDefault="002732B1" w:rsidP="00FF4CD7">
            <w:pPr>
              <w:jc w:val="center"/>
              <w:rPr>
                <w:color w:val="000000"/>
                <w:sz w:val="18"/>
                <w:szCs w:val="18"/>
              </w:rPr>
            </w:pPr>
          </w:p>
        </w:tc>
        <w:tc>
          <w:tcPr>
            <w:tcW w:w="1231" w:type="dxa"/>
            <w:tcBorders>
              <w:top w:val="nil"/>
              <w:left w:val="nil"/>
              <w:bottom w:val="single" w:sz="4" w:space="0" w:color="auto"/>
              <w:right w:val="single" w:sz="4" w:space="0" w:color="auto"/>
            </w:tcBorders>
            <w:shd w:val="clear" w:color="auto" w:fill="auto"/>
            <w:vAlign w:val="center"/>
            <w:hideMark/>
          </w:tcPr>
          <w:p w14:paraId="400C3FD5" w14:textId="77777777" w:rsidR="002732B1" w:rsidRPr="00A60D39" w:rsidRDefault="002732B1" w:rsidP="00FF4CD7">
            <w:pPr>
              <w:jc w:val="center"/>
              <w:rPr>
                <w:color w:val="000000"/>
                <w:sz w:val="18"/>
                <w:szCs w:val="18"/>
              </w:rPr>
            </w:pPr>
          </w:p>
        </w:tc>
        <w:tc>
          <w:tcPr>
            <w:tcW w:w="2825" w:type="dxa"/>
            <w:tcBorders>
              <w:top w:val="nil"/>
              <w:left w:val="nil"/>
              <w:bottom w:val="single" w:sz="4" w:space="0" w:color="auto"/>
              <w:right w:val="single" w:sz="4" w:space="0" w:color="auto"/>
            </w:tcBorders>
            <w:shd w:val="clear" w:color="auto" w:fill="auto"/>
            <w:vAlign w:val="center"/>
            <w:hideMark/>
          </w:tcPr>
          <w:p w14:paraId="30F99989" w14:textId="77777777" w:rsidR="002732B1" w:rsidRPr="00A60D39" w:rsidRDefault="002732B1" w:rsidP="00FF4CD7">
            <w:pPr>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hideMark/>
          </w:tcPr>
          <w:p w14:paraId="7283D75C"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46E9E646" w14:textId="77777777" w:rsidR="002732B1" w:rsidRPr="00A60D39" w:rsidRDefault="002732B1" w:rsidP="00FF4CD7">
            <w:pPr>
              <w:rPr>
                <w:color w:val="000000"/>
                <w:sz w:val="18"/>
                <w:szCs w:val="18"/>
              </w:rPr>
            </w:pPr>
            <w:r>
              <w:rPr>
                <w:color w:val="000000"/>
                <w:sz w:val="18"/>
                <w:szCs w:val="18"/>
              </w:rPr>
              <w:t xml:space="preserve">                  </w:t>
            </w:r>
          </w:p>
        </w:tc>
        <w:tc>
          <w:tcPr>
            <w:tcW w:w="998" w:type="dxa"/>
            <w:tcBorders>
              <w:top w:val="nil"/>
              <w:left w:val="nil"/>
              <w:bottom w:val="single" w:sz="4" w:space="0" w:color="auto"/>
              <w:right w:val="single" w:sz="4" w:space="0" w:color="auto"/>
            </w:tcBorders>
            <w:shd w:val="clear" w:color="auto" w:fill="auto"/>
            <w:vAlign w:val="center"/>
            <w:hideMark/>
          </w:tcPr>
          <w:p w14:paraId="1633DD08" w14:textId="77777777" w:rsidR="002732B1" w:rsidRPr="00A60D39" w:rsidRDefault="002732B1" w:rsidP="00FF4CD7">
            <w:pPr>
              <w:rPr>
                <w:color w:val="000000"/>
                <w:sz w:val="18"/>
                <w:szCs w:val="18"/>
              </w:rPr>
            </w:pPr>
            <w:r w:rsidRPr="00A60D39">
              <w:rPr>
                <w:color w:val="000000"/>
                <w:sz w:val="18"/>
                <w:szCs w:val="18"/>
              </w:rPr>
              <w:t xml:space="preserve">   </w:t>
            </w:r>
            <w:r>
              <w:rPr>
                <w:color w:val="000000"/>
                <w:sz w:val="18"/>
                <w:szCs w:val="18"/>
              </w:rPr>
              <w:t xml:space="preserve">                     </w:t>
            </w:r>
            <w:r w:rsidRPr="00A60D39">
              <w:rPr>
                <w:color w:val="000000"/>
                <w:sz w:val="18"/>
                <w:szCs w:val="18"/>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5EB327F6"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1A110114" w14:textId="77777777" w:rsidR="002732B1" w:rsidRPr="00A60D39" w:rsidRDefault="002732B1" w:rsidP="00FF4CD7">
            <w:pPr>
              <w:jc w:val="center"/>
              <w:rPr>
                <w:color w:val="000000"/>
                <w:sz w:val="18"/>
                <w:szCs w:val="18"/>
              </w:rPr>
            </w:pPr>
          </w:p>
        </w:tc>
        <w:tc>
          <w:tcPr>
            <w:tcW w:w="868" w:type="dxa"/>
            <w:tcBorders>
              <w:top w:val="nil"/>
              <w:left w:val="nil"/>
              <w:bottom w:val="single" w:sz="4" w:space="0" w:color="auto"/>
              <w:right w:val="single" w:sz="4" w:space="0" w:color="auto"/>
            </w:tcBorders>
            <w:shd w:val="clear" w:color="auto" w:fill="auto"/>
            <w:vAlign w:val="center"/>
            <w:hideMark/>
          </w:tcPr>
          <w:p w14:paraId="196327A5" w14:textId="77777777" w:rsidR="002732B1" w:rsidRPr="00A60D39" w:rsidRDefault="002732B1" w:rsidP="00FF4CD7">
            <w:pPr>
              <w:jc w:val="center"/>
              <w:rPr>
                <w:color w:val="000000"/>
                <w:sz w:val="18"/>
                <w:szCs w:val="18"/>
              </w:rPr>
            </w:pPr>
            <w:r w:rsidRPr="00A60D39">
              <w:rPr>
                <w:color w:val="000000"/>
                <w:sz w:val="18"/>
                <w:szCs w:val="18"/>
              </w:rPr>
              <w:t xml:space="preserve">  </w:t>
            </w:r>
          </w:p>
        </w:tc>
      </w:tr>
      <w:tr w:rsidR="002732B1" w14:paraId="797FE5D4" w14:textId="77777777" w:rsidTr="00FF4CD7">
        <w:trPr>
          <w:trHeight w:val="21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45BB222D" w14:textId="77777777" w:rsidR="002732B1" w:rsidRPr="00A60D39" w:rsidRDefault="002732B1" w:rsidP="00FF4CD7">
            <w:pPr>
              <w:jc w:val="center"/>
              <w:rPr>
                <w:color w:val="000000"/>
                <w:sz w:val="18"/>
                <w:szCs w:val="18"/>
              </w:rPr>
            </w:pPr>
          </w:p>
        </w:tc>
        <w:tc>
          <w:tcPr>
            <w:tcW w:w="2556" w:type="dxa"/>
            <w:tcBorders>
              <w:top w:val="nil"/>
              <w:left w:val="nil"/>
              <w:bottom w:val="single" w:sz="4" w:space="0" w:color="auto"/>
              <w:right w:val="single" w:sz="4" w:space="0" w:color="auto"/>
            </w:tcBorders>
            <w:shd w:val="clear" w:color="auto" w:fill="auto"/>
            <w:vAlign w:val="center"/>
            <w:hideMark/>
          </w:tcPr>
          <w:p w14:paraId="371AEAFF" w14:textId="77777777" w:rsidR="002732B1" w:rsidRPr="00A60D39" w:rsidRDefault="002732B1" w:rsidP="00FF4CD7">
            <w:pPr>
              <w:jc w:val="center"/>
              <w:rPr>
                <w:color w:val="000000"/>
                <w:sz w:val="18"/>
                <w:szCs w:val="18"/>
              </w:rPr>
            </w:pPr>
          </w:p>
        </w:tc>
        <w:tc>
          <w:tcPr>
            <w:tcW w:w="831" w:type="dxa"/>
            <w:tcBorders>
              <w:top w:val="nil"/>
              <w:left w:val="nil"/>
              <w:bottom w:val="single" w:sz="4" w:space="0" w:color="auto"/>
              <w:right w:val="single" w:sz="4" w:space="0" w:color="auto"/>
            </w:tcBorders>
            <w:shd w:val="clear" w:color="auto" w:fill="auto"/>
            <w:vAlign w:val="center"/>
            <w:hideMark/>
          </w:tcPr>
          <w:p w14:paraId="1EB5F987" w14:textId="77777777" w:rsidR="002732B1" w:rsidRPr="00A60D39" w:rsidRDefault="002732B1" w:rsidP="00FF4CD7">
            <w:pPr>
              <w:jc w:val="center"/>
              <w:rPr>
                <w:color w:val="000000"/>
                <w:sz w:val="18"/>
                <w:szCs w:val="18"/>
              </w:rPr>
            </w:pPr>
          </w:p>
        </w:tc>
        <w:tc>
          <w:tcPr>
            <w:tcW w:w="1082" w:type="dxa"/>
            <w:tcBorders>
              <w:top w:val="nil"/>
              <w:left w:val="nil"/>
              <w:bottom w:val="single" w:sz="4" w:space="0" w:color="auto"/>
              <w:right w:val="single" w:sz="4" w:space="0" w:color="auto"/>
            </w:tcBorders>
            <w:shd w:val="clear" w:color="auto" w:fill="auto"/>
            <w:vAlign w:val="center"/>
            <w:hideMark/>
          </w:tcPr>
          <w:p w14:paraId="46326F0F" w14:textId="77777777" w:rsidR="002732B1" w:rsidRPr="00A60D39" w:rsidRDefault="002732B1" w:rsidP="00FF4CD7">
            <w:pPr>
              <w:jc w:val="center"/>
              <w:rPr>
                <w:color w:val="000000"/>
                <w:sz w:val="18"/>
                <w:szCs w:val="18"/>
              </w:rPr>
            </w:pPr>
          </w:p>
        </w:tc>
        <w:tc>
          <w:tcPr>
            <w:tcW w:w="1231" w:type="dxa"/>
            <w:tcBorders>
              <w:top w:val="nil"/>
              <w:left w:val="nil"/>
              <w:bottom w:val="single" w:sz="4" w:space="0" w:color="auto"/>
              <w:right w:val="single" w:sz="4" w:space="0" w:color="auto"/>
            </w:tcBorders>
            <w:shd w:val="clear" w:color="auto" w:fill="auto"/>
            <w:vAlign w:val="center"/>
            <w:hideMark/>
          </w:tcPr>
          <w:p w14:paraId="17DB6313" w14:textId="77777777" w:rsidR="002732B1" w:rsidRPr="00A60D39" w:rsidRDefault="002732B1" w:rsidP="00FF4CD7">
            <w:pPr>
              <w:jc w:val="center"/>
              <w:rPr>
                <w:color w:val="000000"/>
                <w:sz w:val="18"/>
                <w:szCs w:val="18"/>
              </w:rPr>
            </w:pPr>
          </w:p>
        </w:tc>
        <w:tc>
          <w:tcPr>
            <w:tcW w:w="2825" w:type="dxa"/>
            <w:tcBorders>
              <w:top w:val="nil"/>
              <w:left w:val="nil"/>
              <w:bottom w:val="single" w:sz="4" w:space="0" w:color="auto"/>
              <w:right w:val="single" w:sz="4" w:space="0" w:color="auto"/>
            </w:tcBorders>
            <w:shd w:val="clear" w:color="auto" w:fill="auto"/>
            <w:vAlign w:val="center"/>
            <w:hideMark/>
          </w:tcPr>
          <w:p w14:paraId="56749476" w14:textId="77777777" w:rsidR="002732B1" w:rsidRPr="00A60D39" w:rsidRDefault="002732B1" w:rsidP="00FF4CD7">
            <w:pPr>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hideMark/>
          </w:tcPr>
          <w:p w14:paraId="5170546C"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5D63A01B" w14:textId="77777777" w:rsidR="002732B1" w:rsidRPr="00A60D39" w:rsidRDefault="002732B1" w:rsidP="00FF4CD7">
            <w:pPr>
              <w:rPr>
                <w:color w:val="000000"/>
                <w:sz w:val="18"/>
                <w:szCs w:val="18"/>
              </w:rPr>
            </w:pPr>
            <w:r>
              <w:rPr>
                <w:color w:val="000000"/>
                <w:sz w:val="18"/>
                <w:szCs w:val="18"/>
              </w:rPr>
              <w:t xml:space="preserve">                  </w:t>
            </w:r>
            <w:r w:rsidRPr="00A60D39">
              <w:rPr>
                <w:color w:val="000000"/>
                <w:sz w:val="18"/>
                <w:szCs w:val="18"/>
              </w:rPr>
              <w:t xml:space="preserve">  </w:t>
            </w:r>
          </w:p>
        </w:tc>
        <w:tc>
          <w:tcPr>
            <w:tcW w:w="998" w:type="dxa"/>
            <w:tcBorders>
              <w:top w:val="nil"/>
              <w:left w:val="nil"/>
              <w:bottom w:val="single" w:sz="4" w:space="0" w:color="auto"/>
              <w:right w:val="single" w:sz="4" w:space="0" w:color="auto"/>
            </w:tcBorders>
            <w:shd w:val="clear" w:color="auto" w:fill="auto"/>
            <w:vAlign w:val="center"/>
            <w:hideMark/>
          </w:tcPr>
          <w:p w14:paraId="520202BA" w14:textId="77777777" w:rsidR="002732B1" w:rsidRPr="00A60D39" w:rsidRDefault="002732B1" w:rsidP="00FF4CD7">
            <w:pPr>
              <w:rPr>
                <w:color w:val="000000"/>
                <w:sz w:val="18"/>
                <w:szCs w:val="18"/>
              </w:rPr>
            </w:pPr>
            <w:r>
              <w:rPr>
                <w:color w:val="000000"/>
                <w:sz w:val="18"/>
                <w:szCs w:val="18"/>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322F6805"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5FB66879" w14:textId="77777777" w:rsidR="002732B1" w:rsidRPr="00A60D39" w:rsidRDefault="002732B1" w:rsidP="00FF4CD7">
            <w:pPr>
              <w:jc w:val="center"/>
              <w:rPr>
                <w:color w:val="000000"/>
                <w:sz w:val="18"/>
                <w:szCs w:val="18"/>
              </w:rPr>
            </w:pPr>
          </w:p>
        </w:tc>
        <w:tc>
          <w:tcPr>
            <w:tcW w:w="868" w:type="dxa"/>
            <w:tcBorders>
              <w:top w:val="nil"/>
              <w:left w:val="nil"/>
              <w:bottom w:val="single" w:sz="4" w:space="0" w:color="auto"/>
              <w:right w:val="single" w:sz="4" w:space="0" w:color="auto"/>
            </w:tcBorders>
            <w:shd w:val="clear" w:color="auto" w:fill="auto"/>
            <w:vAlign w:val="center"/>
            <w:hideMark/>
          </w:tcPr>
          <w:p w14:paraId="73D2CFEE" w14:textId="77777777" w:rsidR="002732B1" w:rsidRPr="00A60D39" w:rsidRDefault="002732B1" w:rsidP="00FF4CD7">
            <w:pPr>
              <w:jc w:val="center"/>
              <w:rPr>
                <w:color w:val="000000"/>
                <w:sz w:val="18"/>
                <w:szCs w:val="18"/>
              </w:rPr>
            </w:pPr>
          </w:p>
        </w:tc>
      </w:tr>
      <w:tr w:rsidR="002732B1" w14:paraId="5EE18D71" w14:textId="77777777" w:rsidTr="00FF4CD7">
        <w:trPr>
          <w:trHeight w:val="21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3AA0E655" w14:textId="77777777" w:rsidR="002732B1" w:rsidRPr="00A60D39" w:rsidRDefault="002732B1" w:rsidP="00FF4CD7">
            <w:pPr>
              <w:jc w:val="center"/>
              <w:rPr>
                <w:color w:val="000000"/>
                <w:sz w:val="18"/>
                <w:szCs w:val="18"/>
              </w:rPr>
            </w:pPr>
          </w:p>
        </w:tc>
        <w:tc>
          <w:tcPr>
            <w:tcW w:w="2556" w:type="dxa"/>
            <w:tcBorders>
              <w:top w:val="nil"/>
              <w:left w:val="nil"/>
              <w:bottom w:val="single" w:sz="4" w:space="0" w:color="auto"/>
              <w:right w:val="single" w:sz="4" w:space="0" w:color="auto"/>
            </w:tcBorders>
            <w:shd w:val="clear" w:color="auto" w:fill="auto"/>
            <w:vAlign w:val="center"/>
            <w:hideMark/>
          </w:tcPr>
          <w:p w14:paraId="49B12F82" w14:textId="77777777" w:rsidR="002732B1" w:rsidRPr="00A60D39" w:rsidRDefault="002732B1" w:rsidP="00FF4CD7">
            <w:pPr>
              <w:jc w:val="center"/>
              <w:rPr>
                <w:color w:val="000000"/>
                <w:sz w:val="18"/>
                <w:szCs w:val="18"/>
              </w:rPr>
            </w:pPr>
          </w:p>
        </w:tc>
        <w:tc>
          <w:tcPr>
            <w:tcW w:w="831" w:type="dxa"/>
            <w:tcBorders>
              <w:top w:val="nil"/>
              <w:left w:val="nil"/>
              <w:bottom w:val="single" w:sz="4" w:space="0" w:color="auto"/>
              <w:right w:val="single" w:sz="4" w:space="0" w:color="auto"/>
            </w:tcBorders>
            <w:shd w:val="clear" w:color="auto" w:fill="auto"/>
            <w:vAlign w:val="center"/>
            <w:hideMark/>
          </w:tcPr>
          <w:p w14:paraId="2D7865E5" w14:textId="77777777" w:rsidR="002732B1" w:rsidRPr="00A60D39" w:rsidRDefault="002732B1" w:rsidP="00FF4CD7">
            <w:pPr>
              <w:jc w:val="center"/>
              <w:rPr>
                <w:color w:val="000000"/>
                <w:sz w:val="18"/>
                <w:szCs w:val="18"/>
              </w:rPr>
            </w:pPr>
          </w:p>
        </w:tc>
        <w:tc>
          <w:tcPr>
            <w:tcW w:w="1082" w:type="dxa"/>
            <w:tcBorders>
              <w:top w:val="nil"/>
              <w:left w:val="nil"/>
              <w:bottom w:val="single" w:sz="4" w:space="0" w:color="auto"/>
              <w:right w:val="single" w:sz="4" w:space="0" w:color="auto"/>
            </w:tcBorders>
            <w:shd w:val="clear" w:color="auto" w:fill="auto"/>
            <w:vAlign w:val="center"/>
            <w:hideMark/>
          </w:tcPr>
          <w:p w14:paraId="7EE9C998" w14:textId="77777777" w:rsidR="002732B1" w:rsidRPr="00A60D39" w:rsidRDefault="002732B1" w:rsidP="00FF4CD7">
            <w:pPr>
              <w:jc w:val="center"/>
              <w:rPr>
                <w:color w:val="000000"/>
                <w:sz w:val="18"/>
                <w:szCs w:val="18"/>
              </w:rPr>
            </w:pPr>
          </w:p>
        </w:tc>
        <w:tc>
          <w:tcPr>
            <w:tcW w:w="1231" w:type="dxa"/>
            <w:tcBorders>
              <w:top w:val="nil"/>
              <w:left w:val="nil"/>
              <w:bottom w:val="single" w:sz="4" w:space="0" w:color="auto"/>
              <w:right w:val="single" w:sz="4" w:space="0" w:color="auto"/>
            </w:tcBorders>
            <w:shd w:val="clear" w:color="auto" w:fill="auto"/>
            <w:vAlign w:val="center"/>
            <w:hideMark/>
          </w:tcPr>
          <w:p w14:paraId="69E7D064" w14:textId="77777777" w:rsidR="002732B1" w:rsidRPr="00A60D39" w:rsidRDefault="002732B1" w:rsidP="00FF4CD7">
            <w:pPr>
              <w:jc w:val="center"/>
              <w:rPr>
                <w:color w:val="000000"/>
                <w:sz w:val="18"/>
                <w:szCs w:val="18"/>
              </w:rPr>
            </w:pPr>
          </w:p>
        </w:tc>
        <w:tc>
          <w:tcPr>
            <w:tcW w:w="2825" w:type="dxa"/>
            <w:tcBorders>
              <w:top w:val="nil"/>
              <w:left w:val="nil"/>
              <w:bottom w:val="single" w:sz="4" w:space="0" w:color="auto"/>
              <w:right w:val="single" w:sz="4" w:space="0" w:color="auto"/>
            </w:tcBorders>
            <w:shd w:val="clear" w:color="auto" w:fill="auto"/>
            <w:vAlign w:val="center"/>
            <w:hideMark/>
          </w:tcPr>
          <w:p w14:paraId="7D32760C" w14:textId="77777777" w:rsidR="002732B1" w:rsidRPr="00A60D39" w:rsidRDefault="002732B1" w:rsidP="00FF4CD7">
            <w:pPr>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hideMark/>
          </w:tcPr>
          <w:p w14:paraId="13E7B5E1"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3B39349B" w14:textId="77777777" w:rsidR="002732B1" w:rsidRPr="00A60D39" w:rsidRDefault="002732B1" w:rsidP="00FF4CD7">
            <w:pPr>
              <w:rPr>
                <w:color w:val="000000"/>
                <w:sz w:val="18"/>
                <w:szCs w:val="18"/>
              </w:rPr>
            </w:pPr>
            <w:r>
              <w:rPr>
                <w:color w:val="000000"/>
                <w:sz w:val="18"/>
                <w:szCs w:val="18"/>
              </w:rPr>
              <w:t xml:space="preserve">                  </w:t>
            </w:r>
          </w:p>
        </w:tc>
        <w:tc>
          <w:tcPr>
            <w:tcW w:w="998" w:type="dxa"/>
            <w:tcBorders>
              <w:top w:val="nil"/>
              <w:left w:val="nil"/>
              <w:bottom w:val="single" w:sz="4" w:space="0" w:color="auto"/>
              <w:right w:val="single" w:sz="4" w:space="0" w:color="auto"/>
            </w:tcBorders>
            <w:shd w:val="clear" w:color="auto" w:fill="auto"/>
            <w:vAlign w:val="center"/>
            <w:hideMark/>
          </w:tcPr>
          <w:p w14:paraId="1CA3FD2C" w14:textId="77777777" w:rsidR="002732B1" w:rsidRPr="00A60D39" w:rsidRDefault="002732B1" w:rsidP="00FF4CD7">
            <w:pPr>
              <w:rPr>
                <w:color w:val="000000"/>
                <w:sz w:val="18"/>
                <w:szCs w:val="18"/>
              </w:rPr>
            </w:pPr>
            <w:r>
              <w:rPr>
                <w:color w:val="000000"/>
                <w:sz w:val="18"/>
                <w:szCs w:val="18"/>
              </w:rPr>
              <w:t xml:space="preserve">                        </w:t>
            </w:r>
            <w:r w:rsidRPr="00A60D39">
              <w:rPr>
                <w:color w:val="000000"/>
                <w:sz w:val="18"/>
                <w:szCs w:val="18"/>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5A3432CF" w14:textId="77777777" w:rsidR="002732B1" w:rsidRPr="00A60D39" w:rsidRDefault="002732B1" w:rsidP="00FF4CD7">
            <w:pPr>
              <w:jc w:val="center"/>
              <w:rPr>
                <w:color w:val="000000"/>
                <w:sz w:val="18"/>
                <w:szCs w:val="18"/>
              </w:rPr>
            </w:pPr>
          </w:p>
        </w:tc>
        <w:tc>
          <w:tcPr>
            <w:tcW w:w="998" w:type="dxa"/>
            <w:tcBorders>
              <w:top w:val="nil"/>
              <w:left w:val="nil"/>
              <w:bottom w:val="single" w:sz="4" w:space="0" w:color="auto"/>
              <w:right w:val="single" w:sz="4" w:space="0" w:color="auto"/>
            </w:tcBorders>
            <w:shd w:val="clear" w:color="auto" w:fill="auto"/>
            <w:vAlign w:val="center"/>
            <w:hideMark/>
          </w:tcPr>
          <w:p w14:paraId="1F8E2763" w14:textId="77777777" w:rsidR="002732B1" w:rsidRPr="00A60D39" w:rsidRDefault="002732B1" w:rsidP="00FF4CD7">
            <w:pPr>
              <w:rPr>
                <w:color w:val="000000"/>
                <w:sz w:val="18"/>
                <w:szCs w:val="18"/>
              </w:rPr>
            </w:pPr>
          </w:p>
        </w:tc>
        <w:tc>
          <w:tcPr>
            <w:tcW w:w="868" w:type="dxa"/>
            <w:tcBorders>
              <w:top w:val="nil"/>
              <w:left w:val="nil"/>
              <w:bottom w:val="single" w:sz="4" w:space="0" w:color="auto"/>
              <w:right w:val="single" w:sz="4" w:space="0" w:color="auto"/>
            </w:tcBorders>
            <w:shd w:val="clear" w:color="auto" w:fill="auto"/>
            <w:vAlign w:val="center"/>
            <w:hideMark/>
          </w:tcPr>
          <w:p w14:paraId="2B89C1EE" w14:textId="77777777" w:rsidR="002732B1" w:rsidRPr="00A60D39" w:rsidRDefault="002732B1" w:rsidP="00FF4CD7">
            <w:pPr>
              <w:jc w:val="center"/>
              <w:rPr>
                <w:color w:val="000000"/>
                <w:sz w:val="18"/>
                <w:szCs w:val="18"/>
              </w:rPr>
            </w:pPr>
            <w:r w:rsidRPr="00A60D39">
              <w:rPr>
                <w:color w:val="000000"/>
                <w:sz w:val="18"/>
                <w:szCs w:val="18"/>
              </w:rPr>
              <w:t xml:space="preserve">  </w:t>
            </w:r>
          </w:p>
        </w:tc>
      </w:tr>
      <w:tr w:rsidR="002732B1" w14:paraId="6C6F0CA3" w14:textId="77777777" w:rsidTr="00FF4CD7">
        <w:trPr>
          <w:trHeight w:val="210"/>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0DFC1AEB" w14:textId="77777777" w:rsidR="002732B1" w:rsidRDefault="002732B1" w:rsidP="00FF4CD7">
            <w:pPr>
              <w:jc w:val="center"/>
              <w:rPr>
                <w:color w:val="000000"/>
                <w:sz w:val="20"/>
                <w:szCs w:val="20"/>
              </w:rPr>
            </w:pPr>
          </w:p>
        </w:tc>
        <w:tc>
          <w:tcPr>
            <w:tcW w:w="2556" w:type="dxa"/>
            <w:tcBorders>
              <w:top w:val="nil"/>
              <w:left w:val="nil"/>
              <w:bottom w:val="single" w:sz="4" w:space="0" w:color="auto"/>
              <w:right w:val="single" w:sz="4" w:space="0" w:color="auto"/>
            </w:tcBorders>
            <w:shd w:val="clear" w:color="auto" w:fill="auto"/>
            <w:vAlign w:val="center"/>
            <w:hideMark/>
          </w:tcPr>
          <w:p w14:paraId="1BA16E4F" w14:textId="77777777" w:rsidR="002732B1" w:rsidRDefault="002732B1" w:rsidP="00FF4CD7">
            <w:pPr>
              <w:jc w:val="center"/>
              <w:rPr>
                <w:color w:val="000000"/>
                <w:sz w:val="20"/>
                <w:szCs w:val="20"/>
              </w:rPr>
            </w:pPr>
          </w:p>
        </w:tc>
        <w:tc>
          <w:tcPr>
            <w:tcW w:w="831" w:type="dxa"/>
            <w:tcBorders>
              <w:top w:val="nil"/>
              <w:left w:val="nil"/>
              <w:bottom w:val="single" w:sz="4" w:space="0" w:color="auto"/>
              <w:right w:val="single" w:sz="4" w:space="0" w:color="auto"/>
            </w:tcBorders>
            <w:shd w:val="clear" w:color="auto" w:fill="auto"/>
            <w:vAlign w:val="center"/>
            <w:hideMark/>
          </w:tcPr>
          <w:p w14:paraId="1B118460" w14:textId="77777777" w:rsidR="002732B1" w:rsidRDefault="002732B1" w:rsidP="00FF4CD7">
            <w:pPr>
              <w:jc w:val="center"/>
              <w:rPr>
                <w:color w:val="000000"/>
                <w:sz w:val="20"/>
                <w:szCs w:val="20"/>
              </w:rPr>
            </w:pPr>
          </w:p>
        </w:tc>
        <w:tc>
          <w:tcPr>
            <w:tcW w:w="1082" w:type="dxa"/>
            <w:tcBorders>
              <w:top w:val="nil"/>
              <w:left w:val="nil"/>
              <w:bottom w:val="single" w:sz="4" w:space="0" w:color="auto"/>
              <w:right w:val="single" w:sz="4" w:space="0" w:color="auto"/>
            </w:tcBorders>
            <w:shd w:val="clear" w:color="auto" w:fill="auto"/>
            <w:vAlign w:val="center"/>
            <w:hideMark/>
          </w:tcPr>
          <w:p w14:paraId="0A1008C8" w14:textId="77777777" w:rsidR="002732B1" w:rsidRDefault="002732B1" w:rsidP="00FF4CD7">
            <w:pPr>
              <w:jc w:val="center"/>
              <w:rPr>
                <w:color w:val="000000"/>
                <w:sz w:val="20"/>
                <w:szCs w:val="20"/>
              </w:rPr>
            </w:pPr>
          </w:p>
        </w:tc>
        <w:tc>
          <w:tcPr>
            <w:tcW w:w="1231" w:type="dxa"/>
            <w:tcBorders>
              <w:top w:val="nil"/>
              <w:left w:val="nil"/>
              <w:bottom w:val="single" w:sz="4" w:space="0" w:color="auto"/>
              <w:right w:val="single" w:sz="4" w:space="0" w:color="auto"/>
            </w:tcBorders>
            <w:shd w:val="clear" w:color="auto" w:fill="auto"/>
            <w:vAlign w:val="center"/>
            <w:hideMark/>
          </w:tcPr>
          <w:p w14:paraId="242D9316" w14:textId="77777777" w:rsidR="002732B1" w:rsidRDefault="002732B1" w:rsidP="00FF4CD7">
            <w:pPr>
              <w:jc w:val="center"/>
              <w:rPr>
                <w:color w:val="000000"/>
                <w:sz w:val="20"/>
                <w:szCs w:val="20"/>
              </w:rPr>
            </w:pPr>
            <w:r>
              <w:rPr>
                <w:color w:val="000000"/>
                <w:sz w:val="20"/>
                <w:szCs w:val="20"/>
              </w:rPr>
              <w:t xml:space="preserve">  </w:t>
            </w:r>
          </w:p>
        </w:tc>
        <w:tc>
          <w:tcPr>
            <w:tcW w:w="2825" w:type="dxa"/>
            <w:tcBorders>
              <w:top w:val="nil"/>
              <w:left w:val="nil"/>
              <w:bottom w:val="single" w:sz="4" w:space="0" w:color="auto"/>
              <w:right w:val="single" w:sz="4" w:space="0" w:color="auto"/>
            </w:tcBorders>
            <w:shd w:val="clear" w:color="auto" w:fill="auto"/>
            <w:vAlign w:val="center"/>
            <w:hideMark/>
          </w:tcPr>
          <w:p w14:paraId="03706FD7" w14:textId="77777777" w:rsidR="002732B1" w:rsidRDefault="002732B1" w:rsidP="00FF4CD7">
            <w:pPr>
              <w:jc w:val="center"/>
              <w:rPr>
                <w:color w:val="000000"/>
                <w:sz w:val="20"/>
                <w:szCs w:val="20"/>
              </w:rPr>
            </w:pPr>
          </w:p>
        </w:tc>
        <w:tc>
          <w:tcPr>
            <w:tcW w:w="1228" w:type="dxa"/>
            <w:tcBorders>
              <w:top w:val="nil"/>
              <w:left w:val="nil"/>
              <w:bottom w:val="single" w:sz="4" w:space="0" w:color="auto"/>
              <w:right w:val="single" w:sz="4" w:space="0" w:color="auto"/>
            </w:tcBorders>
            <w:shd w:val="clear" w:color="auto" w:fill="auto"/>
            <w:vAlign w:val="center"/>
            <w:hideMark/>
          </w:tcPr>
          <w:p w14:paraId="0B7F2B1A" w14:textId="77777777" w:rsidR="002732B1" w:rsidRDefault="002732B1" w:rsidP="00FF4CD7">
            <w:pPr>
              <w:jc w:val="center"/>
              <w:rPr>
                <w:color w:val="00000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14:paraId="28A54D6D" w14:textId="77777777" w:rsidR="002732B1" w:rsidRDefault="002732B1" w:rsidP="00FF4CD7">
            <w:pPr>
              <w:rPr>
                <w:color w:val="000000"/>
                <w:sz w:val="20"/>
                <w:szCs w:val="20"/>
              </w:rPr>
            </w:pPr>
            <w:r>
              <w:rPr>
                <w:color w:val="000000"/>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hideMark/>
          </w:tcPr>
          <w:p w14:paraId="6898254A" w14:textId="77777777" w:rsidR="002732B1" w:rsidRDefault="002732B1" w:rsidP="00FF4CD7">
            <w:pPr>
              <w:rPr>
                <w:color w:val="000000"/>
                <w:sz w:val="20"/>
                <w:szCs w:val="20"/>
              </w:rPr>
            </w:pPr>
            <w:r>
              <w:rPr>
                <w:color w:val="000000"/>
                <w:sz w:val="20"/>
                <w:szCs w:val="20"/>
              </w:rPr>
              <w:t xml:space="preserve">                         </w:t>
            </w:r>
          </w:p>
        </w:tc>
        <w:tc>
          <w:tcPr>
            <w:tcW w:w="804" w:type="dxa"/>
            <w:tcBorders>
              <w:top w:val="nil"/>
              <w:left w:val="nil"/>
              <w:bottom w:val="single" w:sz="4" w:space="0" w:color="auto"/>
              <w:right w:val="single" w:sz="4" w:space="0" w:color="auto"/>
            </w:tcBorders>
            <w:shd w:val="clear" w:color="auto" w:fill="auto"/>
            <w:vAlign w:val="center"/>
            <w:hideMark/>
          </w:tcPr>
          <w:p w14:paraId="2FDB67CB" w14:textId="77777777" w:rsidR="002732B1" w:rsidRDefault="002732B1" w:rsidP="00FF4CD7">
            <w:pPr>
              <w:jc w:val="center"/>
              <w:rPr>
                <w:color w:val="000000"/>
                <w:sz w:val="20"/>
                <w:szCs w:val="20"/>
              </w:rPr>
            </w:pPr>
          </w:p>
        </w:tc>
        <w:tc>
          <w:tcPr>
            <w:tcW w:w="998" w:type="dxa"/>
            <w:tcBorders>
              <w:top w:val="nil"/>
              <w:left w:val="nil"/>
              <w:bottom w:val="single" w:sz="4" w:space="0" w:color="auto"/>
              <w:right w:val="single" w:sz="4" w:space="0" w:color="auto"/>
            </w:tcBorders>
            <w:shd w:val="clear" w:color="auto" w:fill="auto"/>
            <w:vAlign w:val="center"/>
            <w:hideMark/>
          </w:tcPr>
          <w:p w14:paraId="0F299D68" w14:textId="77777777" w:rsidR="002732B1" w:rsidRDefault="002732B1" w:rsidP="00FF4CD7">
            <w:pPr>
              <w:jc w:val="center"/>
              <w:rPr>
                <w:color w:val="000000"/>
                <w:sz w:val="20"/>
                <w:szCs w:val="20"/>
              </w:rPr>
            </w:pPr>
          </w:p>
        </w:tc>
        <w:tc>
          <w:tcPr>
            <w:tcW w:w="868" w:type="dxa"/>
            <w:tcBorders>
              <w:top w:val="nil"/>
              <w:left w:val="nil"/>
              <w:bottom w:val="single" w:sz="4" w:space="0" w:color="auto"/>
              <w:right w:val="single" w:sz="4" w:space="0" w:color="auto"/>
            </w:tcBorders>
            <w:shd w:val="clear" w:color="auto" w:fill="auto"/>
            <w:vAlign w:val="center"/>
            <w:hideMark/>
          </w:tcPr>
          <w:p w14:paraId="4A885D45" w14:textId="77777777" w:rsidR="002732B1" w:rsidRDefault="002732B1" w:rsidP="00FF4CD7">
            <w:pPr>
              <w:jc w:val="center"/>
              <w:rPr>
                <w:color w:val="000000"/>
                <w:sz w:val="20"/>
                <w:szCs w:val="20"/>
              </w:rPr>
            </w:pPr>
            <w:r>
              <w:rPr>
                <w:color w:val="000000"/>
                <w:sz w:val="20"/>
                <w:szCs w:val="20"/>
              </w:rPr>
              <w:t xml:space="preserve">  </w:t>
            </w:r>
          </w:p>
        </w:tc>
      </w:tr>
      <w:tr w:rsidR="002732B1" w14:paraId="3B1A43CC" w14:textId="77777777" w:rsidTr="00FF4CD7">
        <w:trPr>
          <w:trHeight w:val="21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B44AA9E" w14:textId="77777777" w:rsidR="002732B1" w:rsidRDefault="002732B1" w:rsidP="00FF4CD7">
            <w:pPr>
              <w:jc w:val="center"/>
              <w:rPr>
                <w:color w:val="000000"/>
                <w:sz w:val="20"/>
                <w:szCs w:val="20"/>
              </w:rPr>
            </w:pPr>
          </w:p>
        </w:tc>
        <w:tc>
          <w:tcPr>
            <w:tcW w:w="2556" w:type="dxa"/>
            <w:tcBorders>
              <w:top w:val="single" w:sz="4" w:space="0" w:color="auto"/>
              <w:left w:val="nil"/>
              <w:bottom w:val="single" w:sz="4" w:space="0" w:color="auto"/>
              <w:right w:val="single" w:sz="4" w:space="0" w:color="auto"/>
            </w:tcBorders>
            <w:shd w:val="clear" w:color="auto" w:fill="auto"/>
            <w:vAlign w:val="center"/>
          </w:tcPr>
          <w:p w14:paraId="145274B3" w14:textId="77777777" w:rsidR="002732B1" w:rsidRDefault="002732B1" w:rsidP="00FF4CD7">
            <w:pPr>
              <w:jc w:val="center"/>
              <w:rPr>
                <w:color w:val="000000"/>
                <w:sz w:val="20"/>
                <w:szCs w:val="20"/>
              </w:rPr>
            </w:pPr>
          </w:p>
        </w:tc>
        <w:tc>
          <w:tcPr>
            <w:tcW w:w="831" w:type="dxa"/>
            <w:tcBorders>
              <w:top w:val="single" w:sz="4" w:space="0" w:color="auto"/>
              <w:left w:val="nil"/>
              <w:bottom w:val="single" w:sz="4" w:space="0" w:color="auto"/>
              <w:right w:val="single" w:sz="4" w:space="0" w:color="auto"/>
            </w:tcBorders>
            <w:shd w:val="clear" w:color="auto" w:fill="auto"/>
            <w:vAlign w:val="center"/>
          </w:tcPr>
          <w:p w14:paraId="3A53AFE6" w14:textId="77777777" w:rsidR="002732B1" w:rsidRDefault="002732B1" w:rsidP="00FF4CD7">
            <w:pPr>
              <w:jc w:val="center"/>
              <w:rPr>
                <w:color w:val="000000"/>
                <w:sz w:val="20"/>
                <w:szCs w:val="20"/>
              </w:rPr>
            </w:pPr>
          </w:p>
        </w:tc>
        <w:tc>
          <w:tcPr>
            <w:tcW w:w="1082" w:type="dxa"/>
            <w:tcBorders>
              <w:top w:val="single" w:sz="4" w:space="0" w:color="auto"/>
              <w:left w:val="nil"/>
              <w:bottom w:val="single" w:sz="4" w:space="0" w:color="auto"/>
              <w:right w:val="single" w:sz="4" w:space="0" w:color="auto"/>
            </w:tcBorders>
            <w:shd w:val="clear" w:color="auto" w:fill="auto"/>
            <w:vAlign w:val="center"/>
          </w:tcPr>
          <w:p w14:paraId="378FDF39" w14:textId="77777777" w:rsidR="002732B1" w:rsidRDefault="002732B1" w:rsidP="00FF4CD7">
            <w:pPr>
              <w:jc w:val="center"/>
              <w:rPr>
                <w:color w:val="000000"/>
                <w:sz w:val="20"/>
                <w:szCs w:val="20"/>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2573714A" w14:textId="77777777" w:rsidR="002732B1" w:rsidRDefault="002732B1" w:rsidP="00FF4CD7">
            <w:pPr>
              <w:jc w:val="center"/>
              <w:rPr>
                <w:color w:val="000000"/>
                <w:sz w:val="20"/>
                <w:szCs w:val="20"/>
              </w:rPr>
            </w:pPr>
          </w:p>
        </w:tc>
        <w:tc>
          <w:tcPr>
            <w:tcW w:w="2825" w:type="dxa"/>
            <w:tcBorders>
              <w:top w:val="single" w:sz="4" w:space="0" w:color="auto"/>
              <w:left w:val="nil"/>
              <w:bottom w:val="single" w:sz="4" w:space="0" w:color="auto"/>
              <w:right w:val="single" w:sz="4" w:space="0" w:color="auto"/>
            </w:tcBorders>
            <w:shd w:val="clear" w:color="auto" w:fill="auto"/>
            <w:vAlign w:val="center"/>
          </w:tcPr>
          <w:p w14:paraId="58CDE6B8" w14:textId="77777777" w:rsidR="002732B1" w:rsidRDefault="002732B1" w:rsidP="00FF4CD7">
            <w:pPr>
              <w:jc w:val="center"/>
              <w:rPr>
                <w:color w:val="000000"/>
                <w:sz w:val="20"/>
                <w:szCs w:val="20"/>
              </w:rPr>
            </w:pPr>
          </w:p>
        </w:tc>
        <w:tc>
          <w:tcPr>
            <w:tcW w:w="1228" w:type="dxa"/>
            <w:tcBorders>
              <w:top w:val="single" w:sz="4" w:space="0" w:color="auto"/>
              <w:left w:val="nil"/>
              <w:bottom w:val="single" w:sz="4" w:space="0" w:color="auto"/>
              <w:right w:val="single" w:sz="4" w:space="0" w:color="auto"/>
            </w:tcBorders>
            <w:shd w:val="clear" w:color="auto" w:fill="auto"/>
            <w:vAlign w:val="center"/>
          </w:tcPr>
          <w:p w14:paraId="6E18FB94" w14:textId="77777777" w:rsidR="002732B1" w:rsidRDefault="002732B1" w:rsidP="00FF4CD7">
            <w:pPr>
              <w:jc w:val="center"/>
              <w:rPr>
                <w:color w:val="000000"/>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4F785BB2" w14:textId="77777777" w:rsidR="002732B1" w:rsidRDefault="002732B1" w:rsidP="00FF4CD7">
            <w:pPr>
              <w:rPr>
                <w:color w:val="000000"/>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57628A1D" w14:textId="77777777" w:rsidR="002732B1" w:rsidRDefault="002732B1" w:rsidP="00FF4CD7">
            <w:pPr>
              <w:rPr>
                <w:color w:val="000000"/>
                <w:sz w:val="20"/>
                <w:szCs w:val="20"/>
              </w:rPr>
            </w:pPr>
          </w:p>
        </w:tc>
        <w:tc>
          <w:tcPr>
            <w:tcW w:w="804" w:type="dxa"/>
            <w:tcBorders>
              <w:top w:val="single" w:sz="4" w:space="0" w:color="auto"/>
              <w:left w:val="nil"/>
              <w:bottom w:val="single" w:sz="4" w:space="0" w:color="auto"/>
              <w:right w:val="single" w:sz="4" w:space="0" w:color="auto"/>
            </w:tcBorders>
            <w:shd w:val="clear" w:color="auto" w:fill="auto"/>
            <w:vAlign w:val="center"/>
          </w:tcPr>
          <w:p w14:paraId="7A595B30" w14:textId="77777777" w:rsidR="002732B1" w:rsidRDefault="002732B1" w:rsidP="00FF4CD7">
            <w:pPr>
              <w:jc w:val="center"/>
              <w:rPr>
                <w:color w:val="000000"/>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510C4CC7" w14:textId="77777777" w:rsidR="002732B1" w:rsidRDefault="002732B1" w:rsidP="00FF4CD7">
            <w:pPr>
              <w:jc w:val="center"/>
              <w:rPr>
                <w:color w:val="000000"/>
                <w:sz w:val="20"/>
                <w:szCs w:val="20"/>
              </w:rPr>
            </w:pPr>
          </w:p>
        </w:tc>
        <w:tc>
          <w:tcPr>
            <w:tcW w:w="868" w:type="dxa"/>
            <w:tcBorders>
              <w:top w:val="single" w:sz="4" w:space="0" w:color="auto"/>
              <w:left w:val="nil"/>
              <w:bottom w:val="single" w:sz="4" w:space="0" w:color="auto"/>
              <w:right w:val="single" w:sz="4" w:space="0" w:color="auto"/>
            </w:tcBorders>
            <w:shd w:val="clear" w:color="auto" w:fill="auto"/>
            <w:vAlign w:val="center"/>
          </w:tcPr>
          <w:p w14:paraId="5FEA505F" w14:textId="77777777" w:rsidR="002732B1" w:rsidRDefault="002732B1" w:rsidP="00FF4CD7">
            <w:pPr>
              <w:jc w:val="center"/>
              <w:rPr>
                <w:color w:val="000000"/>
                <w:sz w:val="20"/>
                <w:szCs w:val="20"/>
              </w:rPr>
            </w:pPr>
          </w:p>
        </w:tc>
      </w:tr>
      <w:tr w:rsidR="002732B1" w14:paraId="06A4B599" w14:textId="77777777" w:rsidTr="00FF4CD7">
        <w:trPr>
          <w:trHeight w:val="21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9A7C98A" w14:textId="77777777" w:rsidR="002732B1" w:rsidRDefault="002732B1" w:rsidP="00FF4CD7">
            <w:pPr>
              <w:jc w:val="center"/>
              <w:rPr>
                <w:color w:val="000000"/>
                <w:sz w:val="20"/>
                <w:szCs w:val="20"/>
              </w:rPr>
            </w:pPr>
          </w:p>
        </w:tc>
        <w:tc>
          <w:tcPr>
            <w:tcW w:w="2556" w:type="dxa"/>
            <w:tcBorders>
              <w:top w:val="single" w:sz="4" w:space="0" w:color="auto"/>
              <w:left w:val="nil"/>
              <w:bottom w:val="single" w:sz="4" w:space="0" w:color="auto"/>
              <w:right w:val="single" w:sz="4" w:space="0" w:color="auto"/>
            </w:tcBorders>
            <w:shd w:val="clear" w:color="auto" w:fill="auto"/>
            <w:vAlign w:val="center"/>
          </w:tcPr>
          <w:p w14:paraId="34EBAA92" w14:textId="77777777" w:rsidR="002732B1" w:rsidRDefault="002732B1" w:rsidP="00FF4CD7">
            <w:pPr>
              <w:jc w:val="center"/>
              <w:rPr>
                <w:color w:val="000000"/>
                <w:sz w:val="20"/>
                <w:szCs w:val="20"/>
              </w:rPr>
            </w:pPr>
          </w:p>
        </w:tc>
        <w:tc>
          <w:tcPr>
            <w:tcW w:w="831" w:type="dxa"/>
            <w:tcBorders>
              <w:top w:val="single" w:sz="4" w:space="0" w:color="auto"/>
              <w:left w:val="nil"/>
              <w:bottom w:val="single" w:sz="4" w:space="0" w:color="auto"/>
              <w:right w:val="single" w:sz="4" w:space="0" w:color="auto"/>
            </w:tcBorders>
            <w:shd w:val="clear" w:color="auto" w:fill="auto"/>
            <w:vAlign w:val="center"/>
          </w:tcPr>
          <w:p w14:paraId="4FFB6B32" w14:textId="77777777" w:rsidR="002732B1" w:rsidRDefault="002732B1" w:rsidP="00FF4CD7">
            <w:pPr>
              <w:jc w:val="center"/>
              <w:rPr>
                <w:color w:val="000000"/>
                <w:sz w:val="20"/>
                <w:szCs w:val="20"/>
              </w:rPr>
            </w:pPr>
          </w:p>
        </w:tc>
        <w:tc>
          <w:tcPr>
            <w:tcW w:w="1082" w:type="dxa"/>
            <w:tcBorders>
              <w:top w:val="single" w:sz="4" w:space="0" w:color="auto"/>
              <w:left w:val="nil"/>
              <w:bottom w:val="single" w:sz="4" w:space="0" w:color="auto"/>
              <w:right w:val="single" w:sz="4" w:space="0" w:color="auto"/>
            </w:tcBorders>
            <w:shd w:val="clear" w:color="auto" w:fill="auto"/>
            <w:vAlign w:val="center"/>
          </w:tcPr>
          <w:p w14:paraId="7B4C33ED" w14:textId="77777777" w:rsidR="002732B1" w:rsidRDefault="002732B1" w:rsidP="00FF4CD7">
            <w:pPr>
              <w:jc w:val="center"/>
              <w:rPr>
                <w:color w:val="000000"/>
                <w:sz w:val="20"/>
                <w:szCs w:val="20"/>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35711857" w14:textId="77777777" w:rsidR="002732B1" w:rsidRDefault="002732B1" w:rsidP="00FF4CD7">
            <w:pPr>
              <w:jc w:val="center"/>
              <w:rPr>
                <w:color w:val="000000"/>
                <w:sz w:val="20"/>
                <w:szCs w:val="20"/>
              </w:rPr>
            </w:pPr>
          </w:p>
        </w:tc>
        <w:tc>
          <w:tcPr>
            <w:tcW w:w="2825" w:type="dxa"/>
            <w:tcBorders>
              <w:top w:val="single" w:sz="4" w:space="0" w:color="auto"/>
              <w:left w:val="nil"/>
              <w:bottom w:val="single" w:sz="4" w:space="0" w:color="auto"/>
              <w:right w:val="single" w:sz="4" w:space="0" w:color="auto"/>
            </w:tcBorders>
            <w:shd w:val="clear" w:color="auto" w:fill="auto"/>
            <w:vAlign w:val="center"/>
          </w:tcPr>
          <w:p w14:paraId="4EBF8437" w14:textId="77777777" w:rsidR="002732B1" w:rsidRDefault="002732B1" w:rsidP="00FF4CD7">
            <w:pPr>
              <w:jc w:val="center"/>
              <w:rPr>
                <w:color w:val="000000"/>
                <w:sz w:val="20"/>
                <w:szCs w:val="20"/>
              </w:rPr>
            </w:pPr>
          </w:p>
        </w:tc>
        <w:tc>
          <w:tcPr>
            <w:tcW w:w="1228" w:type="dxa"/>
            <w:tcBorders>
              <w:top w:val="single" w:sz="4" w:space="0" w:color="auto"/>
              <w:left w:val="nil"/>
              <w:bottom w:val="single" w:sz="4" w:space="0" w:color="auto"/>
              <w:right w:val="single" w:sz="4" w:space="0" w:color="auto"/>
            </w:tcBorders>
            <w:shd w:val="clear" w:color="auto" w:fill="auto"/>
            <w:vAlign w:val="center"/>
          </w:tcPr>
          <w:p w14:paraId="24401E2E" w14:textId="77777777" w:rsidR="002732B1" w:rsidRDefault="002732B1" w:rsidP="00FF4CD7">
            <w:pPr>
              <w:jc w:val="center"/>
              <w:rPr>
                <w:color w:val="000000"/>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4AD28947" w14:textId="77777777" w:rsidR="002732B1" w:rsidRDefault="002732B1" w:rsidP="00FF4CD7">
            <w:pPr>
              <w:rPr>
                <w:color w:val="000000"/>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09E935F9" w14:textId="77777777" w:rsidR="002732B1" w:rsidRDefault="002732B1" w:rsidP="00FF4CD7">
            <w:pPr>
              <w:rPr>
                <w:color w:val="000000"/>
                <w:sz w:val="20"/>
                <w:szCs w:val="20"/>
              </w:rPr>
            </w:pPr>
          </w:p>
        </w:tc>
        <w:tc>
          <w:tcPr>
            <w:tcW w:w="804" w:type="dxa"/>
            <w:tcBorders>
              <w:top w:val="single" w:sz="4" w:space="0" w:color="auto"/>
              <w:left w:val="nil"/>
              <w:bottom w:val="single" w:sz="4" w:space="0" w:color="auto"/>
              <w:right w:val="single" w:sz="4" w:space="0" w:color="auto"/>
            </w:tcBorders>
            <w:shd w:val="clear" w:color="auto" w:fill="auto"/>
            <w:vAlign w:val="center"/>
          </w:tcPr>
          <w:p w14:paraId="52C84861" w14:textId="77777777" w:rsidR="002732B1" w:rsidRDefault="002732B1" w:rsidP="00FF4CD7">
            <w:pPr>
              <w:jc w:val="center"/>
              <w:rPr>
                <w:color w:val="000000"/>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688D908B" w14:textId="77777777" w:rsidR="002732B1" w:rsidRDefault="002732B1" w:rsidP="00FF4CD7">
            <w:pPr>
              <w:jc w:val="center"/>
              <w:rPr>
                <w:color w:val="000000"/>
                <w:sz w:val="20"/>
                <w:szCs w:val="20"/>
              </w:rPr>
            </w:pPr>
          </w:p>
        </w:tc>
        <w:tc>
          <w:tcPr>
            <w:tcW w:w="868" w:type="dxa"/>
            <w:tcBorders>
              <w:top w:val="single" w:sz="4" w:space="0" w:color="auto"/>
              <w:left w:val="nil"/>
              <w:bottom w:val="single" w:sz="4" w:space="0" w:color="auto"/>
              <w:right w:val="single" w:sz="4" w:space="0" w:color="auto"/>
            </w:tcBorders>
            <w:shd w:val="clear" w:color="auto" w:fill="auto"/>
            <w:vAlign w:val="center"/>
          </w:tcPr>
          <w:p w14:paraId="19EF2680" w14:textId="77777777" w:rsidR="002732B1" w:rsidRDefault="002732B1" w:rsidP="00FF4CD7">
            <w:pPr>
              <w:jc w:val="center"/>
              <w:rPr>
                <w:color w:val="000000"/>
                <w:sz w:val="20"/>
                <w:szCs w:val="20"/>
              </w:rPr>
            </w:pPr>
          </w:p>
        </w:tc>
      </w:tr>
      <w:tr w:rsidR="002732B1" w14:paraId="2028A6EE" w14:textId="77777777" w:rsidTr="00FF4CD7">
        <w:trPr>
          <w:trHeight w:val="21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7D771CA" w14:textId="77777777" w:rsidR="002732B1" w:rsidRDefault="002732B1" w:rsidP="00FF4CD7">
            <w:pPr>
              <w:jc w:val="center"/>
              <w:rPr>
                <w:color w:val="000000"/>
                <w:sz w:val="20"/>
                <w:szCs w:val="20"/>
              </w:rPr>
            </w:pPr>
          </w:p>
        </w:tc>
        <w:tc>
          <w:tcPr>
            <w:tcW w:w="2556" w:type="dxa"/>
            <w:tcBorders>
              <w:top w:val="single" w:sz="4" w:space="0" w:color="auto"/>
              <w:left w:val="nil"/>
              <w:bottom w:val="single" w:sz="4" w:space="0" w:color="auto"/>
              <w:right w:val="single" w:sz="4" w:space="0" w:color="auto"/>
            </w:tcBorders>
            <w:shd w:val="clear" w:color="auto" w:fill="auto"/>
            <w:vAlign w:val="center"/>
          </w:tcPr>
          <w:p w14:paraId="1F354FF7" w14:textId="77777777" w:rsidR="002732B1" w:rsidRDefault="002732B1" w:rsidP="00FF4CD7">
            <w:pPr>
              <w:jc w:val="center"/>
              <w:rPr>
                <w:color w:val="000000"/>
                <w:sz w:val="20"/>
                <w:szCs w:val="20"/>
              </w:rPr>
            </w:pPr>
          </w:p>
        </w:tc>
        <w:tc>
          <w:tcPr>
            <w:tcW w:w="831" w:type="dxa"/>
            <w:tcBorders>
              <w:top w:val="single" w:sz="4" w:space="0" w:color="auto"/>
              <w:left w:val="nil"/>
              <w:bottom w:val="single" w:sz="4" w:space="0" w:color="auto"/>
              <w:right w:val="single" w:sz="4" w:space="0" w:color="auto"/>
            </w:tcBorders>
            <w:shd w:val="clear" w:color="auto" w:fill="auto"/>
            <w:vAlign w:val="center"/>
          </w:tcPr>
          <w:p w14:paraId="5B497AB0" w14:textId="77777777" w:rsidR="002732B1" w:rsidRDefault="002732B1" w:rsidP="00FF4CD7">
            <w:pPr>
              <w:jc w:val="center"/>
              <w:rPr>
                <w:color w:val="000000"/>
                <w:sz w:val="20"/>
                <w:szCs w:val="20"/>
              </w:rPr>
            </w:pPr>
          </w:p>
        </w:tc>
        <w:tc>
          <w:tcPr>
            <w:tcW w:w="1082" w:type="dxa"/>
            <w:tcBorders>
              <w:top w:val="single" w:sz="4" w:space="0" w:color="auto"/>
              <w:left w:val="nil"/>
              <w:bottom w:val="single" w:sz="4" w:space="0" w:color="auto"/>
              <w:right w:val="single" w:sz="4" w:space="0" w:color="auto"/>
            </w:tcBorders>
            <w:shd w:val="clear" w:color="auto" w:fill="auto"/>
            <w:vAlign w:val="center"/>
          </w:tcPr>
          <w:p w14:paraId="2CF4A87A" w14:textId="77777777" w:rsidR="002732B1" w:rsidRDefault="002732B1" w:rsidP="00FF4CD7">
            <w:pPr>
              <w:jc w:val="center"/>
              <w:rPr>
                <w:color w:val="000000"/>
                <w:sz w:val="20"/>
                <w:szCs w:val="20"/>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40F0116F" w14:textId="77777777" w:rsidR="002732B1" w:rsidRDefault="002732B1" w:rsidP="00FF4CD7">
            <w:pPr>
              <w:jc w:val="center"/>
              <w:rPr>
                <w:color w:val="000000"/>
                <w:sz w:val="20"/>
                <w:szCs w:val="20"/>
              </w:rPr>
            </w:pPr>
          </w:p>
        </w:tc>
        <w:tc>
          <w:tcPr>
            <w:tcW w:w="2825" w:type="dxa"/>
            <w:tcBorders>
              <w:top w:val="single" w:sz="4" w:space="0" w:color="auto"/>
              <w:left w:val="nil"/>
              <w:bottom w:val="single" w:sz="4" w:space="0" w:color="auto"/>
              <w:right w:val="single" w:sz="4" w:space="0" w:color="auto"/>
            </w:tcBorders>
            <w:shd w:val="clear" w:color="auto" w:fill="auto"/>
            <w:vAlign w:val="center"/>
          </w:tcPr>
          <w:p w14:paraId="54D9A33E" w14:textId="77777777" w:rsidR="002732B1" w:rsidRDefault="002732B1" w:rsidP="00FF4CD7">
            <w:pPr>
              <w:jc w:val="center"/>
              <w:rPr>
                <w:color w:val="000000"/>
                <w:sz w:val="20"/>
                <w:szCs w:val="20"/>
              </w:rPr>
            </w:pPr>
          </w:p>
        </w:tc>
        <w:tc>
          <w:tcPr>
            <w:tcW w:w="1228" w:type="dxa"/>
            <w:tcBorders>
              <w:top w:val="single" w:sz="4" w:space="0" w:color="auto"/>
              <w:left w:val="nil"/>
              <w:bottom w:val="single" w:sz="4" w:space="0" w:color="auto"/>
              <w:right w:val="single" w:sz="4" w:space="0" w:color="auto"/>
            </w:tcBorders>
            <w:shd w:val="clear" w:color="auto" w:fill="auto"/>
            <w:vAlign w:val="center"/>
          </w:tcPr>
          <w:p w14:paraId="3C586C26" w14:textId="77777777" w:rsidR="002732B1" w:rsidRDefault="002732B1" w:rsidP="00FF4CD7">
            <w:pPr>
              <w:jc w:val="center"/>
              <w:rPr>
                <w:color w:val="000000"/>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2739B37D" w14:textId="77777777" w:rsidR="002732B1" w:rsidRDefault="002732B1" w:rsidP="00FF4CD7">
            <w:pPr>
              <w:rPr>
                <w:color w:val="000000"/>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6BA79966" w14:textId="77777777" w:rsidR="002732B1" w:rsidRDefault="002732B1" w:rsidP="00FF4CD7">
            <w:pPr>
              <w:rPr>
                <w:color w:val="000000"/>
                <w:sz w:val="20"/>
                <w:szCs w:val="20"/>
              </w:rPr>
            </w:pPr>
          </w:p>
        </w:tc>
        <w:tc>
          <w:tcPr>
            <w:tcW w:w="804" w:type="dxa"/>
            <w:tcBorders>
              <w:top w:val="single" w:sz="4" w:space="0" w:color="auto"/>
              <w:left w:val="nil"/>
              <w:bottom w:val="single" w:sz="4" w:space="0" w:color="auto"/>
              <w:right w:val="single" w:sz="4" w:space="0" w:color="auto"/>
            </w:tcBorders>
            <w:shd w:val="clear" w:color="auto" w:fill="auto"/>
            <w:vAlign w:val="center"/>
          </w:tcPr>
          <w:p w14:paraId="17B4D9D7" w14:textId="77777777" w:rsidR="002732B1" w:rsidRDefault="002732B1" w:rsidP="00FF4CD7">
            <w:pPr>
              <w:jc w:val="center"/>
              <w:rPr>
                <w:color w:val="000000"/>
                <w:sz w:val="20"/>
                <w:szCs w:val="20"/>
              </w:rPr>
            </w:pPr>
          </w:p>
        </w:tc>
        <w:tc>
          <w:tcPr>
            <w:tcW w:w="998" w:type="dxa"/>
            <w:tcBorders>
              <w:top w:val="single" w:sz="4" w:space="0" w:color="auto"/>
              <w:left w:val="nil"/>
              <w:bottom w:val="single" w:sz="4" w:space="0" w:color="auto"/>
              <w:right w:val="single" w:sz="4" w:space="0" w:color="auto"/>
            </w:tcBorders>
            <w:shd w:val="clear" w:color="auto" w:fill="auto"/>
            <w:vAlign w:val="center"/>
          </w:tcPr>
          <w:p w14:paraId="1015C348" w14:textId="77777777" w:rsidR="002732B1" w:rsidRDefault="002732B1" w:rsidP="00FF4CD7">
            <w:pPr>
              <w:jc w:val="center"/>
              <w:rPr>
                <w:color w:val="000000"/>
                <w:sz w:val="20"/>
                <w:szCs w:val="20"/>
              </w:rPr>
            </w:pPr>
          </w:p>
        </w:tc>
        <w:tc>
          <w:tcPr>
            <w:tcW w:w="868" w:type="dxa"/>
            <w:tcBorders>
              <w:top w:val="single" w:sz="4" w:space="0" w:color="auto"/>
              <w:left w:val="nil"/>
              <w:bottom w:val="single" w:sz="4" w:space="0" w:color="auto"/>
              <w:right w:val="single" w:sz="4" w:space="0" w:color="auto"/>
            </w:tcBorders>
            <w:shd w:val="clear" w:color="auto" w:fill="auto"/>
            <w:vAlign w:val="center"/>
          </w:tcPr>
          <w:p w14:paraId="2DF16125" w14:textId="77777777" w:rsidR="002732B1" w:rsidRDefault="002732B1" w:rsidP="00FF4CD7">
            <w:pPr>
              <w:jc w:val="center"/>
              <w:rPr>
                <w:color w:val="000000"/>
                <w:sz w:val="20"/>
                <w:szCs w:val="20"/>
              </w:rPr>
            </w:pPr>
          </w:p>
        </w:tc>
      </w:tr>
    </w:tbl>
    <w:p w14:paraId="5298ADCF" w14:textId="77777777" w:rsidR="002732B1" w:rsidRPr="00895898" w:rsidRDefault="002732B1" w:rsidP="002732B1">
      <w:pPr>
        <w:jc w:val="both"/>
        <w:rPr>
          <w:rFonts w:eastAsia="Calibri"/>
          <w:b/>
          <w:bCs/>
          <w:i/>
        </w:rPr>
        <w:sectPr w:rsidR="002732B1" w:rsidRPr="00895898" w:rsidSect="00FF4CD7">
          <w:pgSz w:w="16838" w:h="11906" w:orient="landscape"/>
          <w:pgMar w:top="1417" w:right="1417" w:bottom="1417" w:left="1417" w:header="708" w:footer="708" w:gutter="0"/>
          <w:cols w:space="708"/>
          <w:docGrid w:linePitch="360"/>
        </w:sectPr>
      </w:pPr>
    </w:p>
    <w:p w14:paraId="4650C4A0" w14:textId="782CBA6D" w:rsidR="002732B1" w:rsidRDefault="002732B1" w:rsidP="002732B1">
      <w:pPr>
        <w:jc w:val="both"/>
        <w:rPr>
          <w:rFonts w:eastAsia="Calibri"/>
          <w:b/>
          <w:bCs/>
          <w:i/>
          <w:sz w:val="22"/>
          <w:szCs w:val="22"/>
          <w:u w:val="single"/>
        </w:rPr>
      </w:pPr>
      <w:r w:rsidRPr="002732B1">
        <w:rPr>
          <w:rFonts w:eastAsia="Calibri"/>
          <w:b/>
          <w:bCs/>
          <w:i/>
          <w:sz w:val="22"/>
          <w:szCs w:val="22"/>
          <w:u w:val="single"/>
        </w:rPr>
        <w:lastRenderedPageBreak/>
        <w:t xml:space="preserve">Doplňujúce informácie k spôsobu výpočtu vplyvov jednotlivých regulácií na zmenu nákladov </w:t>
      </w:r>
    </w:p>
    <w:p w14:paraId="66F8EB65" w14:textId="77777777" w:rsidR="002732B1" w:rsidRPr="002732B1" w:rsidRDefault="002732B1" w:rsidP="002732B1">
      <w:pPr>
        <w:jc w:val="both"/>
        <w:rPr>
          <w:rFonts w:eastAsia="Calibri"/>
          <w:b/>
          <w:bCs/>
          <w:i/>
          <w:sz w:val="22"/>
          <w:szCs w:val="22"/>
          <w:u w:val="single"/>
        </w:rPr>
      </w:pPr>
    </w:p>
    <w:p w14:paraId="23941394" w14:textId="15598865" w:rsidR="002732B1" w:rsidRDefault="002732B1" w:rsidP="002732B1">
      <w:pPr>
        <w:jc w:val="both"/>
        <w:rPr>
          <w:rFonts w:eastAsia="Calibri"/>
          <w:bCs/>
          <w:i/>
          <w:iCs/>
          <w:color w:val="000000"/>
          <w:sz w:val="22"/>
          <w:szCs w:val="22"/>
        </w:rPr>
      </w:pPr>
      <w:r w:rsidRPr="002732B1">
        <w:rPr>
          <w:rFonts w:eastAsia="Calibri"/>
          <w:bCs/>
          <w:i/>
          <w:iCs/>
          <w:color w:val="000000"/>
          <w:sz w:val="22"/>
          <w:szCs w:val="22"/>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Nepriame finančné náklady, D. Administratívne náklady). Rozčleňte ich a vypočítajte v súlade s metodickým postupom. </w:t>
      </w:r>
    </w:p>
    <w:p w14:paraId="26D252C6" w14:textId="77777777" w:rsidR="002732B1" w:rsidRPr="002732B1" w:rsidRDefault="002732B1" w:rsidP="002732B1">
      <w:pPr>
        <w:jc w:val="both"/>
        <w:rPr>
          <w:rFonts w:eastAsia="Calibri"/>
          <w:bCs/>
          <w:i/>
          <w:iCs/>
          <w:color w:val="000000"/>
          <w:sz w:val="22"/>
          <w:szCs w:val="22"/>
        </w:rPr>
      </w:pPr>
    </w:p>
    <w:p w14:paraId="02BFEC5C" w14:textId="41C8D188" w:rsidR="002732B1" w:rsidRDefault="002732B1" w:rsidP="002732B1">
      <w:pPr>
        <w:jc w:val="both"/>
        <w:rPr>
          <w:rFonts w:eastAsia="Calibri"/>
          <w:b/>
          <w:bCs/>
          <w:iCs/>
          <w:color w:val="000000"/>
          <w:sz w:val="22"/>
          <w:szCs w:val="22"/>
        </w:rPr>
      </w:pPr>
      <w:r w:rsidRPr="002732B1">
        <w:rPr>
          <w:rFonts w:eastAsia="Calibri"/>
          <w:b/>
          <w:bCs/>
          <w:iCs/>
          <w:color w:val="000000"/>
          <w:sz w:val="22"/>
          <w:szCs w:val="22"/>
        </w:rPr>
        <w:t xml:space="preserve">Východiskové údaje: </w:t>
      </w:r>
    </w:p>
    <w:p w14:paraId="501B33B5" w14:textId="77777777" w:rsidR="002732B1" w:rsidRPr="002732B1" w:rsidRDefault="002732B1" w:rsidP="002732B1">
      <w:pPr>
        <w:jc w:val="both"/>
        <w:rPr>
          <w:rFonts w:eastAsia="Calibri"/>
          <w:b/>
          <w:bCs/>
          <w:iCs/>
          <w:color w:val="000000"/>
          <w:sz w:val="22"/>
          <w:szCs w:val="22"/>
        </w:rPr>
      </w:pPr>
    </w:p>
    <w:p w14:paraId="17DB45DD" w14:textId="74C6778A" w:rsidR="002732B1" w:rsidRDefault="002732B1" w:rsidP="002732B1">
      <w:pPr>
        <w:jc w:val="both"/>
        <w:rPr>
          <w:sz w:val="22"/>
          <w:szCs w:val="22"/>
        </w:rPr>
      </w:pPr>
      <w:r w:rsidRPr="002732B1">
        <w:rPr>
          <w:sz w:val="22"/>
          <w:szCs w:val="22"/>
        </w:rPr>
        <w:t>Na výpočet vplyvu regulácie bol použitý výpočet vychádzajúci zo štandardizovanej časovej náročnosti administratívnych úkonov (alternatíva č. 2 kalkulačky nákladov). Vzhľadom na to, že novelou zákona sa dopĺňa oprávnenie, nie povinnosť, nie je možné predpokladať koľko z dotknutých subjektov a pri ktorých konkrétnych úkonoch si dané oprávnenie uplatní. Oprávnenie vykonať zaručenú konverziu bude môcť využiť zamestnanec banky alebo pobočky zahraničnej banky v súlade s internými predpismi, a to napríklad pri archivácii dokumentov, pri vedení evidencií, ale napríklad aj v rámci poskytovania súčinnosti iným subjektom pri výkone bankových činností. Pre frekvenciu realizácie týchto úkonov zo strany relevantných subjektov bola zvolená realizácia daného úkonu raz ročne. Navrhovaná novela teda predpokladá zníženie nákladov na podnikateľské prostredie vo výške 76 176  eur.</w:t>
      </w:r>
    </w:p>
    <w:p w14:paraId="7CE4D660" w14:textId="77777777" w:rsidR="002732B1" w:rsidRPr="002732B1" w:rsidRDefault="002732B1" w:rsidP="002732B1">
      <w:pPr>
        <w:jc w:val="both"/>
        <w:rPr>
          <w:sz w:val="22"/>
          <w:szCs w:val="22"/>
        </w:rPr>
      </w:pPr>
    </w:p>
    <w:p w14:paraId="5213EADB" w14:textId="037E5B53" w:rsidR="002732B1" w:rsidRDefault="002732B1" w:rsidP="002732B1">
      <w:pPr>
        <w:jc w:val="both"/>
        <w:rPr>
          <w:b/>
          <w:sz w:val="22"/>
          <w:szCs w:val="22"/>
        </w:rPr>
      </w:pPr>
      <w:r w:rsidRPr="002732B1">
        <w:rPr>
          <w:b/>
          <w:sz w:val="22"/>
          <w:szCs w:val="22"/>
        </w:rPr>
        <w:t>Ďalšie relevantné údaje:</w:t>
      </w:r>
    </w:p>
    <w:p w14:paraId="2182243E" w14:textId="77777777" w:rsidR="002732B1" w:rsidRPr="002732B1" w:rsidRDefault="002732B1" w:rsidP="002732B1">
      <w:pPr>
        <w:jc w:val="both"/>
        <w:rPr>
          <w:b/>
          <w:sz w:val="22"/>
          <w:szCs w:val="22"/>
        </w:rPr>
      </w:pPr>
    </w:p>
    <w:p w14:paraId="6125AD8C" w14:textId="371EF31C" w:rsidR="002732B1" w:rsidRDefault="002732B1" w:rsidP="002732B1">
      <w:pPr>
        <w:jc w:val="both"/>
        <w:rPr>
          <w:sz w:val="22"/>
          <w:szCs w:val="22"/>
        </w:rPr>
      </w:pPr>
      <w:r w:rsidRPr="002732B1">
        <w:rPr>
          <w:sz w:val="22"/>
          <w:szCs w:val="22"/>
        </w:rPr>
        <w:t xml:space="preserve">Návrhom nedochádza k zmene regulácie pre podnikateľov, ani k zavedeniu novej povinnosti alebo záťaže. Naopak, pozitívny dopad možno očakávať v oblasti bankového sektora, t. j. bude sa týkať organizačných jednotiek bánk a pobočiek zahraničných bánk. Tento pozitívny dopad môže nastať v dôsledku ustanovenia oprávnenia pre banky a pobočky zahraničnej banky vykonávať zaručenú konverziu v § 35 ods. 3 písm. f) zákona o e-Governmente. </w:t>
      </w:r>
    </w:p>
    <w:p w14:paraId="396148AC" w14:textId="77777777" w:rsidR="002732B1" w:rsidRPr="002732B1" w:rsidRDefault="002732B1" w:rsidP="002732B1">
      <w:pPr>
        <w:jc w:val="both"/>
        <w:rPr>
          <w:sz w:val="22"/>
          <w:szCs w:val="22"/>
        </w:rPr>
      </w:pPr>
    </w:p>
    <w:p w14:paraId="7D7FB377" w14:textId="55258B62" w:rsidR="002732B1" w:rsidRDefault="002732B1" w:rsidP="002732B1">
      <w:pPr>
        <w:jc w:val="both"/>
        <w:rPr>
          <w:sz w:val="22"/>
          <w:szCs w:val="22"/>
        </w:rPr>
      </w:pPr>
      <w:r w:rsidRPr="002732B1">
        <w:rPr>
          <w:sz w:val="22"/>
          <w:szCs w:val="22"/>
        </w:rPr>
        <w:t xml:space="preserve">Počet  dotknutých subjektov, t. j. počet organizačných jednotiek bánk a pobočiek zahraničných bánk, ktoré budú môcť využiť oprávnenie vykonávať zaručenú konverziu podľa § 35 ods. 3 písm. f) zákona o e-Governmente: 971 (údaj platný k 31.3.2022, štatistické údaje dostupné na portáli NBS </w:t>
      </w:r>
      <w:hyperlink r:id="rId21" w:history="1">
        <w:r w:rsidRPr="002732B1">
          <w:rPr>
            <w:rStyle w:val="Hypertextovprepojenie"/>
            <w:sz w:val="22"/>
            <w:szCs w:val="22"/>
          </w:rPr>
          <w:t>https://www.nbs.sk/sk/statisticke-udaje/financne-institucie/banky/statisticke-a-analyticke-prehlady/prehlad-o-rozvoji-penazneho-sektora</w:t>
        </w:r>
      </w:hyperlink>
      <w:r w:rsidRPr="002732B1">
        <w:rPr>
          <w:sz w:val="22"/>
          <w:szCs w:val="22"/>
        </w:rPr>
        <w:t>).</w:t>
      </w:r>
    </w:p>
    <w:p w14:paraId="1C6106A5" w14:textId="77777777" w:rsidR="002732B1" w:rsidRPr="002732B1" w:rsidRDefault="002732B1" w:rsidP="002732B1">
      <w:pPr>
        <w:jc w:val="both"/>
        <w:rPr>
          <w:sz w:val="22"/>
          <w:szCs w:val="22"/>
        </w:rPr>
      </w:pPr>
    </w:p>
    <w:p w14:paraId="2714D3BE" w14:textId="2A4F8268" w:rsidR="002732B1" w:rsidRDefault="002732B1" w:rsidP="002732B1">
      <w:pPr>
        <w:jc w:val="both"/>
        <w:rPr>
          <w:rFonts w:eastAsia="Calibri"/>
          <w:b/>
          <w:sz w:val="22"/>
          <w:szCs w:val="22"/>
        </w:rPr>
      </w:pPr>
      <w:r w:rsidRPr="002732B1">
        <w:rPr>
          <w:rFonts w:eastAsia="Calibri"/>
          <w:b/>
          <w:sz w:val="22"/>
          <w:szCs w:val="22"/>
        </w:rPr>
        <w:t>3.2 Vyhodnotenie konzultácií s podnikateľskými subjektmi pred predbežným pripomienkovým konaním</w:t>
      </w:r>
    </w:p>
    <w:p w14:paraId="474AA5B9" w14:textId="77777777" w:rsidR="002732B1" w:rsidRPr="002732B1" w:rsidRDefault="002732B1" w:rsidP="002732B1">
      <w:pPr>
        <w:jc w:val="both"/>
        <w:rPr>
          <w:rFonts w:eastAsia="Calibri"/>
          <w:b/>
          <w:sz w:val="22"/>
          <w:szCs w:val="22"/>
        </w:rPr>
      </w:pPr>
    </w:p>
    <w:p w14:paraId="650BEF12" w14:textId="77777777" w:rsidR="002732B1" w:rsidRPr="002732B1" w:rsidRDefault="002732B1" w:rsidP="002732B1">
      <w:pPr>
        <w:jc w:val="both"/>
        <w:rPr>
          <w:rFonts w:eastAsia="Calibri"/>
          <w:i/>
          <w:iCs/>
          <w:sz w:val="22"/>
          <w:szCs w:val="22"/>
        </w:rPr>
      </w:pPr>
      <w:r w:rsidRPr="002732B1">
        <w:rPr>
          <w:rFonts w:eastAsia="Calibri"/>
          <w:i/>
          <w:iCs/>
          <w:sz w:val="22"/>
          <w:szCs w:val="22"/>
        </w:rPr>
        <w:t xml:space="preserve">Uveďte formu konzultácií vrátane zdôvodnenia jej výberu a trvanie konzultácií, termíny stretnutí. </w:t>
      </w:r>
    </w:p>
    <w:p w14:paraId="15DF7795" w14:textId="77777777" w:rsidR="002732B1" w:rsidRPr="002732B1" w:rsidRDefault="002732B1" w:rsidP="002732B1">
      <w:pPr>
        <w:jc w:val="both"/>
        <w:rPr>
          <w:rFonts w:eastAsia="Calibri"/>
          <w:sz w:val="22"/>
          <w:szCs w:val="22"/>
        </w:rPr>
      </w:pPr>
      <w:r w:rsidRPr="002732B1">
        <w:rPr>
          <w:rFonts w:eastAsia="Calibri"/>
          <w:sz w:val="22"/>
          <w:szCs w:val="22"/>
        </w:rPr>
        <w:t xml:space="preserve">Oznam ku konzultáciám s podnikateľskými subjektmi bol zverejnený  podľa bodu 5 Jednotnej metodiky na posudzovanie vybraných vplyvov na webovom sídle MH SR https://www.economy.gov.sk/podnikatelske-prostredie/jednotna-metodika/prebiehajuce-konzultacie-a-predbezne-informacie v zmysle bodu 5.7 metodiky. </w:t>
      </w:r>
    </w:p>
    <w:p w14:paraId="38FB5423" w14:textId="77777777" w:rsidR="002732B1" w:rsidRPr="002732B1" w:rsidRDefault="002732B1" w:rsidP="002732B1">
      <w:pPr>
        <w:jc w:val="both"/>
        <w:rPr>
          <w:rFonts w:eastAsia="Calibri"/>
          <w:sz w:val="22"/>
          <w:szCs w:val="22"/>
        </w:rPr>
      </w:pPr>
      <w:r w:rsidRPr="002732B1">
        <w:rPr>
          <w:rFonts w:eastAsia="Calibri"/>
          <w:sz w:val="22"/>
          <w:szCs w:val="22"/>
        </w:rPr>
        <w:t xml:space="preserve"> </w:t>
      </w:r>
    </w:p>
    <w:p w14:paraId="1CD7A7B8" w14:textId="77777777" w:rsidR="002732B1" w:rsidRPr="002732B1" w:rsidRDefault="002732B1" w:rsidP="002732B1">
      <w:pPr>
        <w:jc w:val="both"/>
        <w:rPr>
          <w:rFonts w:eastAsia="Calibri"/>
          <w:sz w:val="22"/>
          <w:szCs w:val="22"/>
        </w:rPr>
      </w:pPr>
      <w:r w:rsidRPr="002732B1">
        <w:rPr>
          <w:rFonts w:eastAsia="Calibri"/>
          <w:sz w:val="22"/>
          <w:szCs w:val="22"/>
        </w:rPr>
        <w:t xml:space="preserve">Link na materiál: https://www.slov-lex.sk/legislativne-procesy/SK/PI/2021/109 </w:t>
      </w:r>
    </w:p>
    <w:p w14:paraId="184A11FE" w14:textId="77777777" w:rsidR="002732B1" w:rsidRPr="002732B1" w:rsidRDefault="002732B1" w:rsidP="002732B1">
      <w:pPr>
        <w:jc w:val="both"/>
        <w:rPr>
          <w:rFonts w:eastAsia="Calibri"/>
          <w:sz w:val="22"/>
          <w:szCs w:val="22"/>
        </w:rPr>
      </w:pPr>
      <w:r w:rsidRPr="002732B1">
        <w:rPr>
          <w:rFonts w:eastAsia="Calibri"/>
          <w:sz w:val="22"/>
          <w:szCs w:val="22"/>
        </w:rPr>
        <w:t>Na zverejnený oznam zareagoval Zväz automobilového priemyslu.</w:t>
      </w:r>
    </w:p>
    <w:p w14:paraId="6CA0F013" w14:textId="77777777" w:rsidR="002732B1" w:rsidRPr="002732B1" w:rsidRDefault="002732B1" w:rsidP="002732B1">
      <w:pPr>
        <w:jc w:val="both"/>
        <w:rPr>
          <w:rFonts w:eastAsia="Calibri"/>
          <w:sz w:val="22"/>
          <w:szCs w:val="22"/>
        </w:rPr>
      </w:pPr>
    </w:p>
    <w:p w14:paraId="7526E895" w14:textId="77777777" w:rsidR="002732B1" w:rsidRPr="002732B1" w:rsidRDefault="002732B1" w:rsidP="002732B1">
      <w:pPr>
        <w:jc w:val="both"/>
        <w:rPr>
          <w:rFonts w:eastAsia="Calibri"/>
          <w:sz w:val="22"/>
          <w:szCs w:val="22"/>
        </w:rPr>
      </w:pPr>
      <w:r w:rsidRPr="002732B1">
        <w:rPr>
          <w:rFonts w:eastAsia="Calibri"/>
          <w:sz w:val="22"/>
          <w:szCs w:val="22"/>
        </w:rPr>
        <w:t xml:space="preserve">Návrh na doplnenie oprávnenia pre banky a pobočky zahraničnej banky bol uplatnený Slovenskou bankovou asociáciou a samotný návrh § 35 ods. 3 písm. f), vrátane jeho dopadov, bol konzultovaný  priebežne so Slovenskou bankovou asociáciou, resp. v rámci MPK s Národnou bankou Slovenska ako subjektom dohľadu nad finančným trhom. </w:t>
      </w:r>
    </w:p>
    <w:p w14:paraId="70B59AAE" w14:textId="77777777" w:rsidR="002732B1" w:rsidRPr="002732B1" w:rsidRDefault="002732B1" w:rsidP="002732B1">
      <w:pPr>
        <w:jc w:val="both"/>
        <w:rPr>
          <w:rFonts w:eastAsia="Calibri"/>
          <w:sz w:val="22"/>
          <w:szCs w:val="22"/>
        </w:rPr>
      </w:pPr>
    </w:p>
    <w:p w14:paraId="01FBFD7A" w14:textId="7564868B" w:rsidR="002732B1" w:rsidRDefault="002732B1" w:rsidP="002732B1">
      <w:pPr>
        <w:jc w:val="both"/>
        <w:rPr>
          <w:rFonts w:eastAsia="Calibri"/>
          <w:b/>
          <w:sz w:val="22"/>
          <w:szCs w:val="22"/>
        </w:rPr>
      </w:pPr>
      <w:bookmarkStart w:id="2" w:name="_Hlk47698091"/>
      <w:r w:rsidRPr="002732B1">
        <w:rPr>
          <w:rFonts w:eastAsia="Calibri"/>
          <w:b/>
          <w:sz w:val="22"/>
          <w:szCs w:val="22"/>
        </w:rPr>
        <w:t>3.3 Vplyvy na konkurencieschopnosť a produktivitu</w:t>
      </w:r>
    </w:p>
    <w:p w14:paraId="2C8A7B6F" w14:textId="77777777" w:rsidR="002732B1" w:rsidRPr="002732B1" w:rsidRDefault="002732B1" w:rsidP="002732B1">
      <w:pPr>
        <w:jc w:val="both"/>
        <w:rPr>
          <w:rFonts w:eastAsia="Calibri"/>
          <w:b/>
          <w:sz w:val="22"/>
          <w:szCs w:val="22"/>
        </w:rPr>
      </w:pPr>
    </w:p>
    <w:bookmarkEnd w:id="2"/>
    <w:p w14:paraId="3B37D2F7" w14:textId="77777777" w:rsidR="002732B1" w:rsidRPr="002732B1" w:rsidRDefault="002732B1" w:rsidP="002732B1">
      <w:pPr>
        <w:jc w:val="both"/>
        <w:rPr>
          <w:rFonts w:eastAsia="Calibri"/>
          <w:sz w:val="22"/>
          <w:szCs w:val="22"/>
        </w:rPr>
      </w:pPr>
      <w:r w:rsidRPr="002732B1">
        <w:rPr>
          <w:rFonts w:eastAsia="Calibri"/>
          <w:i/>
          <w:iCs/>
          <w:sz w:val="22"/>
          <w:szCs w:val="22"/>
        </w:rPr>
        <w:lastRenderedPageBreak/>
        <w:t xml:space="preserve">Dochádza k vytvoreniu resp. k zmene bariér na trhu? </w:t>
      </w:r>
      <w:r w:rsidRPr="002732B1">
        <w:rPr>
          <w:rFonts w:eastAsia="Calibri"/>
          <w:sz w:val="22"/>
          <w:szCs w:val="22"/>
        </w:rPr>
        <w:t>Nedochádza.</w:t>
      </w:r>
    </w:p>
    <w:p w14:paraId="67A51690" w14:textId="77777777" w:rsidR="002732B1" w:rsidRPr="002732B1" w:rsidRDefault="002732B1" w:rsidP="002732B1">
      <w:pPr>
        <w:jc w:val="both"/>
        <w:rPr>
          <w:rFonts w:eastAsia="Calibri"/>
          <w:i/>
          <w:iCs/>
          <w:sz w:val="22"/>
          <w:szCs w:val="22"/>
        </w:rPr>
      </w:pPr>
    </w:p>
    <w:p w14:paraId="435F7212" w14:textId="77777777" w:rsidR="002732B1" w:rsidRPr="002732B1" w:rsidRDefault="002732B1" w:rsidP="002732B1">
      <w:pPr>
        <w:jc w:val="both"/>
        <w:rPr>
          <w:rFonts w:eastAsia="Calibri"/>
          <w:sz w:val="22"/>
          <w:szCs w:val="22"/>
        </w:rPr>
      </w:pPr>
      <w:r w:rsidRPr="002732B1">
        <w:rPr>
          <w:rFonts w:eastAsia="Calibri"/>
          <w:i/>
          <w:sz w:val="22"/>
          <w:szCs w:val="22"/>
        </w:rPr>
        <w:t xml:space="preserve">Bude sa s niektorými podnikmi alebo produktmi zaobchádzať v porovnateľnej situácii rôzne (napr. špeciálne režimy pre mikro, malé a stredné podniky tzv. MSP)? </w:t>
      </w:r>
      <w:r w:rsidRPr="002732B1">
        <w:rPr>
          <w:rFonts w:eastAsia="Calibri"/>
          <w:sz w:val="22"/>
          <w:szCs w:val="22"/>
        </w:rPr>
        <w:t>Nie.</w:t>
      </w:r>
    </w:p>
    <w:p w14:paraId="3FA7FBA0" w14:textId="77777777" w:rsidR="002732B1" w:rsidRPr="002732B1" w:rsidRDefault="002732B1" w:rsidP="002732B1">
      <w:pPr>
        <w:jc w:val="both"/>
        <w:rPr>
          <w:rFonts w:eastAsia="Calibri"/>
          <w:i/>
          <w:sz w:val="22"/>
          <w:szCs w:val="22"/>
        </w:rPr>
      </w:pPr>
    </w:p>
    <w:p w14:paraId="2A6CEFDC" w14:textId="77777777" w:rsidR="002732B1" w:rsidRPr="002732B1" w:rsidRDefault="002732B1" w:rsidP="002732B1">
      <w:pPr>
        <w:jc w:val="both"/>
        <w:rPr>
          <w:rFonts w:eastAsia="Calibri"/>
          <w:sz w:val="22"/>
          <w:szCs w:val="22"/>
        </w:rPr>
      </w:pPr>
      <w:r w:rsidRPr="002732B1">
        <w:rPr>
          <w:rFonts w:eastAsia="Calibri"/>
          <w:i/>
          <w:iCs/>
          <w:sz w:val="22"/>
          <w:szCs w:val="22"/>
        </w:rPr>
        <w:t xml:space="preserve">Ovplyvňuje zmena regulácie cezhraničné investície (príliv/odliv zahraničných investícií resp. uplatnenie slovenských podnikov na zahraničných trhoch)? </w:t>
      </w:r>
      <w:r w:rsidRPr="002732B1">
        <w:rPr>
          <w:rFonts w:eastAsia="Calibri"/>
          <w:sz w:val="22"/>
          <w:szCs w:val="22"/>
        </w:rPr>
        <w:t>Nie.</w:t>
      </w:r>
      <w:r w:rsidRPr="002732B1">
        <w:rPr>
          <w:rFonts w:eastAsia="Calibri"/>
          <w:i/>
          <w:iCs/>
          <w:sz w:val="22"/>
          <w:szCs w:val="22"/>
        </w:rPr>
        <w:t xml:space="preserve"> </w:t>
      </w:r>
    </w:p>
    <w:p w14:paraId="303A9062" w14:textId="77777777" w:rsidR="002732B1" w:rsidRPr="002732B1" w:rsidRDefault="002732B1" w:rsidP="002732B1">
      <w:pPr>
        <w:jc w:val="both"/>
        <w:rPr>
          <w:rFonts w:eastAsia="Calibri"/>
          <w:i/>
          <w:iCs/>
          <w:sz w:val="22"/>
          <w:szCs w:val="22"/>
        </w:rPr>
      </w:pPr>
    </w:p>
    <w:p w14:paraId="51C1C1B0" w14:textId="77777777" w:rsidR="002732B1" w:rsidRPr="002732B1" w:rsidRDefault="002732B1" w:rsidP="002732B1">
      <w:pPr>
        <w:jc w:val="both"/>
        <w:rPr>
          <w:rFonts w:eastAsia="Calibri"/>
          <w:sz w:val="22"/>
          <w:szCs w:val="22"/>
        </w:rPr>
      </w:pPr>
      <w:r w:rsidRPr="002732B1">
        <w:rPr>
          <w:rFonts w:eastAsia="Calibri"/>
          <w:i/>
          <w:iCs/>
          <w:sz w:val="22"/>
          <w:szCs w:val="22"/>
        </w:rPr>
        <w:t xml:space="preserve">Ovplyvní dostupnosť základných zdrojov (financie, pracovná sila, suroviny, mechanizmy, energie atď.)? </w:t>
      </w:r>
      <w:r w:rsidRPr="002732B1">
        <w:rPr>
          <w:rFonts w:eastAsia="Calibri"/>
          <w:sz w:val="22"/>
          <w:szCs w:val="22"/>
        </w:rPr>
        <w:t>Nie.</w:t>
      </w:r>
      <w:r w:rsidRPr="002732B1">
        <w:rPr>
          <w:rFonts w:eastAsia="Calibri"/>
          <w:i/>
          <w:iCs/>
          <w:sz w:val="22"/>
          <w:szCs w:val="22"/>
        </w:rPr>
        <w:t xml:space="preserve"> </w:t>
      </w:r>
    </w:p>
    <w:p w14:paraId="11305EB9" w14:textId="77777777" w:rsidR="002732B1" w:rsidRPr="002732B1" w:rsidRDefault="002732B1" w:rsidP="002732B1">
      <w:pPr>
        <w:jc w:val="both"/>
        <w:rPr>
          <w:rFonts w:eastAsia="Calibri"/>
          <w:i/>
          <w:iCs/>
          <w:sz w:val="22"/>
          <w:szCs w:val="22"/>
        </w:rPr>
      </w:pPr>
    </w:p>
    <w:p w14:paraId="07AE9443" w14:textId="77777777" w:rsidR="002732B1" w:rsidRPr="002732B1" w:rsidRDefault="002732B1" w:rsidP="002732B1">
      <w:pPr>
        <w:jc w:val="both"/>
        <w:rPr>
          <w:rFonts w:eastAsia="Calibri"/>
          <w:sz w:val="22"/>
          <w:szCs w:val="22"/>
        </w:rPr>
      </w:pPr>
      <w:r w:rsidRPr="002732B1">
        <w:rPr>
          <w:rFonts w:eastAsia="Calibri"/>
          <w:i/>
          <w:iCs/>
          <w:sz w:val="22"/>
          <w:szCs w:val="22"/>
        </w:rPr>
        <w:t>Ovplyvňuje zmena regulácie inovácie, vedu a výskum?</w:t>
      </w:r>
      <w:r w:rsidRPr="002732B1">
        <w:rPr>
          <w:rFonts w:eastAsia="Calibri"/>
          <w:sz w:val="22"/>
          <w:szCs w:val="22"/>
        </w:rPr>
        <w:t xml:space="preserve"> Nie.</w:t>
      </w:r>
      <w:r w:rsidRPr="002732B1">
        <w:rPr>
          <w:rFonts w:eastAsia="Calibri"/>
          <w:i/>
          <w:iCs/>
          <w:sz w:val="22"/>
          <w:szCs w:val="22"/>
        </w:rPr>
        <w:t xml:space="preserve"> </w:t>
      </w:r>
    </w:p>
    <w:p w14:paraId="4F7A7288" w14:textId="77777777" w:rsidR="002732B1" w:rsidRPr="002732B1" w:rsidRDefault="002732B1" w:rsidP="002732B1">
      <w:pPr>
        <w:jc w:val="both"/>
        <w:rPr>
          <w:rFonts w:eastAsia="Calibri"/>
          <w:i/>
          <w:iCs/>
          <w:sz w:val="22"/>
          <w:szCs w:val="22"/>
        </w:rPr>
      </w:pPr>
    </w:p>
    <w:p w14:paraId="27889AFB" w14:textId="77777777" w:rsidR="002732B1" w:rsidRPr="002732B1" w:rsidRDefault="002732B1" w:rsidP="002732B1">
      <w:pPr>
        <w:jc w:val="both"/>
        <w:rPr>
          <w:rFonts w:eastAsia="Calibri"/>
          <w:sz w:val="22"/>
          <w:szCs w:val="22"/>
        </w:rPr>
      </w:pPr>
      <w:r w:rsidRPr="002732B1">
        <w:rPr>
          <w:rFonts w:eastAsia="Calibri"/>
          <w:i/>
          <w:iCs/>
          <w:sz w:val="22"/>
          <w:szCs w:val="22"/>
        </w:rPr>
        <w:t>Ako prispieva zmena regulácie k cieľu Slovenska mať najlepšie podnikateľské prostredie spomedzi susediacich krajín EÚ?</w:t>
      </w:r>
      <w:r w:rsidRPr="002732B1">
        <w:rPr>
          <w:rFonts w:eastAsia="Calibri"/>
          <w:sz w:val="22"/>
          <w:szCs w:val="22"/>
        </w:rPr>
        <w:t xml:space="preserve"> Má pozitívny vplyv na podnikateľské prostredie.</w:t>
      </w:r>
    </w:p>
    <w:p w14:paraId="3EAE6547" w14:textId="77777777" w:rsidR="002732B1" w:rsidRPr="002732B1" w:rsidRDefault="002732B1" w:rsidP="002732B1">
      <w:pPr>
        <w:jc w:val="both"/>
        <w:rPr>
          <w:rFonts w:eastAsia="Calibri"/>
          <w:i/>
          <w:iCs/>
          <w:sz w:val="22"/>
          <w:szCs w:val="22"/>
        </w:rPr>
      </w:pPr>
    </w:p>
    <w:p w14:paraId="43702351" w14:textId="77777777" w:rsidR="002732B1" w:rsidRPr="002732B1" w:rsidRDefault="002732B1" w:rsidP="002732B1">
      <w:pPr>
        <w:jc w:val="both"/>
        <w:rPr>
          <w:rFonts w:eastAsia="Calibri"/>
          <w:b/>
          <w:i/>
          <w:sz w:val="22"/>
          <w:szCs w:val="22"/>
        </w:rPr>
      </w:pPr>
      <w:r w:rsidRPr="002732B1">
        <w:rPr>
          <w:rFonts w:eastAsia="Calibri"/>
          <w:b/>
          <w:i/>
          <w:sz w:val="22"/>
          <w:szCs w:val="22"/>
        </w:rPr>
        <w:t>Konkurencieschopnosť:</w:t>
      </w:r>
    </w:p>
    <w:p w14:paraId="4007C20D" w14:textId="77777777" w:rsidR="002732B1" w:rsidRPr="002732B1" w:rsidRDefault="002732B1" w:rsidP="002732B1">
      <w:pPr>
        <w:jc w:val="both"/>
        <w:rPr>
          <w:rFonts w:eastAsia="Calibri"/>
          <w:i/>
          <w:sz w:val="22"/>
          <w:szCs w:val="22"/>
        </w:rPr>
      </w:pPr>
      <w:r w:rsidRPr="002732B1">
        <w:rPr>
          <w:rFonts w:eastAsia="Calibri"/>
          <w:i/>
          <w:sz w:val="22"/>
          <w:szCs w:val="22"/>
        </w:rPr>
        <w:t>Na základe uvedených odpovedí zaškrtnite a popíšte, či materiál konkurencieschopnosť:</w:t>
      </w:r>
    </w:p>
    <w:p w14:paraId="04AC4E95" w14:textId="77777777" w:rsidR="002732B1" w:rsidRPr="002732B1" w:rsidRDefault="00BA67E8" w:rsidP="002732B1">
      <w:pPr>
        <w:jc w:val="both"/>
        <w:rPr>
          <w:rFonts w:eastAsia="Calibri"/>
          <w:i/>
          <w:iCs/>
          <w:sz w:val="22"/>
          <w:szCs w:val="22"/>
        </w:rPr>
      </w:pPr>
      <w:sdt>
        <w:sdtPr>
          <w:rPr>
            <w:rFonts w:eastAsia="Calibri"/>
            <w:i/>
            <w:iCs/>
            <w:sz w:val="22"/>
            <w:szCs w:val="22"/>
          </w:rPr>
          <w:id w:val="360496093"/>
          <w:placeholder>
            <w:docPart w:val="57B7D571534C448FA7890A01D0E6837D"/>
          </w:placeholder>
        </w:sdtPr>
        <w:sdtEndPr/>
        <w:sdtContent>
          <w:sdt>
            <w:sdtPr>
              <w:rPr>
                <w:rFonts w:eastAsia="Calibri"/>
                <w:i/>
                <w:iCs/>
                <w:sz w:val="22"/>
                <w:szCs w:val="22"/>
              </w:rPr>
              <w:id w:val="656789221"/>
              <w:placeholder>
                <w:docPart w:val="57B7D571534C448FA7890A01D0E6837D"/>
              </w:placeholder>
            </w:sdtPr>
            <w:sdtEndPr/>
            <w:sdtContent>
              <w:r w:rsidR="002732B1" w:rsidRPr="002732B1">
                <w:rPr>
                  <w:rFonts w:ascii="Segoe UI Symbol" w:eastAsia="Calibri" w:hAnsi="Segoe UI Symbol" w:cs="Segoe UI Symbol"/>
                  <w:i/>
                  <w:iCs/>
                  <w:sz w:val="22"/>
                  <w:szCs w:val="22"/>
                </w:rPr>
                <w:t>☐</w:t>
              </w:r>
            </w:sdtContent>
          </w:sdt>
        </w:sdtContent>
      </w:sdt>
      <w:r w:rsidR="002732B1" w:rsidRPr="002732B1">
        <w:rPr>
          <w:rFonts w:eastAsia="Calibri"/>
          <w:i/>
          <w:iCs/>
          <w:sz w:val="22"/>
          <w:szCs w:val="22"/>
        </w:rPr>
        <w:t xml:space="preserve"> zvyšuje  </w:t>
      </w:r>
      <w:r w:rsidR="002732B1" w:rsidRPr="002732B1">
        <w:rPr>
          <w:sz w:val="22"/>
          <w:szCs w:val="22"/>
        </w:rPr>
        <w:tab/>
      </w:r>
      <w:sdt>
        <w:sdtPr>
          <w:rPr>
            <w:rFonts w:eastAsia="Calibri"/>
            <w:i/>
            <w:iCs/>
            <w:sz w:val="22"/>
            <w:szCs w:val="22"/>
          </w:rPr>
          <w:id w:val="687079953"/>
          <w:placeholder>
            <w:docPart w:val="57B7D571534C448FA7890A01D0E6837D"/>
          </w:placeholder>
        </w:sdtPr>
        <w:sdtEndPr/>
        <w:sdtContent>
          <w:sdt>
            <w:sdtPr>
              <w:rPr>
                <w:rFonts w:eastAsia="Calibri"/>
                <w:i/>
                <w:iCs/>
                <w:sz w:val="22"/>
                <w:szCs w:val="22"/>
              </w:rPr>
              <w:id w:val="1490920999"/>
              <w:placeholder>
                <w:docPart w:val="57B7D571534C448FA7890A01D0E6837D"/>
              </w:placeholder>
            </w:sdtPr>
            <w:sdtEndPr/>
            <w:sdtContent>
              <w:r w:rsidR="002732B1" w:rsidRPr="002732B1">
                <w:rPr>
                  <w:rFonts w:eastAsia="Calibri"/>
                  <w:i/>
                  <w:iCs/>
                  <w:sz w:val="22"/>
                  <w:szCs w:val="22"/>
                </w:rPr>
                <w:t>x</w:t>
              </w:r>
            </w:sdtContent>
          </w:sdt>
        </w:sdtContent>
      </w:sdt>
      <w:r w:rsidR="002732B1" w:rsidRPr="002732B1">
        <w:rPr>
          <w:rFonts w:eastAsia="Calibri"/>
          <w:i/>
          <w:iCs/>
          <w:sz w:val="22"/>
          <w:szCs w:val="22"/>
        </w:rPr>
        <w:t xml:space="preserve"> nemení</w:t>
      </w:r>
      <w:r w:rsidR="002732B1" w:rsidRPr="002732B1">
        <w:rPr>
          <w:sz w:val="22"/>
          <w:szCs w:val="22"/>
        </w:rPr>
        <w:tab/>
      </w:r>
      <w:sdt>
        <w:sdtPr>
          <w:rPr>
            <w:rFonts w:eastAsia="Calibri"/>
            <w:i/>
            <w:iCs/>
            <w:sz w:val="22"/>
            <w:szCs w:val="22"/>
          </w:rPr>
          <w:id w:val="66749906"/>
          <w:placeholder>
            <w:docPart w:val="57B7D571534C448FA7890A01D0E6837D"/>
          </w:placeholder>
        </w:sdtPr>
        <w:sdtEndPr/>
        <w:sdtContent>
          <w:sdt>
            <w:sdtPr>
              <w:rPr>
                <w:rFonts w:eastAsia="Calibri"/>
                <w:i/>
                <w:iCs/>
                <w:sz w:val="22"/>
                <w:szCs w:val="22"/>
              </w:rPr>
              <w:id w:val="2143597055"/>
              <w:placeholder>
                <w:docPart w:val="57B7D571534C448FA7890A01D0E6837D"/>
              </w:placeholder>
            </w:sdtPr>
            <w:sdtEndPr/>
            <w:sdtContent>
              <w:r w:rsidR="002732B1" w:rsidRPr="002732B1">
                <w:rPr>
                  <w:rFonts w:ascii="Segoe UI Symbol" w:eastAsia="Calibri" w:hAnsi="Segoe UI Symbol" w:cs="Segoe UI Symbol"/>
                  <w:i/>
                  <w:iCs/>
                  <w:sz w:val="22"/>
                  <w:szCs w:val="22"/>
                </w:rPr>
                <w:t>☐</w:t>
              </w:r>
            </w:sdtContent>
          </w:sdt>
        </w:sdtContent>
      </w:sdt>
      <w:r w:rsidR="002732B1" w:rsidRPr="002732B1">
        <w:rPr>
          <w:rFonts w:eastAsia="Calibri"/>
          <w:i/>
          <w:iCs/>
          <w:sz w:val="22"/>
          <w:szCs w:val="22"/>
        </w:rPr>
        <w:t xml:space="preserve"> znižuje</w:t>
      </w:r>
    </w:p>
    <w:p w14:paraId="614F6625" w14:textId="77777777" w:rsidR="002732B1" w:rsidRPr="002732B1" w:rsidRDefault="002732B1" w:rsidP="002732B1">
      <w:pPr>
        <w:jc w:val="both"/>
        <w:rPr>
          <w:rFonts w:eastAsia="Calibri"/>
          <w:i/>
          <w:sz w:val="22"/>
          <w:szCs w:val="22"/>
        </w:rPr>
      </w:pPr>
    </w:p>
    <w:p w14:paraId="3E0E863D" w14:textId="77777777" w:rsidR="002732B1" w:rsidRPr="002732B1" w:rsidRDefault="002732B1" w:rsidP="002732B1">
      <w:pPr>
        <w:jc w:val="both"/>
        <w:rPr>
          <w:rFonts w:eastAsia="Calibri"/>
          <w:b/>
          <w:i/>
          <w:sz w:val="22"/>
          <w:szCs w:val="22"/>
        </w:rPr>
      </w:pPr>
      <w:r w:rsidRPr="002732B1">
        <w:rPr>
          <w:rFonts w:eastAsia="Calibri"/>
          <w:b/>
          <w:i/>
          <w:sz w:val="22"/>
          <w:szCs w:val="22"/>
        </w:rPr>
        <w:t>Produktivita:</w:t>
      </w:r>
    </w:p>
    <w:p w14:paraId="4E40A21C" w14:textId="77777777" w:rsidR="002732B1" w:rsidRPr="002732B1" w:rsidRDefault="002732B1" w:rsidP="002732B1">
      <w:pPr>
        <w:jc w:val="both"/>
        <w:rPr>
          <w:rFonts w:eastAsia="Calibri"/>
          <w:i/>
          <w:sz w:val="22"/>
          <w:szCs w:val="22"/>
        </w:rPr>
      </w:pPr>
      <w:r w:rsidRPr="002732B1">
        <w:rPr>
          <w:rFonts w:eastAsia="Calibri"/>
          <w:i/>
          <w:sz w:val="22"/>
          <w:szCs w:val="22"/>
        </w:rPr>
        <w:t xml:space="preserve">Aký má materiál vplyv na zmenu pomeru medzi produkciou podnikov a ich nákladmi? </w:t>
      </w:r>
    </w:p>
    <w:p w14:paraId="2097DEBF" w14:textId="77777777" w:rsidR="002732B1" w:rsidRPr="002732B1" w:rsidRDefault="002732B1" w:rsidP="002732B1">
      <w:pPr>
        <w:jc w:val="both"/>
        <w:rPr>
          <w:rFonts w:eastAsia="Calibri"/>
          <w:i/>
          <w:sz w:val="22"/>
          <w:szCs w:val="22"/>
        </w:rPr>
      </w:pPr>
    </w:p>
    <w:p w14:paraId="7D48FF4E" w14:textId="77777777" w:rsidR="002732B1" w:rsidRPr="002732B1" w:rsidRDefault="002732B1" w:rsidP="002732B1">
      <w:pPr>
        <w:jc w:val="both"/>
        <w:rPr>
          <w:rFonts w:eastAsia="Calibri"/>
          <w:i/>
          <w:sz w:val="22"/>
          <w:szCs w:val="22"/>
        </w:rPr>
      </w:pPr>
      <w:r w:rsidRPr="002732B1">
        <w:rPr>
          <w:rFonts w:eastAsia="Calibri"/>
          <w:i/>
          <w:sz w:val="22"/>
          <w:szCs w:val="22"/>
        </w:rPr>
        <w:t>Na základe uvedenej odpovede zaškrtnite a popíšte, či materiál produktivitu:</w:t>
      </w:r>
    </w:p>
    <w:p w14:paraId="74773CD5" w14:textId="77777777" w:rsidR="002732B1" w:rsidRPr="002732B1" w:rsidRDefault="00BA67E8" w:rsidP="002732B1">
      <w:pPr>
        <w:jc w:val="both"/>
        <w:rPr>
          <w:rFonts w:eastAsia="Calibri"/>
          <w:i/>
          <w:iCs/>
          <w:sz w:val="22"/>
          <w:szCs w:val="22"/>
        </w:rPr>
      </w:pPr>
      <w:sdt>
        <w:sdtPr>
          <w:rPr>
            <w:rFonts w:eastAsia="Calibri"/>
            <w:i/>
            <w:iCs/>
            <w:sz w:val="22"/>
            <w:szCs w:val="22"/>
          </w:rPr>
          <w:id w:val="1550825981"/>
          <w:placeholder>
            <w:docPart w:val="57B7D571534C448FA7890A01D0E6837D"/>
          </w:placeholder>
        </w:sdtPr>
        <w:sdtEndPr/>
        <w:sdtContent>
          <w:sdt>
            <w:sdtPr>
              <w:rPr>
                <w:rFonts w:eastAsia="Calibri"/>
                <w:i/>
                <w:iCs/>
                <w:sz w:val="22"/>
                <w:szCs w:val="22"/>
              </w:rPr>
              <w:id w:val="249401435"/>
              <w:placeholder>
                <w:docPart w:val="57B7D571534C448FA7890A01D0E6837D"/>
              </w:placeholder>
            </w:sdtPr>
            <w:sdtEndPr/>
            <w:sdtContent>
              <w:r w:rsidR="002732B1" w:rsidRPr="002732B1">
                <w:rPr>
                  <w:rFonts w:ascii="Segoe UI Symbol" w:eastAsia="Calibri" w:hAnsi="Segoe UI Symbol" w:cs="Segoe UI Symbol"/>
                  <w:i/>
                  <w:iCs/>
                  <w:sz w:val="22"/>
                  <w:szCs w:val="22"/>
                </w:rPr>
                <w:t>☐</w:t>
              </w:r>
            </w:sdtContent>
          </w:sdt>
        </w:sdtContent>
      </w:sdt>
      <w:r w:rsidR="002732B1" w:rsidRPr="002732B1">
        <w:rPr>
          <w:rFonts w:eastAsia="Calibri"/>
          <w:i/>
          <w:iCs/>
          <w:sz w:val="22"/>
          <w:szCs w:val="22"/>
        </w:rPr>
        <w:t xml:space="preserve"> zvyšuje  </w:t>
      </w:r>
      <w:r w:rsidR="002732B1" w:rsidRPr="002732B1">
        <w:rPr>
          <w:sz w:val="22"/>
          <w:szCs w:val="22"/>
        </w:rPr>
        <w:tab/>
      </w:r>
      <w:sdt>
        <w:sdtPr>
          <w:rPr>
            <w:rFonts w:eastAsia="Calibri"/>
            <w:i/>
            <w:iCs/>
            <w:sz w:val="22"/>
            <w:szCs w:val="22"/>
          </w:rPr>
          <w:id w:val="1137445817"/>
          <w:placeholder>
            <w:docPart w:val="57B7D571534C448FA7890A01D0E6837D"/>
          </w:placeholder>
        </w:sdtPr>
        <w:sdtEndPr/>
        <w:sdtContent>
          <w:sdt>
            <w:sdtPr>
              <w:rPr>
                <w:rFonts w:eastAsia="Calibri"/>
                <w:i/>
                <w:iCs/>
                <w:sz w:val="22"/>
                <w:szCs w:val="22"/>
              </w:rPr>
              <w:id w:val="1698440441"/>
              <w:placeholder>
                <w:docPart w:val="57B7D571534C448FA7890A01D0E6837D"/>
              </w:placeholder>
            </w:sdtPr>
            <w:sdtEndPr/>
            <w:sdtContent>
              <w:r w:rsidR="002732B1" w:rsidRPr="002732B1">
                <w:rPr>
                  <w:rFonts w:eastAsia="Calibri"/>
                  <w:i/>
                  <w:iCs/>
                  <w:sz w:val="22"/>
                  <w:szCs w:val="22"/>
                </w:rPr>
                <w:t>x</w:t>
              </w:r>
            </w:sdtContent>
          </w:sdt>
        </w:sdtContent>
      </w:sdt>
      <w:r w:rsidR="002732B1" w:rsidRPr="002732B1">
        <w:rPr>
          <w:rFonts w:eastAsia="Calibri"/>
          <w:i/>
          <w:iCs/>
          <w:sz w:val="22"/>
          <w:szCs w:val="22"/>
        </w:rPr>
        <w:t xml:space="preserve"> nemení</w:t>
      </w:r>
      <w:r w:rsidR="002732B1" w:rsidRPr="002732B1">
        <w:rPr>
          <w:sz w:val="22"/>
          <w:szCs w:val="22"/>
        </w:rPr>
        <w:tab/>
      </w:r>
      <w:sdt>
        <w:sdtPr>
          <w:rPr>
            <w:rFonts w:eastAsia="Calibri"/>
            <w:i/>
            <w:iCs/>
            <w:sz w:val="22"/>
            <w:szCs w:val="22"/>
          </w:rPr>
          <w:id w:val="615113321"/>
          <w:placeholder>
            <w:docPart w:val="57B7D571534C448FA7890A01D0E6837D"/>
          </w:placeholder>
        </w:sdtPr>
        <w:sdtEndPr/>
        <w:sdtContent>
          <w:sdt>
            <w:sdtPr>
              <w:rPr>
                <w:rFonts w:eastAsia="Calibri"/>
                <w:i/>
                <w:iCs/>
                <w:sz w:val="22"/>
                <w:szCs w:val="22"/>
              </w:rPr>
              <w:id w:val="1755346714"/>
              <w:placeholder>
                <w:docPart w:val="57B7D571534C448FA7890A01D0E6837D"/>
              </w:placeholder>
            </w:sdtPr>
            <w:sdtEndPr/>
            <w:sdtContent>
              <w:r w:rsidR="002732B1" w:rsidRPr="002732B1">
                <w:rPr>
                  <w:rFonts w:ascii="Segoe UI Symbol" w:eastAsia="Calibri" w:hAnsi="Segoe UI Symbol" w:cs="Segoe UI Symbol"/>
                  <w:i/>
                  <w:iCs/>
                  <w:sz w:val="22"/>
                  <w:szCs w:val="22"/>
                </w:rPr>
                <w:t>☐</w:t>
              </w:r>
            </w:sdtContent>
          </w:sdt>
        </w:sdtContent>
      </w:sdt>
      <w:r w:rsidR="002732B1" w:rsidRPr="002732B1">
        <w:rPr>
          <w:rFonts w:eastAsia="Calibri"/>
          <w:i/>
          <w:iCs/>
          <w:sz w:val="22"/>
          <w:szCs w:val="22"/>
        </w:rPr>
        <w:t xml:space="preserve"> znižuje</w:t>
      </w:r>
    </w:p>
    <w:p w14:paraId="1D65ADFE" w14:textId="77777777" w:rsidR="002732B1" w:rsidRPr="002732B1" w:rsidRDefault="002732B1" w:rsidP="002732B1">
      <w:pPr>
        <w:jc w:val="both"/>
        <w:rPr>
          <w:rFonts w:eastAsia="Calibri"/>
          <w:i/>
          <w:sz w:val="22"/>
          <w:szCs w:val="22"/>
        </w:rPr>
      </w:pPr>
    </w:p>
    <w:p w14:paraId="60D0B16D" w14:textId="77777777" w:rsidR="002732B1" w:rsidRPr="002732B1" w:rsidRDefault="002732B1" w:rsidP="002732B1">
      <w:pPr>
        <w:jc w:val="both"/>
        <w:rPr>
          <w:rFonts w:eastAsia="Calibri"/>
          <w:i/>
          <w:sz w:val="22"/>
          <w:szCs w:val="22"/>
        </w:rPr>
      </w:pPr>
    </w:p>
    <w:p w14:paraId="41339FBA" w14:textId="408338E2" w:rsidR="002732B1" w:rsidRDefault="002732B1" w:rsidP="002732B1">
      <w:pPr>
        <w:jc w:val="both"/>
        <w:rPr>
          <w:rFonts w:eastAsia="Calibri"/>
          <w:b/>
          <w:sz w:val="22"/>
          <w:szCs w:val="22"/>
        </w:rPr>
      </w:pPr>
      <w:r w:rsidRPr="002732B1">
        <w:rPr>
          <w:rFonts w:eastAsia="Calibri"/>
          <w:b/>
          <w:sz w:val="22"/>
          <w:szCs w:val="22"/>
        </w:rPr>
        <w:t xml:space="preserve">3.4  Iné vplyvy na podnikateľské prostredie </w:t>
      </w:r>
    </w:p>
    <w:p w14:paraId="052A0F6C" w14:textId="77777777" w:rsidR="002732B1" w:rsidRPr="002732B1" w:rsidRDefault="002732B1" w:rsidP="002732B1">
      <w:pPr>
        <w:jc w:val="both"/>
        <w:rPr>
          <w:rFonts w:eastAsia="Calibri"/>
          <w:b/>
          <w:sz w:val="22"/>
          <w:szCs w:val="22"/>
        </w:rPr>
      </w:pPr>
    </w:p>
    <w:p w14:paraId="74838972" w14:textId="77777777" w:rsidR="002732B1" w:rsidRPr="002732B1" w:rsidRDefault="002732B1" w:rsidP="002732B1">
      <w:pPr>
        <w:jc w:val="both"/>
        <w:rPr>
          <w:rFonts w:eastAsia="Calibri"/>
          <w:i/>
          <w:sz w:val="22"/>
          <w:szCs w:val="22"/>
        </w:rPr>
      </w:pPr>
      <w:r w:rsidRPr="002732B1">
        <w:rPr>
          <w:rFonts w:eastAsia="Calibri"/>
          <w:i/>
          <w:sz w:val="22"/>
          <w:szCs w:val="22"/>
        </w:rPr>
        <w:t xml:space="preserve">Ak má materiál vplyvy na PP, ktoré nemožno zaradiť do predchádzajúcich častí, či už pozitívne alebo negatívne, tu ich uveďte.  Patria sem: </w:t>
      </w:r>
    </w:p>
    <w:p w14:paraId="753CC350" w14:textId="77777777" w:rsidR="002732B1" w:rsidRPr="002732B1" w:rsidRDefault="002732B1" w:rsidP="002732B1">
      <w:pPr>
        <w:pStyle w:val="Odsekzoznamu"/>
        <w:numPr>
          <w:ilvl w:val="0"/>
          <w:numId w:val="10"/>
        </w:numPr>
        <w:spacing w:after="0" w:line="254" w:lineRule="auto"/>
        <w:jc w:val="both"/>
        <w:rPr>
          <w:rFonts w:ascii="Times New Roman" w:hAnsi="Times New Roman"/>
          <w:i/>
        </w:rPr>
      </w:pPr>
      <w:r w:rsidRPr="002732B1">
        <w:rPr>
          <w:rFonts w:ascii="Times New Roman" w:hAnsi="Times New Roman"/>
          <w:i/>
        </w:rPr>
        <w:t>sankcie alebo pokuty, ako dôsledok porušenia právne záväzných ustanovení;</w:t>
      </w:r>
    </w:p>
    <w:p w14:paraId="371DB94B" w14:textId="77777777" w:rsidR="002732B1" w:rsidRPr="002732B1" w:rsidRDefault="002732B1" w:rsidP="002732B1">
      <w:pPr>
        <w:pStyle w:val="Odsekzoznamu"/>
        <w:numPr>
          <w:ilvl w:val="0"/>
          <w:numId w:val="10"/>
        </w:numPr>
        <w:spacing w:after="0" w:line="254" w:lineRule="auto"/>
        <w:jc w:val="both"/>
        <w:rPr>
          <w:rFonts w:ascii="Times New Roman" w:hAnsi="Times New Roman"/>
          <w:i/>
        </w:rPr>
      </w:pPr>
      <w:r w:rsidRPr="002732B1">
        <w:rPr>
          <w:rFonts w:ascii="Times New Roman" w:hAnsi="Times New Roman"/>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0A5A3503" w14:textId="77777777" w:rsidR="002732B1" w:rsidRPr="002732B1" w:rsidRDefault="002732B1" w:rsidP="002732B1">
      <w:pPr>
        <w:pStyle w:val="Odsekzoznamu"/>
        <w:numPr>
          <w:ilvl w:val="0"/>
          <w:numId w:val="10"/>
        </w:numPr>
        <w:spacing w:after="0" w:line="254" w:lineRule="auto"/>
        <w:jc w:val="both"/>
        <w:rPr>
          <w:rFonts w:ascii="Times New Roman" w:hAnsi="Times New Roman"/>
          <w:i/>
        </w:rPr>
      </w:pPr>
      <w:r w:rsidRPr="002732B1">
        <w:rPr>
          <w:rFonts w:ascii="Times New Roman" w:hAnsi="Times New Roman"/>
          <w:i/>
        </w:rPr>
        <w:t>regulované ceny podľa zákona č. 18/1996 Z. z. o cenách;</w:t>
      </w:r>
    </w:p>
    <w:p w14:paraId="41B0617F" w14:textId="77777777" w:rsidR="002732B1" w:rsidRPr="002732B1" w:rsidRDefault="002732B1" w:rsidP="002732B1">
      <w:pPr>
        <w:pStyle w:val="Odsekzoznamu"/>
        <w:numPr>
          <w:ilvl w:val="0"/>
          <w:numId w:val="10"/>
        </w:numPr>
        <w:spacing w:after="0" w:line="254" w:lineRule="auto"/>
        <w:jc w:val="both"/>
        <w:rPr>
          <w:rFonts w:ascii="Times New Roman" w:hAnsi="Times New Roman"/>
          <w:i/>
        </w:rPr>
      </w:pPr>
      <w:r w:rsidRPr="002732B1">
        <w:rPr>
          <w:rFonts w:ascii="Times New Roman" w:hAnsi="Times New Roman"/>
          <w:i/>
        </w:rPr>
        <w:t xml:space="preserve">iné vplyvy, ktoré predpokladá materiál, ale nemožno ich zaradiť do častí 3.1 a 3.3. </w:t>
      </w:r>
    </w:p>
    <w:p w14:paraId="269921D3" w14:textId="77777777" w:rsidR="002732B1" w:rsidRPr="002732B1" w:rsidRDefault="002732B1" w:rsidP="002732B1">
      <w:pPr>
        <w:jc w:val="both"/>
        <w:rPr>
          <w:rFonts w:eastAsia="Calibri"/>
          <w:i/>
          <w:color w:val="0070C0"/>
          <w:sz w:val="22"/>
          <w:szCs w:val="22"/>
        </w:rPr>
      </w:pPr>
    </w:p>
    <w:p w14:paraId="5BB36994" w14:textId="77777777" w:rsidR="002732B1" w:rsidRPr="002732B1" w:rsidRDefault="002732B1" w:rsidP="002732B1">
      <w:pPr>
        <w:jc w:val="both"/>
        <w:rPr>
          <w:rFonts w:eastAsia="Calibri"/>
          <w:sz w:val="22"/>
          <w:szCs w:val="22"/>
        </w:rPr>
      </w:pPr>
      <w:r w:rsidRPr="002732B1">
        <w:rPr>
          <w:rFonts w:eastAsia="Calibri"/>
          <w:sz w:val="22"/>
          <w:szCs w:val="22"/>
        </w:rPr>
        <w:t>Podľa § 35 ods. 3 zákona o e-Governmente je osobou oprávnenou vykonávať zaručenú konverziu</w:t>
      </w:r>
    </w:p>
    <w:p w14:paraId="0CE62903" w14:textId="77777777" w:rsidR="002732B1" w:rsidRPr="002732B1" w:rsidRDefault="002732B1" w:rsidP="002732B1">
      <w:pPr>
        <w:jc w:val="both"/>
        <w:rPr>
          <w:rFonts w:eastAsia="Calibri"/>
          <w:sz w:val="22"/>
          <w:szCs w:val="22"/>
        </w:rPr>
      </w:pPr>
      <w:r w:rsidRPr="002732B1">
        <w:rPr>
          <w:rFonts w:eastAsia="Calibri"/>
          <w:sz w:val="22"/>
          <w:szCs w:val="22"/>
        </w:rPr>
        <w:t>a) orgán verejnej moci, advokát a notár,</w:t>
      </w:r>
    </w:p>
    <w:p w14:paraId="74C00E2F" w14:textId="77777777" w:rsidR="002732B1" w:rsidRPr="002732B1" w:rsidRDefault="002732B1" w:rsidP="002732B1">
      <w:pPr>
        <w:ind w:left="284" w:hanging="284"/>
        <w:jc w:val="both"/>
        <w:rPr>
          <w:rFonts w:eastAsia="Calibri"/>
          <w:sz w:val="22"/>
          <w:szCs w:val="22"/>
        </w:rPr>
      </w:pPr>
      <w:r w:rsidRPr="002732B1">
        <w:rPr>
          <w:rFonts w:eastAsia="Calibri"/>
          <w:sz w:val="22"/>
          <w:szCs w:val="22"/>
        </w:rPr>
        <w:t>b) poštový podnik poskytujúci univerzálnu službu, ak je prevádzkovateľom integrovaného obslužného miesta,</w:t>
      </w:r>
    </w:p>
    <w:p w14:paraId="06ED26D3" w14:textId="77777777" w:rsidR="002732B1" w:rsidRPr="002732B1" w:rsidRDefault="002732B1" w:rsidP="002732B1">
      <w:pPr>
        <w:jc w:val="both"/>
        <w:rPr>
          <w:rFonts w:eastAsia="Calibri"/>
          <w:sz w:val="22"/>
          <w:szCs w:val="22"/>
        </w:rPr>
      </w:pPr>
      <w:r w:rsidRPr="002732B1">
        <w:rPr>
          <w:rFonts w:eastAsia="Calibri"/>
          <w:sz w:val="22"/>
          <w:szCs w:val="22"/>
        </w:rPr>
        <w:t>c) patentový zástupca, ak nejde o konverziu verejnej listiny, a</w:t>
      </w:r>
    </w:p>
    <w:p w14:paraId="52F728F8" w14:textId="77777777" w:rsidR="002732B1" w:rsidRPr="002732B1" w:rsidRDefault="002732B1" w:rsidP="002732B1">
      <w:pPr>
        <w:ind w:left="284" w:hanging="284"/>
        <w:jc w:val="both"/>
        <w:rPr>
          <w:rFonts w:eastAsia="Calibri"/>
          <w:sz w:val="22"/>
          <w:szCs w:val="22"/>
        </w:rPr>
      </w:pPr>
      <w:r w:rsidRPr="002732B1">
        <w:rPr>
          <w:rFonts w:eastAsia="Calibri"/>
          <w:sz w:val="22"/>
          <w:szCs w:val="22"/>
        </w:rPr>
        <w:t>d) právnická osoba so 100-percentnou majetkovou účasťou štátu, ktorej predmetom podnikania je konsolidácia pohľadávok verejného sektora podľa osobitného predpisu,20e) ak ide o zaručenú konverziu dokumentov týkajúcich sa pohľadávok, ktoré podľa osobitného predpisu20e) nadobudla a ktoré ako poverená osoba podľa osobitného predpisu20e) konsoliduje,</w:t>
      </w:r>
    </w:p>
    <w:p w14:paraId="6EEB9466" w14:textId="11FC41E1" w:rsidR="002732B1" w:rsidRDefault="002732B1" w:rsidP="002732B1">
      <w:pPr>
        <w:ind w:left="284" w:hanging="284"/>
        <w:jc w:val="both"/>
        <w:rPr>
          <w:rFonts w:eastAsia="Calibri"/>
          <w:sz w:val="22"/>
          <w:szCs w:val="22"/>
        </w:rPr>
      </w:pPr>
      <w:r w:rsidRPr="002732B1">
        <w:rPr>
          <w:rFonts w:eastAsia="Calibri"/>
          <w:sz w:val="22"/>
          <w:szCs w:val="22"/>
        </w:rPr>
        <w:t>e) Slovenský pozemkový fond, ak ide o zaručenú konverziu dokumentov pre vlastnú potrebu na účely výkonu jeho činnosti podľa osobitných predpisov.21b)</w:t>
      </w:r>
    </w:p>
    <w:p w14:paraId="15781FE5" w14:textId="77777777" w:rsidR="002732B1" w:rsidRPr="002732B1" w:rsidRDefault="002732B1" w:rsidP="002732B1">
      <w:pPr>
        <w:ind w:left="284" w:hanging="284"/>
        <w:jc w:val="both"/>
        <w:rPr>
          <w:rFonts w:eastAsia="Calibri"/>
          <w:sz w:val="22"/>
          <w:szCs w:val="22"/>
        </w:rPr>
      </w:pPr>
    </w:p>
    <w:p w14:paraId="2ADE48B2" w14:textId="77777777" w:rsidR="002732B1" w:rsidRDefault="002732B1" w:rsidP="002732B1">
      <w:pPr>
        <w:jc w:val="both"/>
        <w:rPr>
          <w:rFonts w:eastAsia="Calibri"/>
          <w:sz w:val="22"/>
          <w:szCs w:val="22"/>
        </w:rPr>
      </w:pPr>
    </w:p>
    <w:p w14:paraId="4E86DF27" w14:textId="77777777" w:rsidR="002732B1" w:rsidRDefault="002732B1" w:rsidP="002732B1">
      <w:pPr>
        <w:jc w:val="both"/>
        <w:rPr>
          <w:rFonts w:eastAsia="Calibri"/>
          <w:sz w:val="22"/>
          <w:szCs w:val="22"/>
        </w:rPr>
      </w:pPr>
    </w:p>
    <w:p w14:paraId="5EA8F2E1" w14:textId="23249C24" w:rsidR="002732B1" w:rsidRPr="002732B1" w:rsidRDefault="002732B1" w:rsidP="002732B1">
      <w:pPr>
        <w:jc w:val="both"/>
        <w:rPr>
          <w:rFonts w:eastAsia="Calibri"/>
          <w:sz w:val="22"/>
          <w:szCs w:val="22"/>
        </w:rPr>
      </w:pPr>
      <w:r w:rsidRPr="002732B1">
        <w:rPr>
          <w:rFonts w:eastAsia="Calibri"/>
          <w:sz w:val="22"/>
          <w:szCs w:val="22"/>
        </w:rPr>
        <w:lastRenderedPageBreak/>
        <w:t xml:space="preserve">Novelou zákona o e-Governmente sa rozširuje okruh oprávnených osôb aj o banky a pobočky zahraničnej banky, ktoré si budú môcť od účinnosti novelizovaného § 35 ods. 3 zákona o e-Governmente pre vlastnú potrebu, resp. pre klienta v súvislosti s výkonom bankových činností podľa § 2 ods. 2 a 5 zákona č. 483/2001 Z. z. o bankách v znení neskorších predpisov. Zmena bude účinná k účinnosti novely zákona o e-Governmente (t.j. predpoklad 1. októbra 2022). </w:t>
      </w:r>
    </w:p>
    <w:p w14:paraId="127A9C40" w14:textId="5EC0DEE1" w:rsidR="002732B1" w:rsidRDefault="002732B1" w:rsidP="002732B1">
      <w:pPr>
        <w:jc w:val="both"/>
        <w:rPr>
          <w:rFonts w:eastAsia="Calibri"/>
          <w:sz w:val="22"/>
          <w:szCs w:val="22"/>
        </w:rPr>
      </w:pPr>
      <w:r w:rsidRPr="002732B1">
        <w:rPr>
          <w:rFonts w:eastAsia="Calibri"/>
          <w:sz w:val="22"/>
          <w:szCs w:val="22"/>
        </w:rPr>
        <w:t xml:space="preserve">Nakoľko </w:t>
      </w:r>
      <w:r w:rsidRPr="002732B1">
        <w:rPr>
          <w:rFonts w:eastAsia="Calibri"/>
          <w:b/>
          <w:sz w:val="22"/>
          <w:szCs w:val="22"/>
        </w:rPr>
        <w:t>ide o oprávnenie</w:t>
      </w:r>
      <w:r w:rsidRPr="002732B1">
        <w:rPr>
          <w:rFonts w:eastAsia="Calibri"/>
          <w:sz w:val="22"/>
          <w:szCs w:val="22"/>
        </w:rPr>
        <w:t xml:space="preserve">, banka a pobočka zahraničnej banky si bude môcť </w:t>
      </w:r>
      <w:r w:rsidRPr="002732B1">
        <w:rPr>
          <w:rFonts w:eastAsia="Calibri"/>
          <w:b/>
          <w:sz w:val="22"/>
          <w:szCs w:val="22"/>
        </w:rPr>
        <w:t>sama dobrovoľne na základe vlastného uváženia rozhodnúť,</w:t>
      </w:r>
      <w:r w:rsidRPr="002732B1">
        <w:rPr>
          <w:rFonts w:eastAsia="Calibri"/>
          <w:sz w:val="22"/>
          <w:szCs w:val="22"/>
        </w:rPr>
        <w:t xml:space="preserve"> či túto činnosť bude vykonávať pre vlastné potreby, napr. pri archivácii dokumentov, resp. či bude poskytovať svojím klientom službu zaručenej konverzie v súvislosti s výkonom bankových činností. </w:t>
      </w:r>
      <w:r w:rsidRPr="002732B1">
        <w:rPr>
          <w:rFonts w:eastAsia="Calibri"/>
          <w:b/>
          <w:sz w:val="22"/>
          <w:szCs w:val="22"/>
        </w:rPr>
        <w:t>Ak toto oprávnenie nevyužije, nič sa oproti súčasnému stavu nemení</w:t>
      </w:r>
      <w:r w:rsidRPr="002732B1">
        <w:rPr>
          <w:rFonts w:eastAsia="Calibri"/>
          <w:sz w:val="22"/>
          <w:szCs w:val="22"/>
        </w:rPr>
        <w:t xml:space="preserve"> a banka alebo pobočka zahraničnej banky postupuje pri výkone bankových činností tak ako doteraz, tzn. využije službu zaručenej konverzie poskytovanú inou oprávnenou osobou – v prípadoch, kedy je zaručená konverzia dokumentu nevyhnutná. </w:t>
      </w:r>
    </w:p>
    <w:p w14:paraId="398E1D7C" w14:textId="77777777" w:rsidR="002732B1" w:rsidRDefault="002732B1">
      <w:pPr>
        <w:rPr>
          <w:rFonts w:eastAsia="Calibri"/>
          <w:sz w:val="22"/>
          <w:szCs w:val="22"/>
        </w:rPr>
      </w:pPr>
      <w:r>
        <w:rPr>
          <w:rFonts w:eastAsia="Calibri"/>
          <w:sz w:val="22"/>
          <w:szCs w:val="22"/>
        </w:rPr>
        <w:br w:type="page"/>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42"/>
        <w:gridCol w:w="1276"/>
        <w:gridCol w:w="1012"/>
        <w:gridCol w:w="426"/>
        <w:gridCol w:w="1559"/>
      </w:tblGrid>
      <w:tr w:rsidR="002732B1" w:rsidRPr="00FC2B55" w14:paraId="5C3072C0" w14:textId="77777777" w:rsidTr="00FF4CD7">
        <w:trPr>
          <w:trHeight w:val="20"/>
          <w:jc w:val="center"/>
        </w:trPr>
        <w:tc>
          <w:tcPr>
            <w:tcW w:w="9371" w:type="dxa"/>
            <w:gridSpan w:val="6"/>
            <w:shd w:val="clear" w:color="auto" w:fill="BFBFBF" w:themeFill="background1" w:themeFillShade="BF"/>
            <w:vAlign w:val="center"/>
          </w:tcPr>
          <w:p w14:paraId="0EEEF5A0" w14:textId="77777777" w:rsidR="002732B1" w:rsidRPr="00FC2B55" w:rsidRDefault="002732B1" w:rsidP="00FF4CD7">
            <w:pPr>
              <w:jc w:val="center"/>
              <w:rPr>
                <w:b/>
                <w:bCs/>
                <w:sz w:val="28"/>
                <w:szCs w:val="28"/>
                <w:lang w:eastAsia="sk-SK"/>
              </w:rPr>
            </w:pPr>
            <w:r w:rsidRPr="00FC2B55">
              <w:rPr>
                <w:b/>
                <w:bCs/>
                <w:sz w:val="28"/>
                <w:szCs w:val="28"/>
                <w:lang w:eastAsia="sk-SK"/>
              </w:rPr>
              <w:lastRenderedPageBreak/>
              <w:t>Analýza vplyvov na informatizáciu spoločnosti</w:t>
            </w:r>
          </w:p>
          <w:p w14:paraId="0051C648" w14:textId="77777777" w:rsidR="002732B1" w:rsidRPr="00FC2B55" w:rsidRDefault="002732B1" w:rsidP="00FF4CD7">
            <w:pPr>
              <w:jc w:val="center"/>
              <w:rPr>
                <w:b/>
                <w:i/>
                <w:iCs/>
                <w:sz w:val="2"/>
                <w:lang w:eastAsia="sk-SK"/>
              </w:rPr>
            </w:pPr>
          </w:p>
        </w:tc>
      </w:tr>
      <w:tr w:rsidR="002732B1" w:rsidRPr="00FC2B55" w14:paraId="5B4F0311" w14:textId="77777777" w:rsidTr="00FF4CD7">
        <w:trPr>
          <w:trHeight w:val="20"/>
          <w:jc w:val="center"/>
        </w:trPr>
        <w:tc>
          <w:tcPr>
            <w:tcW w:w="9371" w:type="dxa"/>
            <w:gridSpan w:val="6"/>
            <w:shd w:val="clear" w:color="auto" w:fill="BFBFBF" w:themeFill="background1" w:themeFillShade="BF"/>
            <w:vAlign w:val="center"/>
          </w:tcPr>
          <w:p w14:paraId="49AF0B3D" w14:textId="77777777" w:rsidR="002732B1" w:rsidRPr="00FC2B55" w:rsidRDefault="002732B1" w:rsidP="00FF4CD7">
            <w:pPr>
              <w:jc w:val="center"/>
              <w:rPr>
                <w:b/>
                <w:bCs/>
                <w:lang w:eastAsia="sk-SK"/>
              </w:rPr>
            </w:pPr>
            <w:r w:rsidRPr="00FC2B55">
              <w:rPr>
                <w:b/>
                <w:bCs/>
                <w:lang w:eastAsia="sk-SK"/>
              </w:rPr>
              <w:t>Budovanie základných pilierov informatizácie</w:t>
            </w:r>
          </w:p>
        </w:tc>
      </w:tr>
      <w:tr w:rsidR="002732B1" w:rsidRPr="00FC2B55" w14:paraId="76A8349A" w14:textId="77777777" w:rsidTr="00FF4CD7">
        <w:trPr>
          <w:trHeight w:val="681"/>
          <w:jc w:val="center"/>
        </w:trPr>
        <w:tc>
          <w:tcPr>
            <w:tcW w:w="3956" w:type="dxa"/>
            <w:shd w:val="clear" w:color="auto" w:fill="C0C0C0"/>
            <w:vAlign w:val="center"/>
          </w:tcPr>
          <w:p w14:paraId="01359033" w14:textId="77777777" w:rsidR="002732B1" w:rsidRPr="00FC2B55" w:rsidRDefault="002732B1" w:rsidP="00FF4CD7">
            <w:pPr>
              <w:jc w:val="center"/>
              <w:rPr>
                <w:b/>
                <w:sz w:val="20"/>
                <w:szCs w:val="20"/>
                <w:lang w:eastAsia="sk-SK"/>
              </w:rPr>
            </w:pPr>
            <w:r w:rsidRPr="00FC2B55">
              <w:rPr>
                <w:b/>
                <w:sz w:val="20"/>
                <w:szCs w:val="20"/>
                <w:lang w:eastAsia="sk-SK"/>
              </w:rPr>
              <w:t>Biznis vrstva</w:t>
            </w:r>
          </w:p>
        </w:tc>
        <w:tc>
          <w:tcPr>
            <w:tcW w:w="1142" w:type="dxa"/>
            <w:shd w:val="clear" w:color="auto" w:fill="C0C0C0"/>
            <w:vAlign w:val="center"/>
          </w:tcPr>
          <w:p w14:paraId="7EE9B304" w14:textId="77777777" w:rsidR="002732B1" w:rsidRPr="00FC2B55" w:rsidRDefault="002732B1" w:rsidP="00FF4CD7">
            <w:pPr>
              <w:jc w:val="center"/>
              <w:rPr>
                <w:b/>
                <w:sz w:val="20"/>
                <w:szCs w:val="20"/>
                <w:lang w:eastAsia="sk-SK"/>
              </w:rPr>
            </w:pPr>
            <w:r w:rsidRPr="00FC2B55">
              <w:rPr>
                <w:b/>
                <w:sz w:val="20"/>
                <w:szCs w:val="20"/>
                <w:lang w:eastAsia="sk-SK"/>
              </w:rPr>
              <w:t>A – nová služba</w:t>
            </w:r>
          </w:p>
          <w:p w14:paraId="66858D06" w14:textId="77777777" w:rsidR="002732B1" w:rsidRPr="00FC2B55" w:rsidRDefault="002732B1" w:rsidP="00FF4CD7">
            <w:pPr>
              <w:jc w:val="center"/>
              <w:rPr>
                <w:i/>
                <w:iCs/>
                <w:sz w:val="20"/>
                <w:szCs w:val="20"/>
                <w:lang w:eastAsia="sk-SK"/>
              </w:rPr>
            </w:pPr>
            <w:r w:rsidRPr="00FC2B55">
              <w:rPr>
                <w:b/>
                <w:sz w:val="20"/>
                <w:szCs w:val="20"/>
                <w:lang w:eastAsia="sk-SK"/>
              </w:rPr>
              <w:t>B – zmena služby</w:t>
            </w:r>
          </w:p>
        </w:tc>
        <w:tc>
          <w:tcPr>
            <w:tcW w:w="1276" w:type="dxa"/>
            <w:shd w:val="clear" w:color="auto" w:fill="C0C0C0"/>
            <w:vAlign w:val="center"/>
          </w:tcPr>
          <w:p w14:paraId="2C800C34" w14:textId="77777777" w:rsidR="002732B1" w:rsidRPr="00FC2B55" w:rsidRDefault="002732B1" w:rsidP="00FF4CD7">
            <w:pPr>
              <w:rPr>
                <w:sz w:val="20"/>
                <w:szCs w:val="20"/>
                <w:lang w:eastAsia="sk-SK"/>
              </w:rPr>
            </w:pPr>
            <w:r w:rsidRPr="00FC2B55">
              <w:rPr>
                <w:b/>
                <w:sz w:val="20"/>
                <w:szCs w:val="20"/>
                <w:lang w:eastAsia="sk-SK"/>
              </w:rPr>
              <w:t>Kód koncovej služby</w:t>
            </w:r>
          </w:p>
        </w:tc>
        <w:tc>
          <w:tcPr>
            <w:tcW w:w="1438" w:type="dxa"/>
            <w:gridSpan w:val="2"/>
            <w:shd w:val="clear" w:color="auto" w:fill="C0C0C0"/>
            <w:vAlign w:val="center"/>
          </w:tcPr>
          <w:p w14:paraId="4760E561" w14:textId="77777777" w:rsidR="002732B1" w:rsidRPr="00FC2B55" w:rsidRDefault="002732B1" w:rsidP="00FF4CD7">
            <w:pPr>
              <w:rPr>
                <w:i/>
                <w:iCs/>
                <w:sz w:val="20"/>
                <w:szCs w:val="20"/>
                <w:lang w:eastAsia="sk-SK"/>
              </w:rPr>
            </w:pPr>
            <w:r w:rsidRPr="00FC2B55">
              <w:rPr>
                <w:b/>
                <w:sz w:val="20"/>
                <w:szCs w:val="20"/>
                <w:lang w:eastAsia="sk-SK"/>
              </w:rPr>
              <w:t>Názov koncovej služby</w:t>
            </w:r>
          </w:p>
        </w:tc>
        <w:tc>
          <w:tcPr>
            <w:tcW w:w="1559" w:type="dxa"/>
            <w:shd w:val="clear" w:color="auto" w:fill="C0C0C0"/>
          </w:tcPr>
          <w:p w14:paraId="6B4CA6CF" w14:textId="77777777" w:rsidR="002732B1" w:rsidRPr="00FC2B55" w:rsidRDefault="002732B1" w:rsidP="00FF4CD7">
            <w:pPr>
              <w:rPr>
                <w:b/>
                <w:sz w:val="20"/>
                <w:szCs w:val="20"/>
                <w:lang w:eastAsia="sk-SK"/>
              </w:rPr>
            </w:pPr>
            <w:r w:rsidRPr="00FC2B55">
              <w:rPr>
                <w:b/>
                <w:sz w:val="20"/>
                <w:szCs w:val="20"/>
                <w:lang w:eastAsia="sk-SK"/>
              </w:rPr>
              <w:t>Úroveň elektronizácie</w:t>
            </w:r>
          </w:p>
        </w:tc>
      </w:tr>
      <w:tr w:rsidR="002732B1" w:rsidRPr="00FC2B55" w14:paraId="3769E8D8" w14:textId="77777777" w:rsidTr="00FF4CD7">
        <w:trPr>
          <w:trHeight w:val="20"/>
          <w:jc w:val="center"/>
        </w:trPr>
        <w:tc>
          <w:tcPr>
            <w:tcW w:w="3956" w:type="dxa"/>
            <w:vMerge w:val="restart"/>
          </w:tcPr>
          <w:p w14:paraId="2DF6FD3F" w14:textId="77777777" w:rsidR="002732B1" w:rsidRPr="00FC2B55" w:rsidRDefault="002732B1" w:rsidP="00FF4CD7">
            <w:pPr>
              <w:rPr>
                <w:sz w:val="20"/>
                <w:lang w:eastAsia="sk-SK"/>
              </w:rPr>
            </w:pPr>
            <w:r w:rsidRPr="00FC2B55">
              <w:rPr>
                <w:b/>
                <w:sz w:val="20"/>
                <w:lang w:eastAsia="sk-SK"/>
              </w:rPr>
              <w:t>6.1.</w:t>
            </w:r>
            <w:r w:rsidRPr="00FC2B55">
              <w:rPr>
                <w:sz w:val="20"/>
                <w:lang w:eastAsia="sk-SK"/>
              </w:rPr>
              <w:t xml:space="preserve"> Predpokladá predložený návrh zmenu existujúcich koncových služieb verejnej správy alebo vytvorenie nových služieb pre občana alebo podnikateľa?</w:t>
            </w:r>
          </w:p>
        </w:tc>
        <w:tc>
          <w:tcPr>
            <w:tcW w:w="1142" w:type="dxa"/>
            <w:vMerge w:val="restart"/>
            <w:vAlign w:val="center"/>
          </w:tcPr>
          <w:p w14:paraId="775E12C1" w14:textId="77777777" w:rsidR="002732B1" w:rsidRPr="00BF1141" w:rsidRDefault="002732B1" w:rsidP="00FF4CD7">
            <w:pPr>
              <w:jc w:val="center"/>
              <w:rPr>
                <w:lang w:eastAsia="sk-SK"/>
              </w:rPr>
            </w:pPr>
            <w:r w:rsidRPr="002732B1">
              <w:rPr>
                <w:sz w:val="22"/>
                <w:lang w:eastAsia="sk-SK"/>
              </w:rPr>
              <w:t>B*</w:t>
            </w:r>
          </w:p>
        </w:tc>
        <w:tc>
          <w:tcPr>
            <w:tcW w:w="1276" w:type="dxa"/>
          </w:tcPr>
          <w:p w14:paraId="6F027125" w14:textId="77777777" w:rsidR="002732B1" w:rsidRPr="00DD11C2" w:rsidRDefault="002732B1" w:rsidP="00FF4CD7">
            <w:pPr>
              <w:rPr>
                <w:i/>
                <w:iCs/>
                <w:sz w:val="20"/>
                <w:szCs w:val="20"/>
                <w:lang w:eastAsia="sk-SK"/>
              </w:rPr>
            </w:pPr>
            <w:r w:rsidRPr="00DD11C2">
              <w:rPr>
                <w:i/>
                <w:iCs/>
                <w:sz w:val="20"/>
                <w:szCs w:val="20"/>
                <w:lang w:eastAsia="sk-SK"/>
              </w:rPr>
              <w:t>ks_338989</w:t>
            </w:r>
          </w:p>
        </w:tc>
        <w:tc>
          <w:tcPr>
            <w:tcW w:w="1438" w:type="dxa"/>
            <w:gridSpan w:val="2"/>
          </w:tcPr>
          <w:p w14:paraId="4BBB7C2C" w14:textId="77777777" w:rsidR="002732B1" w:rsidRPr="002732B1" w:rsidRDefault="002732B1" w:rsidP="00FF4CD7">
            <w:pPr>
              <w:jc w:val="both"/>
              <w:rPr>
                <w:sz w:val="22"/>
                <w:lang w:eastAsia="sk-SK"/>
              </w:rPr>
            </w:pPr>
            <w:r w:rsidRPr="002732B1">
              <w:rPr>
                <w:sz w:val="22"/>
                <w:lang w:eastAsia="sk-SK"/>
              </w:rPr>
              <w:t>Publikovanie informácií Úradu podpredsedu vlády SR pre investície a informatizáciu</w:t>
            </w:r>
          </w:p>
        </w:tc>
        <w:tc>
          <w:tcPr>
            <w:tcW w:w="1559" w:type="dxa"/>
            <w:vAlign w:val="center"/>
          </w:tcPr>
          <w:p w14:paraId="729774D4"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0B041E0E" w14:textId="77777777" w:rsidTr="00FF4CD7">
        <w:trPr>
          <w:trHeight w:val="20"/>
          <w:jc w:val="center"/>
        </w:trPr>
        <w:tc>
          <w:tcPr>
            <w:tcW w:w="3956" w:type="dxa"/>
            <w:vMerge/>
          </w:tcPr>
          <w:p w14:paraId="75167BCF" w14:textId="77777777" w:rsidR="002732B1" w:rsidRPr="00FC2B55" w:rsidRDefault="002732B1" w:rsidP="00FF4CD7">
            <w:pPr>
              <w:rPr>
                <w:b/>
                <w:sz w:val="20"/>
                <w:lang w:eastAsia="sk-SK"/>
              </w:rPr>
            </w:pPr>
          </w:p>
        </w:tc>
        <w:tc>
          <w:tcPr>
            <w:tcW w:w="1142" w:type="dxa"/>
            <w:vMerge/>
            <w:vAlign w:val="center"/>
          </w:tcPr>
          <w:p w14:paraId="7A98B021" w14:textId="77777777" w:rsidR="002732B1" w:rsidRDefault="002732B1" w:rsidP="00FF4CD7">
            <w:pPr>
              <w:jc w:val="center"/>
              <w:rPr>
                <w:lang w:eastAsia="sk-SK"/>
              </w:rPr>
            </w:pPr>
          </w:p>
        </w:tc>
        <w:tc>
          <w:tcPr>
            <w:tcW w:w="1276" w:type="dxa"/>
          </w:tcPr>
          <w:p w14:paraId="4EA9CC9C" w14:textId="77777777" w:rsidR="002732B1" w:rsidRPr="00DD11C2" w:rsidRDefault="002732B1" w:rsidP="00FF4CD7">
            <w:pPr>
              <w:rPr>
                <w:i/>
                <w:iCs/>
                <w:sz w:val="20"/>
                <w:szCs w:val="20"/>
                <w:lang w:eastAsia="sk-SK"/>
              </w:rPr>
            </w:pPr>
            <w:r w:rsidRPr="00DD11C2">
              <w:rPr>
                <w:i/>
                <w:iCs/>
                <w:sz w:val="20"/>
                <w:szCs w:val="20"/>
                <w:lang w:eastAsia="sk-SK"/>
              </w:rPr>
              <w:t>ks_338765</w:t>
            </w:r>
          </w:p>
        </w:tc>
        <w:tc>
          <w:tcPr>
            <w:tcW w:w="1438" w:type="dxa"/>
            <w:gridSpan w:val="2"/>
          </w:tcPr>
          <w:p w14:paraId="631B68CB" w14:textId="77777777" w:rsidR="002732B1" w:rsidRPr="002732B1" w:rsidRDefault="002732B1" w:rsidP="00FF4CD7">
            <w:pPr>
              <w:jc w:val="both"/>
              <w:rPr>
                <w:sz w:val="22"/>
                <w:lang w:eastAsia="sk-SK"/>
              </w:rPr>
            </w:pPr>
            <w:r w:rsidRPr="002732B1">
              <w:rPr>
                <w:sz w:val="22"/>
                <w:lang w:eastAsia="sk-SK"/>
              </w:rPr>
              <w:t>Zaručená konverzia dokumentu do formátu podľa štandardu ISVS</w:t>
            </w:r>
          </w:p>
        </w:tc>
        <w:tc>
          <w:tcPr>
            <w:tcW w:w="1559" w:type="dxa"/>
            <w:vAlign w:val="center"/>
          </w:tcPr>
          <w:p w14:paraId="2D9011B5"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7C50BB7A" w14:textId="77777777" w:rsidTr="00FF4CD7">
        <w:trPr>
          <w:trHeight w:val="20"/>
          <w:jc w:val="center"/>
        </w:trPr>
        <w:tc>
          <w:tcPr>
            <w:tcW w:w="3956" w:type="dxa"/>
            <w:vMerge/>
          </w:tcPr>
          <w:p w14:paraId="3801B5A2" w14:textId="77777777" w:rsidR="002732B1" w:rsidRPr="00FC2B55" w:rsidRDefault="002732B1" w:rsidP="00FF4CD7">
            <w:pPr>
              <w:rPr>
                <w:b/>
                <w:sz w:val="20"/>
                <w:lang w:eastAsia="sk-SK"/>
              </w:rPr>
            </w:pPr>
          </w:p>
        </w:tc>
        <w:tc>
          <w:tcPr>
            <w:tcW w:w="1142" w:type="dxa"/>
            <w:vMerge/>
            <w:vAlign w:val="center"/>
          </w:tcPr>
          <w:p w14:paraId="34A1EAAF" w14:textId="77777777" w:rsidR="002732B1" w:rsidRDefault="002732B1" w:rsidP="00FF4CD7">
            <w:pPr>
              <w:jc w:val="center"/>
              <w:rPr>
                <w:lang w:eastAsia="sk-SK"/>
              </w:rPr>
            </w:pPr>
          </w:p>
        </w:tc>
        <w:tc>
          <w:tcPr>
            <w:tcW w:w="1276" w:type="dxa"/>
          </w:tcPr>
          <w:p w14:paraId="42B50574" w14:textId="77777777" w:rsidR="002732B1" w:rsidRPr="00DD11C2" w:rsidRDefault="002732B1" w:rsidP="00FF4CD7">
            <w:pPr>
              <w:rPr>
                <w:i/>
                <w:iCs/>
                <w:sz w:val="20"/>
                <w:szCs w:val="20"/>
                <w:lang w:eastAsia="sk-SK"/>
              </w:rPr>
            </w:pPr>
            <w:r w:rsidRPr="00732960">
              <w:rPr>
                <w:i/>
                <w:iCs/>
                <w:sz w:val="20"/>
                <w:szCs w:val="20"/>
                <w:lang w:eastAsia="sk-SK"/>
              </w:rPr>
              <w:t>ks_338764</w:t>
            </w:r>
          </w:p>
        </w:tc>
        <w:tc>
          <w:tcPr>
            <w:tcW w:w="1438" w:type="dxa"/>
            <w:gridSpan w:val="2"/>
          </w:tcPr>
          <w:p w14:paraId="359F10BA" w14:textId="77777777" w:rsidR="002732B1" w:rsidRPr="002732B1" w:rsidRDefault="002732B1" w:rsidP="00FF4CD7">
            <w:pPr>
              <w:jc w:val="both"/>
              <w:rPr>
                <w:sz w:val="22"/>
                <w:lang w:eastAsia="sk-SK"/>
              </w:rPr>
            </w:pPr>
            <w:r w:rsidRPr="002732B1">
              <w:rPr>
                <w:sz w:val="22"/>
                <w:lang w:eastAsia="sk-SK"/>
              </w:rPr>
              <w:t>Zaručená konverzia dokumentu z listinnej do elektronickej podoby (A3 OCR)</w:t>
            </w:r>
          </w:p>
        </w:tc>
        <w:tc>
          <w:tcPr>
            <w:tcW w:w="1559" w:type="dxa"/>
            <w:vAlign w:val="center"/>
          </w:tcPr>
          <w:p w14:paraId="32518464"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11AF5260" w14:textId="77777777" w:rsidTr="00FF4CD7">
        <w:trPr>
          <w:trHeight w:val="20"/>
          <w:jc w:val="center"/>
        </w:trPr>
        <w:tc>
          <w:tcPr>
            <w:tcW w:w="3956" w:type="dxa"/>
            <w:vMerge/>
          </w:tcPr>
          <w:p w14:paraId="40353EA4" w14:textId="77777777" w:rsidR="002732B1" w:rsidRPr="00FC2B55" w:rsidRDefault="002732B1" w:rsidP="00FF4CD7">
            <w:pPr>
              <w:rPr>
                <w:b/>
                <w:sz w:val="20"/>
                <w:lang w:eastAsia="sk-SK"/>
              </w:rPr>
            </w:pPr>
          </w:p>
        </w:tc>
        <w:tc>
          <w:tcPr>
            <w:tcW w:w="1142" w:type="dxa"/>
            <w:vMerge/>
            <w:vAlign w:val="center"/>
          </w:tcPr>
          <w:p w14:paraId="55B0F537" w14:textId="77777777" w:rsidR="002732B1" w:rsidRDefault="002732B1" w:rsidP="00FF4CD7">
            <w:pPr>
              <w:jc w:val="center"/>
              <w:rPr>
                <w:lang w:eastAsia="sk-SK"/>
              </w:rPr>
            </w:pPr>
          </w:p>
        </w:tc>
        <w:tc>
          <w:tcPr>
            <w:tcW w:w="1276" w:type="dxa"/>
          </w:tcPr>
          <w:p w14:paraId="00BC1E71" w14:textId="77777777" w:rsidR="002732B1" w:rsidRPr="00DD11C2" w:rsidRDefault="002732B1" w:rsidP="00FF4CD7">
            <w:pPr>
              <w:rPr>
                <w:i/>
                <w:iCs/>
                <w:sz w:val="20"/>
                <w:szCs w:val="20"/>
                <w:lang w:eastAsia="sk-SK"/>
              </w:rPr>
            </w:pPr>
            <w:r w:rsidRPr="00732960">
              <w:rPr>
                <w:i/>
                <w:iCs/>
                <w:sz w:val="20"/>
                <w:szCs w:val="20"/>
                <w:lang w:eastAsia="sk-SK"/>
              </w:rPr>
              <w:t>ks_338762</w:t>
            </w:r>
          </w:p>
        </w:tc>
        <w:tc>
          <w:tcPr>
            <w:tcW w:w="1438" w:type="dxa"/>
            <w:gridSpan w:val="2"/>
          </w:tcPr>
          <w:p w14:paraId="4BE89843" w14:textId="77777777" w:rsidR="002732B1" w:rsidRPr="002732B1" w:rsidRDefault="002732B1" w:rsidP="00FF4CD7">
            <w:pPr>
              <w:jc w:val="both"/>
              <w:rPr>
                <w:sz w:val="22"/>
                <w:lang w:eastAsia="sk-SK"/>
              </w:rPr>
            </w:pPr>
            <w:r w:rsidRPr="002732B1">
              <w:rPr>
                <w:sz w:val="22"/>
                <w:lang w:eastAsia="sk-SK"/>
              </w:rPr>
              <w:t>Zaručená konverzia dokumentu z listinnej do elektronickej podoby (A4 OCR)</w:t>
            </w:r>
          </w:p>
        </w:tc>
        <w:tc>
          <w:tcPr>
            <w:tcW w:w="1559" w:type="dxa"/>
            <w:vAlign w:val="center"/>
          </w:tcPr>
          <w:p w14:paraId="3526198F"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284B4C65" w14:textId="77777777" w:rsidTr="00FF4CD7">
        <w:trPr>
          <w:trHeight w:val="20"/>
          <w:jc w:val="center"/>
        </w:trPr>
        <w:tc>
          <w:tcPr>
            <w:tcW w:w="3956" w:type="dxa"/>
            <w:vMerge/>
          </w:tcPr>
          <w:p w14:paraId="0DF7F509" w14:textId="77777777" w:rsidR="002732B1" w:rsidRPr="00FC2B55" w:rsidRDefault="002732B1" w:rsidP="00FF4CD7">
            <w:pPr>
              <w:rPr>
                <w:b/>
                <w:sz w:val="20"/>
                <w:lang w:eastAsia="sk-SK"/>
              </w:rPr>
            </w:pPr>
          </w:p>
        </w:tc>
        <w:tc>
          <w:tcPr>
            <w:tcW w:w="1142" w:type="dxa"/>
            <w:vMerge/>
            <w:vAlign w:val="center"/>
          </w:tcPr>
          <w:p w14:paraId="7C800AAB" w14:textId="77777777" w:rsidR="002732B1" w:rsidRDefault="002732B1" w:rsidP="00FF4CD7">
            <w:pPr>
              <w:jc w:val="center"/>
              <w:rPr>
                <w:lang w:eastAsia="sk-SK"/>
              </w:rPr>
            </w:pPr>
          </w:p>
        </w:tc>
        <w:tc>
          <w:tcPr>
            <w:tcW w:w="1276" w:type="dxa"/>
          </w:tcPr>
          <w:p w14:paraId="57264F5C" w14:textId="77777777" w:rsidR="002732B1" w:rsidRPr="00DD11C2" w:rsidRDefault="002732B1" w:rsidP="00FF4CD7">
            <w:pPr>
              <w:rPr>
                <w:i/>
                <w:iCs/>
                <w:sz w:val="20"/>
                <w:szCs w:val="20"/>
                <w:lang w:eastAsia="sk-SK"/>
              </w:rPr>
            </w:pPr>
            <w:r w:rsidRPr="00732960">
              <w:rPr>
                <w:i/>
                <w:iCs/>
                <w:sz w:val="20"/>
                <w:szCs w:val="20"/>
                <w:lang w:eastAsia="sk-SK"/>
              </w:rPr>
              <w:t>ks_338761</w:t>
            </w:r>
          </w:p>
        </w:tc>
        <w:tc>
          <w:tcPr>
            <w:tcW w:w="1438" w:type="dxa"/>
            <w:gridSpan w:val="2"/>
          </w:tcPr>
          <w:p w14:paraId="73BF6565" w14:textId="77777777" w:rsidR="002732B1" w:rsidRPr="002732B1" w:rsidRDefault="002732B1" w:rsidP="00FF4CD7">
            <w:pPr>
              <w:jc w:val="both"/>
              <w:rPr>
                <w:sz w:val="22"/>
                <w:lang w:eastAsia="sk-SK"/>
              </w:rPr>
            </w:pPr>
            <w:r w:rsidRPr="002732B1">
              <w:rPr>
                <w:sz w:val="22"/>
                <w:lang w:eastAsia="sk-SK"/>
              </w:rPr>
              <w:t>Zaručená konverzia dokumentu z elektronickej podoby do novej elektronickej podoby</w:t>
            </w:r>
          </w:p>
        </w:tc>
        <w:tc>
          <w:tcPr>
            <w:tcW w:w="1559" w:type="dxa"/>
            <w:vAlign w:val="center"/>
          </w:tcPr>
          <w:p w14:paraId="10A1BFE4"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010D2FEE" w14:textId="77777777" w:rsidTr="00FF4CD7">
        <w:trPr>
          <w:trHeight w:val="20"/>
          <w:jc w:val="center"/>
        </w:trPr>
        <w:tc>
          <w:tcPr>
            <w:tcW w:w="3956" w:type="dxa"/>
            <w:vMerge/>
          </w:tcPr>
          <w:p w14:paraId="6BBE8BDD" w14:textId="77777777" w:rsidR="002732B1" w:rsidRPr="00FC2B55" w:rsidRDefault="002732B1" w:rsidP="00FF4CD7">
            <w:pPr>
              <w:rPr>
                <w:b/>
                <w:sz w:val="20"/>
                <w:lang w:eastAsia="sk-SK"/>
              </w:rPr>
            </w:pPr>
          </w:p>
        </w:tc>
        <w:tc>
          <w:tcPr>
            <w:tcW w:w="1142" w:type="dxa"/>
            <w:vMerge/>
            <w:vAlign w:val="center"/>
          </w:tcPr>
          <w:p w14:paraId="0808A0F0" w14:textId="77777777" w:rsidR="002732B1" w:rsidRDefault="002732B1" w:rsidP="00FF4CD7">
            <w:pPr>
              <w:jc w:val="center"/>
              <w:rPr>
                <w:lang w:eastAsia="sk-SK"/>
              </w:rPr>
            </w:pPr>
          </w:p>
        </w:tc>
        <w:tc>
          <w:tcPr>
            <w:tcW w:w="1276" w:type="dxa"/>
          </w:tcPr>
          <w:p w14:paraId="4E12D035" w14:textId="77777777" w:rsidR="002732B1" w:rsidRPr="00DD11C2" w:rsidRDefault="002732B1" w:rsidP="00FF4CD7">
            <w:pPr>
              <w:rPr>
                <w:i/>
                <w:iCs/>
                <w:sz w:val="20"/>
                <w:szCs w:val="20"/>
                <w:lang w:eastAsia="sk-SK"/>
              </w:rPr>
            </w:pPr>
            <w:r w:rsidRPr="00732960">
              <w:rPr>
                <w:i/>
                <w:iCs/>
                <w:sz w:val="20"/>
                <w:szCs w:val="20"/>
                <w:lang w:eastAsia="sk-SK"/>
              </w:rPr>
              <w:t>ks_338760</w:t>
            </w:r>
          </w:p>
        </w:tc>
        <w:tc>
          <w:tcPr>
            <w:tcW w:w="1438" w:type="dxa"/>
            <w:gridSpan w:val="2"/>
          </w:tcPr>
          <w:p w14:paraId="42CA63DC" w14:textId="77777777" w:rsidR="002732B1" w:rsidRPr="002732B1" w:rsidRDefault="002732B1" w:rsidP="00FF4CD7">
            <w:pPr>
              <w:jc w:val="both"/>
              <w:rPr>
                <w:sz w:val="22"/>
                <w:lang w:eastAsia="sk-SK"/>
              </w:rPr>
            </w:pPr>
            <w:r w:rsidRPr="002732B1">
              <w:rPr>
                <w:sz w:val="22"/>
                <w:lang w:eastAsia="sk-SK"/>
              </w:rPr>
              <w:t>Zaručená konverzia dokumentu z elektronickej do listinnej podoby (A3)</w:t>
            </w:r>
          </w:p>
        </w:tc>
        <w:tc>
          <w:tcPr>
            <w:tcW w:w="1559" w:type="dxa"/>
            <w:vAlign w:val="center"/>
          </w:tcPr>
          <w:p w14:paraId="6965CA42"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5DDF9417" w14:textId="77777777" w:rsidTr="00FF4CD7">
        <w:trPr>
          <w:trHeight w:val="20"/>
          <w:jc w:val="center"/>
        </w:trPr>
        <w:tc>
          <w:tcPr>
            <w:tcW w:w="3956" w:type="dxa"/>
            <w:vMerge/>
          </w:tcPr>
          <w:p w14:paraId="71F46ACA" w14:textId="77777777" w:rsidR="002732B1" w:rsidRPr="00FC2B55" w:rsidRDefault="002732B1" w:rsidP="00FF4CD7">
            <w:pPr>
              <w:rPr>
                <w:b/>
                <w:sz w:val="20"/>
                <w:lang w:eastAsia="sk-SK"/>
              </w:rPr>
            </w:pPr>
          </w:p>
        </w:tc>
        <w:tc>
          <w:tcPr>
            <w:tcW w:w="1142" w:type="dxa"/>
            <w:vMerge/>
            <w:vAlign w:val="center"/>
          </w:tcPr>
          <w:p w14:paraId="48B1C377" w14:textId="77777777" w:rsidR="002732B1" w:rsidRDefault="002732B1" w:rsidP="00FF4CD7">
            <w:pPr>
              <w:jc w:val="center"/>
              <w:rPr>
                <w:lang w:eastAsia="sk-SK"/>
              </w:rPr>
            </w:pPr>
          </w:p>
        </w:tc>
        <w:tc>
          <w:tcPr>
            <w:tcW w:w="1276" w:type="dxa"/>
          </w:tcPr>
          <w:p w14:paraId="66A489D0" w14:textId="77777777" w:rsidR="002732B1" w:rsidRPr="00DD11C2" w:rsidRDefault="002732B1" w:rsidP="00FF4CD7">
            <w:pPr>
              <w:rPr>
                <w:i/>
                <w:iCs/>
                <w:sz w:val="20"/>
                <w:szCs w:val="20"/>
                <w:lang w:eastAsia="sk-SK"/>
              </w:rPr>
            </w:pPr>
            <w:r w:rsidRPr="00732960">
              <w:rPr>
                <w:i/>
                <w:iCs/>
                <w:sz w:val="20"/>
                <w:szCs w:val="20"/>
                <w:lang w:eastAsia="sk-SK"/>
              </w:rPr>
              <w:t>ks_338759</w:t>
            </w:r>
          </w:p>
        </w:tc>
        <w:tc>
          <w:tcPr>
            <w:tcW w:w="1438" w:type="dxa"/>
            <w:gridSpan w:val="2"/>
          </w:tcPr>
          <w:p w14:paraId="5147EBBE" w14:textId="77777777" w:rsidR="002732B1" w:rsidRPr="002732B1" w:rsidRDefault="002732B1" w:rsidP="00FF4CD7">
            <w:pPr>
              <w:jc w:val="both"/>
              <w:rPr>
                <w:sz w:val="22"/>
                <w:lang w:eastAsia="sk-SK"/>
              </w:rPr>
            </w:pPr>
            <w:r w:rsidRPr="002732B1">
              <w:rPr>
                <w:sz w:val="22"/>
                <w:lang w:eastAsia="sk-SK"/>
              </w:rPr>
              <w:t xml:space="preserve">Zaručená konverzia dokumentu z elektronickej </w:t>
            </w:r>
            <w:r w:rsidRPr="002732B1">
              <w:rPr>
                <w:sz w:val="22"/>
                <w:lang w:eastAsia="sk-SK"/>
              </w:rPr>
              <w:lastRenderedPageBreak/>
              <w:t>do listinnej podoby (A4)</w:t>
            </w:r>
          </w:p>
        </w:tc>
        <w:tc>
          <w:tcPr>
            <w:tcW w:w="1559" w:type="dxa"/>
            <w:vAlign w:val="center"/>
          </w:tcPr>
          <w:p w14:paraId="4F2BC98A" w14:textId="77777777" w:rsidR="002732B1" w:rsidRPr="002732B1" w:rsidRDefault="002732B1" w:rsidP="00FF4CD7">
            <w:pPr>
              <w:jc w:val="center"/>
              <w:rPr>
                <w:b/>
                <w:i/>
                <w:sz w:val="22"/>
                <w:lang w:eastAsia="sk-SK"/>
              </w:rPr>
            </w:pPr>
            <w:r w:rsidRPr="002732B1">
              <w:rPr>
                <w:b/>
                <w:i/>
                <w:sz w:val="22"/>
                <w:lang w:eastAsia="sk-SK"/>
              </w:rPr>
              <w:lastRenderedPageBreak/>
              <w:t>4</w:t>
            </w:r>
          </w:p>
        </w:tc>
      </w:tr>
      <w:tr w:rsidR="002732B1" w:rsidRPr="00FC2B55" w14:paraId="4F426B3C" w14:textId="77777777" w:rsidTr="00FF4CD7">
        <w:trPr>
          <w:trHeight w:val="20"/>
          <w:jc w:val="center"/>
        </w:trPr>
        <w:tc>
          <w:tcPr>
            <w:tcW w:w="3956" w:type="dxa"/>
            <w:vMerge/>
          </w:tcPr>
          <w:p w14:paraId="654111D7" w14:textId="77777777" w:rsidR="002732B1" w:rsidRPr="00FC2B55" w:rsidRDefault="002732B1" w:rsidP="00FF4CD7">
            <w:pPr>
              <w:rPr>
                <w:b/>
                <w:sz w:val="20"/>
                <w:lang w:eastAsia="sk-SK"/>
              </w:rPr>
            </w:pPr>
          </w:p>
        </w:tc>
        <w:tc>
          <w:tcPr>
            <w:tcW w:w="1142" w:type="dxa"/>
            <w:vMerge/>
            <w:vAlign w:val="center"/>
          </w:tcPr>
          <w:p w14:paraId="0C565CFF" w14:textId="77777777" w:rsidR="002732B1" w:rsidRDefault="002732B1" w:rsidP="00FF4CD7">
            <w:pPr>
              <w:jc w:val="center"/>
              <w:rPr>
                <w:lang w:eastAsia="sk-SK"/>
              </w:rPr>
            </w:pPr>
          </w:p>
        </w:tc>
        <w:tc>
          <w:tcPr>
            <w:tcW w:w="1276" w:type="dxa"/>
          </w:tcPr>
          <w:p w14:paraId="683A47B9" w14:textId="77777777" w:rsidR="002732B1" w:rsidRPr="00DD11C2" w:rsidRDefault="002732B1" w:rsidP="00FF4CD7">
            <w:pPr>
              <w:rPr>
                <w:i/>
                <w:iCs/>
                <w:sz w:val="20"/>
                <w:szCs w:val="20"/>
                <w:lang w:eastAsia="sk-SK"/>
              </w:rPr>
            </w:pPr>
            <w:r w:rsidRPr="00732960">
              <w:rPr>
                <w:i/>
                <w:iCs/>
                <w:sz w:val="20"/>
                <w:szCs w:val="20"/>
                <w:lang w:eastAsia="sk-SK"/>
              </w:rPr>
              <w:t>ks_338758</w:t>
            </w:r>
          </w:p>
        </w:tc>
        <w:tc>
          <w:tcPr>
            <w:tcW w:w="1438" w:type="dxa"/>
            <w:gridSpan w:val="2"/>
          </w:tcPr>
          <w:p w14:paraId="1EDE810A" w14:textId="77777777" w:rsidR="002732B1" w:rsidRPr="002732B1" w:rsidRDefault="002732B1" w:rsidP="00FF4CD7">
            <w:pPr>
              <w:jc w:val="both"/>
              <w:rPr>
                <w:sz w:val="22"/>
                <w:lang w:eastAsia="sk-SK"/>
              </w:rPr>
            </w:pPr>
            <w:r w:rsidRPr="002732B1">
              <w:rPr>
                <w:sz w:val="22"/>
                <w:lang w:eastAsia="sk-SK"/>
              </w:rPr>
              <w:t>Zaručená konverzia dokumentu z listinnej do elektronickej podoby (A3)</w:t>
            </w:r>
          </w:p>
        </w:tc>
        <w:tc>
          <w:tcPr>
            <w:tcW w:w="1559" w:type="dxa"/>
            <w:vAlign w:val="center"/>
          </w:tcPr>
          <w:p w14:paraId="590927A3"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0EE13D8F" w14:textId="77777777" w:rsidTr="00FF4CD7">
        <w:trPr>
          <w:trHeight w:val="20"/>
          <w:jc w:val="center"/>
        </w:trPr>
        <w:tc>
          <w:tcPr>
            <w:tcW w:w="3956" w:type="dxa"/>
            <w:vMerge/>
          </w:tcPr>
          <w:p w14:paraId="4218C087" w14:textId="77777777" w:rsidR="002732B1" w:rsidRPr="00FC2B55" w:rsidRDefault="002732B1" w:rsidP="00FF4CD7">
            <w:pPr>
              <w:rPr>
                <w:b/>
                <w:sz w:val="20"/>
                <w:lang w:eastAsia="sk-SK"/>
              </w:rPr>
            </w:pPr>
          </w:p>
        </w:tc>
        <w:tc>
          <w:tcPr>
            <w:tcW w:w="1142" w:type="dxa"/>
            <w:vMerge/>
            <w:vAlign w:val="center"/>
          </w:tcPr>
          <w:p w14:paraId="4A9ECBD1" w14:textId="77777777" w:rsidR="002732B1" w:rsidRDefault="002732B1" w:rsidP="00FF4CD7">
            <w:pPr>
              <w:jc w:val="center"/>
              <w:rPr>
                <w:lang w:eastAsia="sk-SK"/>
              </w:rPr>
            </w:pPr>
          </w:p>
        </w:tc>
        <w:tc>
          <w:tcPr>
            <w:tcW w:w="1276" w:type="dxa"/>
          </w:tcPr>
          <w:p w14:paraId="48FDE36C" w14:textId="77777777" w:rsidR="002732B1" w:rsidRPr="00DD11C2" w:rsidRDefault="002732B1" w:rsidP="00FF4CD7">
            <w:pPr>
              <w:rPr>
                <w:i/>
                <w:iCs/>
                <w:sz w:val="20"/>
                <w:szCs w:val="20"/>
                <w:lang w:eastAsia="sk-SK"/>
              </w:rPr>
            </w:pPr>
            <w:r w:rsidRPr="00732960">
              <w:rPr>
                <w:i/>
                <w:iCs/>
                <w:sz w:val="20"/>
                <w:szCs w:val="20"/>
                <w:lang w:eastAsia="sk-SK"/>
              </w:rPr>
              <w:t>ks_338757</w:t>
            </w:r>
          </w:p>
        </w:tc>
        <w:tc>
          <w:tcPr>
            <w:tcW w:w="1438" w:type="dxa"/>
            <w:gridSpan w:val="2"/>
          </w:tcPr>
          <w:p w14:paraId="4F0A7F8C" w14:textId="77777777" w:rsidR="002732B1" w:rsidRPr="002732B1" w:rsidRDefault="002732B1" w:rsidP="00FF4CD7">
            <w:pPr>
              <w:jc w:val="both"/>
              <w:rPr>
                <w:sz w:val="22"/>
                <w:lang w:eastAsia="sk-SK"/>
              </w:rPr>
            </w:pPr>
            <w:r w:rsidRPr="002732B1">
              <w:rPr>
                <w:sz w:val="22"/>
                <w:lang w:eastAsia="sk-SK"/>
              </w:rPr>
              <w:t>Zaručená konverzia dokumentu z listinnej do elektronickej podoby (A4)</w:t>
            </w:r>
          </w:p>
        </w:tc>
        <w:tc>
          <w:tcPr>
            <w:tcW w:w="1559" w:type="dxa"/>
            <w:vAlign w:val="center"/>
          </w:tcPr>
          <w:p w14:paraId="60CC0B7A"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28C60FCA" w14:textId="77777777" w:rsidTr="00FF4CD7">
        <w:trPr>
          <w:trHeight w:val="20"/>
          <w:jc w:val="center"/>
        </w:trPr>
        <w:tc>
          <w:tcPr>
            <w:tcW w:w="3956" w:type="dxa"/>
            <w:vMerge/>
          </w:tcPr>
          <w:p w14:paraId="7203628D" w14:textId="77777777" w:rsidR="002732B1" w:rsidRPr="00FC2B55" w:rsidRDefault="002732B1" w:rsidP="00FF4CD7">
            <w:pPr>
              <w:rPr>
                <w:b/>
                <w:sz w:val="20"/>
                <w:lang w:eastAsia="sk-SK"/>
              </w:rPr>
            </w:pPr>
          </w:p>
        </w:tc>
        <w:tc>
          <w:tcPr>
            <w:tcW w:w="1142" w:type="dxa"/>
            <w:vMerge/>
            <w:vAlign w:val="center"/>
          </w:tcPr>
          <w:p w14:paraId="06E89FA1" w14:textId="77777777" w:rsidR="002732B1" w:rsidRDefault="002732B1" w:rsidP="00FF4CD7">
            <w:pPr>
              <w:jc w:val="center"/>
              <w:rPr>
                <w:lang w:eastAsia="sk-SK"/>
              </w:rPr>
            </w:pPr>
          </w:p>
        </w:tc>
        <w:tc>
          <w:tcPr>
            <w:tcW w:w="1276" w:type="dxa"/>
          </w:tcPr>
          <w:p w14:paraId="2540A640" w14:textId="77777777" w:rsidR="002732B1" w:rsidRPr="00DD11C2" w:rsidRDefault="002732B1" w:rsidP="00FF4CD7">
            <w:pPr>
              <w:rPr>
                <w:i/>
                <w:iCs/>
                <w:sz w:val="20"/>
                <w:szCs w:val="20"/>
                <w:lang w:eastAsia="sk-SK"/>
              </w:rPr>
            </w:pPr>
            <w:r w:rsidRPr="00732960">
              <w:rPr>
                <w:i/>
                <w:iCs/>
                <w:sz w:val="20"/>
                <w:szCs w:val="20"/>
                <w:lang w:eastAsia="sk-SK"/>
              </w:rPr>
              <w:t>ks_338756</w:t>
            </w:r>
          </w:p>
        </w:tc>
        <w:tc>
          <w:tcPr>
            <w:tcW w:w="1438" w:type="dxa"/>
            <w:gridSpan w:val="2"/>
          </w:tcPr>
          <w:p w14:paraId="3C36B905" w14:textId="77777777" w:rsidR="002732B1" w:rsidRPr="002732B1" w:rsidRDefault="002732B1" w:rsidP="00FF4CD7">
            <w:pPr>
              <w:jc w:val="both"/>
              <w:rPr>
                <w:sz w:val="22"/>
                <w:lang w:eastAsia="sk-SK"/>
              </w:rPr>
            </w:pPr>
            <w:r w:rsidRPr="002732B1">
              <w:rPr>
                <w:sz w:val="22"/>
                <w:lang w:eastAsia="sk-SK"/>
              </w:rPr>
              <w:t>Vytvorenie osvedčovacej doložky zaručenej konverzie</w:t>
            </w:r>
          </w:p>
        </w:tc>
        <w:tc>
          <w:tcPr>
            <w:tcW w:w="1559" w:type="dxa"/>
            <w:vAlign w:val="center"/>
          </w:tcPr>
          <w:p w14:paraId="1A64D181"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004EA445" w14:textId="77777777" w:rsidTr="00FF4CD7">
        <w:trPr>
          <w:trHeight w:val="20"/>
          <w:jc w:val="center"/>
        </w:trPr>
        <w:tc>
          <w:tcPr>
            <w:tcW w:w="3956" w:type="dxa"/>
            <w:vMerge/>
          </w:tcPr>
          <w:p w14:paraId="51588EA0" w14:textId="77777777" w:rsidR="002732B1" w:rsidRPr="00FC2B55" w:rsidRDefault="002732B1" w:rsidP="00FF4CD7">
            <w:pPr>
              <w:rPr>
                <w:b/>
                <w:sz w:val="20"/>
                <w:lang w:eastAsia="sk-SK"/>
              </w:rPr>
            </w:pPr>
          </w:p>
        </w:tc>
        <w:tc>
          <w:tcPr>
            <w:tcW w:w="1142" w:type="dxa"/>
            <w:vMerge/>
            <w:vAlign w:val="center"/>
          </w:tcPr>
          <w:p w14:paraId="4D646C96" w14:textId="77777777" w:rsidR="002732B1" w:rsidRDefault="002732B1" w:rsidP="00FF4CD7">
            <w:pPr>
              <w:jc w:val="center"/>
              <w:rPr>
                <w:lang w:eastAsia="sk-SK"/>
              </w:rPr>
            </w:pPr>
          </w:p>
        </w:tc>
        <w:tc>
          <w:tcPr>
            <w:tcW w:w="1276" w:type="dxa"/>
          </w:tcPr>
          <w:p w14:paraId="20A695E1" w14:textId="77777777" w:rsidR="002732B1" w:rsidRPr="00DD11C2" w:rsidRDefault="002732B1" w:rsidP="00FF4CD7">
            <w:pPr>
              <w:rPr>
                <w:i/>
                <w:iCs/>
                <w:sz w:val="20"/>
                <w:szCs w:val="20"/>
                <w:lang w:eastAsia="sk-SK"/>
              </w:rPr>
            </w:pPr>
            <w:r w:rsidRPr="00732960">
              <w:rPr>
                <w:i/>
                <w:iCs/>
                <w:sz w:val="20"/>
                <w:szCs w:val="20"/>
                <w:lang w:eastAsia="sk-SK"/>
              </w:rPr>
              <w:t>ks_338755</w:t>
            </w:r>
          </w:p>
        </w:tc>
        <w:tc>
          <w:tcPr>
            <w:tcW w:w="1438" w:type="dxa"/>
            <w:gridSpan w:val="2"/>
          </w:tcPr>
          <w:p w14:paraId="31D094FB" w14:textId="77777777" w:rsidR="002732B1" w:rsidRPr="002732B1" w:rsidRDefault="002732B1" w:rsidP="00FF4CD7">
            <w:pPr>
              <w:jc w:val="both"/>
              <w:rPr>
                <w:sz w:val="22"/>
                <w:lang w:eastAsia="sk-SK"/>
              </w:rPr>
            </w:pPr>
            <w:r w:rsidRPr="002732B1">
              <w:rPr>
                <w:sz w:val="22"/>
                <w:lang w:eastAsia="sk-SK"/>
              </w:rPr>
              <w:t>Asistencia pre výpis z katastra nehnuteľností</w:t>
            </w:r>
          </w:p>
        </w:tc>
        <w:tc>
          <w:tcPr>
            <w:tcW w:w="1559" w:type="dxa"/>
            <w:vAlign w:val="center"/>
          </w:tcPr>
          <w:p w14:paraId="29F03C86"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3C574808" w14:textId="77777777" w:rsidTr="00FF4CD7">
        <w:trPr>
          <w:trHeight w:val="20"/>
          <w:jc w:val="center"/>
        </w:trPr>
        <w:tc>
          <w:tcPr>
            <w:tcW w:w="3956" w:type="dxa"/>
            <w:vMerge/>
          </w:tcPr>
          <w:p w14:paraId="64009865" w14:textId="77777777" w:rsidR="002732B1" w:rsidRPr="00FC2B55" w:rsidRDefault="002732B1" w:rsidP="00FF4CD7">
            <w:pPr>
              <w:rPr>
                <w:b/>
                <w:sz w:val="20"/>
                <w:lang w:eastAsia="sk-SK"/>
              </w:rPr>
            </w:pPr>
          </w:p>
        </w:tc>
        <w:tc>
          <w:tcPr>
            <w:tcW w:w="1142" w:type="dxa"/>
            <w:vMerge/>
            <w:vAlign w:val="center"/>
          </w:tcPr>
          <w:p w14:paraId="05E356C7" w14:textId="77777777" w:rsidR="002732B1" w:rsidRDefault="002732B1" w:rsidP="00FF4CD7">
            <w:pPr>
              <w:jc w:val="center"/>
              <w:rPr>
                <w:lang w:eastAsia="sk-SK"/>
              </w:rPr>
            </w:pPr>
          </w:p>
        </w:tc>
        <w:tc>
          <w:tcPr>
            <w:tcW w:w="1276" w:type="dxa"/>
          </w:tcPr>
          <w:p w14:paraId="7D84CA5C" w14:textId="77777777" w:rsidR="002732B1" w:rsidRPr="00DD11C2" w:rsidRDefault="002732B1" w:rsidP="00FF4CD7">
            <w:pPr>
              <w:rPr>
                <w:i/>
                <w:iCs/>
                <w:sz w:val="20"/>
                <w:szCs w:val="20"/>
                <w:lang w:eastAsia="sk-SK"/>
              </w:rPr>
            </w:pPr>
            <w:r w:rsidRPr="00732960">
              <w:rPr>
                <w:i/>
                <w:iCs/>
                <w:sz w:val="20"/>
                <w:szCs w:val="20"/>
                <w:lang w:eastAsia="sk-SK"/>
              </w:rPr>
              <w:t>ks_338749</w:t>
            </w:r>
          </w:p>
        </w:tc>
        <w:tc>
          <w:tcPr>
            <w:tcW w:w="1438" w:type="dxa"/>
            <w:gridSpan w:val="2"/>
          </w:tcPr>
          <w:p w14:paraId="6A5422DB" w14:textId="77777777" w:rsidR="002732B1" w:rsidRPr="002732B1" w:rsidRDefault="002732B1" w:rsidP="00FF4CD7">
            <w:pPr>
              <w:jc w:val="both"/>
              <w:rPr>
                <w:sz w:val="22"/>
                <w:lang w:eastAsia="sk-SK"/>
              </w:rPr>
            </w:pPr>
            <w:r w:rsidRPr="002732B1">
              <w:rPr>
                <w:sz w:val="22"/>
                <w:lang w:eastAsia="sk-SK"/>
              </w:rPr>
              <w:t>Asistencia pre výpis z obchodného registra</w:t>
            </w:r>
          </w:p>
        </w:tc>
        <w:tc>
          <w:tcPr>
            <w:tcW w:w="1559" w:type="dxa"/>
            <w:vAlign w:val="center"/>
          </w:tcPr>
          <w:p w14:paraId="38CA1A14"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501387A0" w14:textId="77777777" w:rsidTr="00FF4CD7">
        <w:trPr>
          <w:trHeight w:val="20"/>
          <w:jc w:val="center"/>
        </w:trPr>
        <w:tc>
          <w:tcPr>
            <w:tcW w:w="3956" w:type="dxa"/>
            <w:vMerge/>
          </w:tcPr>
          <w:p w14:paraId="7B7341C8" w14:textId="77777777" w:rsidR="002732B1" w:rsidRPr="00FC2B55" w:rsidRDefault="002732B1" w:rsidP="00FF4CD7">
            <w:pPr>
              <w:rPr>
                <w:b/>
                <w:sz w:val="20"/>
                <w:lang w:eastAsia="sk-SK"/>
              </w:rPr>
            </w:pPr>
          </w:p>
        </w:tc>
        <w:tc>
          <w:tcPr>
            <w:tcW w:w="1142" w:type="dxa"/>
            <w:vMerge/>
            <w:vAlign w:val="center"/>
          </w:tcPr>
          <w:p w14:paraId="0FAF7E8F" w14:textId="77777777" w:rsidR="002732B1" w:rsidRDefault="002732B1" w:rsidP="00FF4CD7">
            <w:pPr>
              <w:jc w:val="center"/>
              <w:rPr>
                <w:lang w:eastAsia="sk-SK"/>
              </w:rPr>
            </w:pPr>
          </w:p>
        </w:tc>
        <w:tc>
          <w:tcPr>
            <w:tcW w:w="1276" w:type="dxa"/>
          </w:tcPr>
          <w:p w14:paraId="5A96F2D0" w14:textId="77777777" w:rsidR="002732B1" w:rsidRPr="00DD11C2" w:rsidRDefault="002732B1" w:rsidP="00FF4CD7">
            <w:pPr>
              <w:rPr>
                <w:i/>
                <w:iCs/>
                <w:sz w:val="20"/>
                <w:szCs w:val="20"/>
                <w:lang w:eastAsia="sk-SK"/>
              </w:rPr>
            </w:pPr>
            <w:r w:rsidRPr="00732960">
              <w:rPr>
                <w:i/>
                <w:iCs/>
                <w:sz w:val="20"/>
                <w:szCs w:val="20"/>
                <w:lang w:eastAsia="sk-SK"/>
              </w:rPr>
              <w:t>ks_338725</w:t>
            </w:r>
          </w:p>
        </w:tc>
        <w:tc>
          <w:tcPr>
            <w:tcW w:w="1438" w:type="dxa"/>
            <w:gridSpan w:val="2"/>
          </w:tcPr>
          <w:p w14:paraId="6BEDFE9C" w14:textId="77777777" w:rsidR="002732B1" w:rsidRPr="002732B1" w:rsidRDefault="002732B1" w:rsidP="00FF4CD7">
            <w:pPr>
              <w:jc w:val="both"/>
              <w:rPr>
                <w:sz w:val="22"/>
                <w:lang w:eastAsia="sk-SK"/>
              </w:rPr>
            </w:pPr>
            <w:r w:rsidRPr="002732B1">
              <w:rPr>
                <w:sz w:val="22"/>
                <w:lang w:eastAsia="sk-SK"/>
              </w:rPr>
              <w:t>Asistencia pre výpis/odpis z registra trestov</w:t>
            </w:r>
          </w:p>
        </w:tc>
        <w:tc>
          <w:tcPr>
            <w:tcW w:w="1559" w:type="dxa"/>
            <w:vAlign w:val="center"/>
          </w:tcPr>
          <w:p w14:paraId="244D99D7" w14:textId="77777777" w:rsidR="002732B1" w:rsidRPr="002732B1" w:rsidRDefault="002732B1" w:rsidP="00FF4CD7">
            <w:pPr>
              <w:jc w:val="center"/>
              <w:rPr>
                <w:b/>
                <w:i/>
                <w:sz w:val="22"/>
                <w:lang w:eastAsia="sk-SK"/>
              </w:rPr>
            </w:pPr>
            <w:r w:rsidRPr="002732B1">
              <w:rPr>
                <w:b/>
                <w:i/>
                <w:sz w:val="22"/>
                <w:lang w:eastAsia="sk-SK"/>
              </w:rPr>
              <w:t>4</w:t>
            </w:r>
          </w:p>
        </w:tc>
      </w:tr>
      <w:tr w:rsidR="002732B1" w:rsidRPr="00FC2B55" w14:paraId="2E11D3CF" w14:textId="77777777" w:rsidTr="00FF4CD7">
        <w:trPr>
          <w:trHeight w:val="20"/>
          <w:jc w:val="center"/>
        </w:trPr>
        <w:tc>
          <w:tcPr>
            <w:tcW w:w="3956" w:type="dxa"/>
            <w:shd w:val="clear" w:color="auto" w:fill="C0C0C0"/>
            <w:vAlign w:val="center"/>
          </w:tcPr>
          <w:p w14:paraId="1846D9A6" w14:textId="77777777" w:rsidR="002732B1" w:rsidRPr="00FC2B55" w:rsidRDefault="002732B1" w:rsidP="00FF4CD7">
            <w:pPr>
              <w:jc w:val="center"/>
              <w:rPr>
                <w:b/>
                <w:sz w:val="20"/>
                <w:szCs w:val="20"/>
                <w:lang w:eastAsia="sk-SK"/>
              </w:rPr>
            </w:pPr>
            <w:r w:rsidRPr="00FC2B55">
              <w:rPr>
                <w:b/>
                <w:sz w:val="20"/>
                <w:szCs w:val="20"/>
                <w:lang w:eastAsia="sk-SK"/>
              </w:rPr>
              <w:t>Aplikačná a technologická vrstva</w:t>
            </w:r>
          </w:p>
        </w:tc>
        <w:tc>
          <w:tcPr>
            <w:tcW w:w="1142" w:type="dxa"/>
            <w:shd w:val="clear" w:color="auto" w:fill="C0C0C0"/>
          </w:tcPr>
          <w:p w14:paraId="71186495" w14:textId="77777777" w:rsidR="002732B1" w:rsidRPr="00FC2B55" w:rsidRDefault="002732B1" w:rsidP="00FF4CD7">
            <w:pPr>
              <w:jc w:val="center"/>
              <w:rPr>
                <w:b/>
                <w:sz w:val="20"/>
                <w:szCs w:val="20"/>
                <w:lang w:eastAsia="sk-SK"/>
              </w:rPr>
            </w:pPr>
            <w:r w:rsidRPr="00FC2B55">
              <w:rPr>
                <w:b/>
                <w:sz w:val="20"/>
                <w:szCs w:val="20"/>
                <w:lang w:eastAsia="sk-SK"/>
              </w:rPr>
              <w:t>A – nový systém</w:t>
            </w:r>
          </w:p>
          <w:p w14:paraId="4FD79992" w14:textId="77777777" w:rsidR="002732B1" w:rsidRPr="00FC2B55" w:rsidRDefault="002732B1" w:rsidP="00FF4CD7">
            <w:pPr>
              <w:jc w:val="center"/>
              <w:rPr>
                <w:b/>
                <w:sz w:val="20"/>
                <w:szCs w:val="20"/>
                <w:lang w:eastAsia="sk-SK"/>
              </w:rPr>
            </w:pPr>
            <w:r w:rsidRPr="00FC2B55">
              <w:rPr>
                <w:b/>
                <w:sz w:val="20"/>
                <w:szCs w:val="20"/>
                <w:lang w:eastAsia="sk-SK"/>
              </w:rPr>
              <w:t>B – zmena systému</w:t>
            </w:r>
          </w:p>
        </w:tc>
        <w:tc>
          <w:tcPr>
            <w:tcW w:w="1276" w:type="dxa"/>
            <w:shd w:val="clear" w:color="auto" w:fill="C0C0C0"/>
            <w:vAlign w:val="center"/>
          </w:tcPr>
          <w:p w14:paraId="1D2B502E" w14:textId="77777777" w:rsidR="002732B1" w:rsidRPr="00FC2B55" w:rsidRDefault="002732B1" w:rsidP="00FF4CD7">
            <w:pPr>
              <w:jc w:val="center"/>
              <w:rPr>
                <w:b/>
                <w:sz w:val="20"/>
                <w:szCs w:val="20"/>
                <w:lang w:eastAsia="sk-SK"/>
              </w:rPr>
            </w:pPr>
            <w:r w:rsidRPr="00FC2B55">
              <w:rPr>
                <w:b/>
                <w:sz w:val="20"/>
                <w:szCs w:val="20"/>
                <w:lang w:eastAsia="sk-SK"/>
              </w:rPr>
              <w:t>Kód systému</w:t>
            </w:r>
          </w:p>
        </w:tc>
        <w:tc>
          <w:tcPr>
            <w:tcW w:w="1438" w:type="dxa"/>
            <w:gridSpan w:val="2"/>
            <w:shd w:val="clear" w:color="auto" w:fill="C0C0C0"/>
            <w:vAlign w:val="center"/>
          </w:tcPr>
          <w:p w14:paraId="21AFBBE5" w14:textId="77777777" w:rsidR="002732B1" w:rsidRPr="00FC2B55" w:rsidRDefault="002732B1" w:rsidP="00FF4CD7">
            <w:pPr>
              <w:jc w:val="center"/>
              <w:rPr>
                <w:b/>
                <w:sz w:val="20"/>
                <w:szCs w:val="20"/>
                <w:lang w:eastAsia="sk-SK"/>
              </w:rPr>
            </w:pPr>
            <w:r w:rsidRPr="00FC2B55">
              <w:rPr>
                <w:b/>
                <w:sz w:val="20"/>
                <w:szCs w:val="20"/>
                <w:lang w:eastAsia="sk-SK"/>
              </w:rPr>
              <w:t>Názov systému</w:t>
            </w:r>
          </w:p>
        </w:tc>
        <w:tc>
          <w:tcPr>
            <w:tcW w:w="1559" w:type="dxa"/>
            <w:shd w:val="clear" w:color="auto" w:fill="C0C0C0"/>
            <w:vAlign w:val="center"/>
          </w:tcPr>
          <w:p w14:paraId="6DC80918" w14:textId="77777777" w:rsidR="002732B1" w:rsidRPr="00FC2B55" w:rsidRDefault="002732B1" w:rsidP="00FF4CD7">
            <w:pPr>
              <w:jc w:val="center"/>
              <w:rPr>
                <w:b/>
                <w:sz w:val="20"/>
                <w:szCs w:val="20"/>
                <w:lang w:eastAsia="sk-SK"/>
              </w:rPr>
            </w:pPr>
            <w:r w:rsidRPr="00FC2B55">
              <w:rPr>
                <w:b/>
                <w:sz w:val="20"/>
                <w:szCs w:val="20"/>
                <w:lang w:eastAsia="sk-SK"/>
              </w:rPr>
              <w:t>Vo vládnom cloude – áno / nie</w:t>
            </w:r>
          </w:p>
        </w:tc>
      </w:tr>
      <w:tr w:rsidR="002732B1" w:rsidRPr="00FC2B55" w14:paraId="2A2A7F97" w14:textId="77777777" w:rsidTr="00FF4CD7">
        <w:trPr>
          <w:trHeight w:val="897"/>
          <w:jc w:val="center"/>
        </w:trPr>
        <w:tc>
          <w:tcPr>
            <w:tcW w:w="3956" w:type="dxa"/>
            <w:vMerge w:val="restart"/>
          </w:tcPr>
          <w:p w14:paraId="7CF769DD" w14:textId="77777777" w:rsidR="002732B1" w:rsidRPr="00FC2B55" w:rsidRDefault="002732B1" w:rsidP="00FF4CD7">
            <w:pPr>
              <w:rPr>
                <w:lang w:eastAsia="sk-SK"/>
              </w:rPr>
            </w:pPr>
            <w:r w:rsidRPr="00FC2B55">
              <w:rPr>
                <w:b/>
                <w:sz w:val="20"/>
                <w:szCs w:val="20"/>
                <w:lang w:eastAsia="sk-SK"/>
              </w:rPr>
              <w:t>6.2.</w:t>
            </w:r>
            <w:r w:rsidRPr="00FC2B55">
              <w:rPr>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142" w:type="dxa"/>
            <w:vAlign w:val="center"/>
          </w:tcPr>
          <w:p w14:paraId="3AA52FEF" w14:textId="77777777" w:rsidR="002732B1" w:rsidRPr="004C5F44" w:rsidRDefault="002732B1" w:rsidP="00FF4CD7">
            <w:pPr>
              <w:jc w:val="center"/>
              <w:rPr>
                <w:iCs/>
                <w:sz w:val="20"/>
                <w:szCs w:val="20"/>
                <w:lang w:eastAsia="sk-SK"/>
              </w:rPr>
            </w:pPr>
            <w:r w:rsidRPr="004C5F44">
              <w:rPr>
                <w:iCs/>
                <w:sz w:val="20"/>
                <w:szCs w:val="20"/>
                <w:lang w:eastAsia="sk-SK"/>
              </w:rPr>
              <w:t>B</w:t>
            </w:r>
          </w:p>
        </w:tc>
        <w:tc>
          <w:tcPr>
            <w:tcW w:w="1276" w:type="dxa"/>
            <w:vAlign w:val="center"/>
          </w:tcPr>
          <w:p w14:paraId="6E2CA5FC" w14:textId="77777777" w:rsidR="002732B1" w:rsidRPr="004C5F44" w:rsidRDefault="002732B1" w:rsidP="00FF4CD7">
            <w:pPr>
              <w:rPr>
                <w:i/>
                <w:iCs/>
                <w:sz w:val="20"/>
                <w:szCs w:val="20"/>
                <w:lang w:eastAsia="sk-SK"/>
              </w:rPr>
            </w:pPr>
            <w:r w:rsidRPr="004C5F44">
              <w:rPr>
                <w:i/>
                <w:iCs/>
                <w:sz w:val="20"/>
                <w:szCs w:val="20"/>
                <w:lang w:eastAsia="sk-SK"/>
              </w:rPr>
              <w:t>isvs_62</w:t>
            </w:r>
          </w:p>
        </w:tc>
        <w:tc>
          <w:tcPr>
            <w:tcW w:w="1438" w:type="dxa"/>
            <w:gridSpan w:val="2"/>
            <w:vAlign w:val="center"/>
          </w:tcPr>
          <w:p w14:paraId="41E89D4C" w14:textId="77777777" w:rsidR="002732B1" w:rsidRPr="004C5F44" w:rsidRDefault="002732B1" w:rsidP="00FF4CD7">
            <w:pPr>
              <w:rPr>
                <w:iCs/>
                <w:sz w:val="20"/>
                <w:szCs w:val="20"/>
                <w:lang w:eastAsia="sk-SK"/>
              </w:rPr>
            </w:pPr>
            <w:r w:rsidRPr="004C5F44">
              <w:rPr>
                <w:iCs/>
                <w:sz w:val="20"/>
                <w:szCs w:val="20"/>
                <w:lang w:eastAsia="sk-SK"/>
              </w:rPr>
              <w:t>Ústredný portál verejnej správy</w:t>
            </w:r>
          </w:p>
        </w:tc>
        <w:tc>
          <w:tcPr>
            <w:tcW w:w="1559" w:type="dxa"/>
            <w:vAlign w:val="center"/>
          </w:tcPr>
          <w:p w14:paraId="13E7440E" w14:textId="77777777" w:rsidR="002732B1" w:rsidRPr="004C5F44" w:rsidRDefault="002732B1" w:rsidP="00FF4CD7">
            <w:pPr>
              <w:rPr>
                <w:iCs/>
                <w:sz w:val="20"/>
                <w:szCs w:val="20"/>
                <w:lang w:eastAsia="sk-SK"/>
              </w:rPr>
            </w:pPr>
            <w:r w:rsidRPr="004C5F44">
              <w:rPr>
                <w:iCs/>
                <w:sz w:val="20"/>
                <w:szCs w:val="20"/>
                <w:lang w:eastAsia="sk-SK"/>
              </w:rPr>
              <w:t>áno</w:t>
            </w:r>
          </w:p>
        </w:tc>
      </w:tr>
      <w:tr w:rsidR="002732B1" w:rsidRPr="00FC2B55" w14:paraId="79A17BC9" w14:textId="77777777" w:rsidTr="00FF4CD7">
        <w:trPr>
          <w:trHeight w:val="20"/>
          <w:jc w:val="center"/>
        </w:trPr>
        <w:tc>
          <w:tcPr>
            <w:tcW w:w="3956" w:type="dxa"/>
            <w:vMerge/>
          </w:tcPr>
          <w:p w14:paraId="3B6D87AB" w14:textId="77777777" w:rsidR="002732B1" w:rsidRPr="00FC2B55" w:rsidRDefault="002732B1" w:rsidP="00FF4CD7">
            <w:pPr>
              <w:rPr>
                <w:b/>
                <w:sz w:val="20"/>
                <w:szCs w:val="20"/>
                <w:lang w:eastAsia="sk-SK"/>
              </w:rPr>
            </w:pPr>
          </w:p>
        </w:tc>
        <w:tc>
          <w:tcPr>
            <w:tcW w:w="1142" w:type="dxa"/>
            <w:vAlign w:val="center"/>
          </w:tcPr>
          <w:p w14:paraId="73FA6D5B" w14:textId="77777777" w:rsidR="002732B1" w:rsidRPr="004C5F44" w:rsidRDefault="002732B1" w:rsidP="00FF4CD7">
            <w:pPr>
              <w:jc w:val="center"/>
              <w:rPr>
                <w:iCs/>
                <w:sz w:val="20"/>
                <w:szCs w:val="20"/>
                <w:lang w:eastAsia="sk-SK"/>
              </w:rPr>
            </w:pPr>
            <w:r>
              <w:rPr>
                <w:iCs/>
                <w:sz w:val="20"/>
                <w:szCs w:val="20"/>
                <w:lang w:eastAsia="sk-SK"/>
              </w:rPr>
              <w:t>B*</w:t>
            </w:r>
          </w:p>
        </w:tc>
        <w:tc>
          <w:tcPr>
            <w:tcW w:w="1276" w:type="dxa"/>
            <w:vAlign w:val="center"/>
          </w:tcPr>
          <w:p w14:paraId="69422BC6" w14:textId="77777777" w:rsidR="002732B1" w:rsidRDefault="002732B1" w:rsidP="00FF4CD7">
            <w:pPr>
              <w:rPr>
                <w:i/>
                <w:iCs/>
                <w:sz w:val="20"/>
                <w:szCs w:val="20"/>
                <w:lang w:eastAsia="sk-SK"/>
              </w:rPr>
            </w:pPr>
          </w:p>
          <w:p w14:paraId="2A96448A" w14:textId="77777777" w:rsidR="002732B1" w:rsidRDefault="002732B1" w:rsidP="00FF4CD7">
            <w:pPr>
              <w:rPr>
                <w:i/>
                <w:iCs/>
                <w:sz w:val="20"/>
                <w:szCs w:val="20"/>
                <w:lang w:eastAsia="sk-SK"/>
              </w:rPr>
            </w:pPr>
            <w:r>
              <w:rPr>
                <w:i/>
                <w:iCs/>
                <w:sz w:val="20"/>
                <w:szCs w:val="20"/>
                <w:lang w:eastAsia="sk-SK"/>
              </w:rPr>
              <w:t>isvs_61</w:t>
            </w:r>
          </w:p>
          <w:p w14:paraId="61D03467" w14:textId="77777777" w:rsidR="002732B1" w:rsidRDefault="002732B1" w:rsidP="00FF4CD7">
            <w:pPr>
              <w:rPr>
                <w:i/>
                <w:iCs/>
                <w:sz w:val="20"/>
                <w:szCs w:val="20"/>
                <w:lang w:eastAsia="sk-SK"/>
              </w:rPr>
            </w:pPr>
          </w:p>
          <w:p w14:paraId="0B773E32" w14:textId="77777777" w:rsidR="002732B1" w:rsidRPr="004C5F44" w:rsidRDefault="002732B1" w:rsidP="00FF4CD7">
            <w:pPr>
              <w:rPr>
                <w:i/>
                <w:iCs/>
                <w:sz w:val="20"/>
                <w:szCs w:val="20"/>
                <w:lang w:eastAsia="sk-SK"/>
              </w:rPr>
            </w:pPr>
          </w:p>
        </w:tc>
        <w:tc>
          <w:tcPr>
            <w:tcW w:w="1438" w:type="dxa"/>
            <w:gridSpan w:val="2"/>
            <w:vAlign w:val="center"/>
          </w:tcPr>
          <w:p w14:paraId="7899B16B" w14:textId="77777777" w:rsidR="002732B1" w:rsidRPr="004C5F44" w:rsidRDefault="002732B1" w:rsidP="00FF4CD7">
            <w:pPr>
              <w:rPr>
                <w:iCs/>
                <w:sz w:val="20"/>
                <w:szCs w:val="20"/>
                <w:lang w:eastAsia="sk-SK"/>
              </w:rPr>
            </w:pPr>
            <w:r>
              <w:rPr>
                <w:iCs/>
                <w:sz w:val="20"/>
                <w:szCs w:val="20"/>
                <w:lang w:eastAsia="sk-SK"/>
              </w:rPr>
              <w:t>Integrované obslužné miesto</w:t>
            </w:r>
          </w:p>
        </w:tc>
        <w:tc>
          <w:tcPr>
            <w:tcW w:w="1559" w:type="dxa"/>
            <w:vAlign w:val="center"/>
          </w:tcPr>
          <w:p w14:paraId="3B384AFC" w14:textId="77777777" w:rsidR="002732B1" w:rsidRPr="004C5F44" w:rsidRDefault="002732B1" w:rsidP="00FF4CD7">
            <w:pPr>
              <w:rPr>
                <w:iCs/>
                <w:sz w:val="20"/>
                <w:szCs w:val="20"/>
                <w:lang w:eastAsia="sk-SK"/>
              </w:rPr>
            </w:pPr>
            <w:r>
              <w:rPr>
                <w:iCs/>
                <w:sz w:val="20"/>
                <w:szCs w:val="20"/>
                <w:lang w:eastAsia="sk-SK"/>
              </w:rPr>
              <w:t>-</w:t>
            </w:r>
          </w:p>
        </w:tc>
      </w:tr>
      <w:tr w:rsidR="002732B1" w:rsidRPr="00FC2B55" w14:paraId="4FE5903D" w14:textId="77777777" w:rsidTr="00FF4CD7">
        <w:trPr>
          <w:trHeight w:val="20"/>
          <w:jc w:val="center"/>
        </w:trPr>
        <w:tc>
          <w:tcPr>
            <w:tcW w:w="3956" w:type="dxa"/>
            <w:shd w:val="clear" w:color="auto" w:fill="BFBFBF" w:themeFill="background1" w:themeFillShade="BF"/>
            <w:vAlign w:val="center"/>
          </w:tcPr>
          <w:p w14:paraId="4316D0D8" w14:textId="77777777" w:rsidR="002732B1" w:rsidRPr="00FC2B55" w:rsidRDefault="002732B1" w:rsidP="00FF4CD7">
            <w:pPr>
              <w:spacing w:line="20" w:lineRule="atLeast"/>
              <w:jc w:val="center"/>
              <w:rPr>
                <w:b/>
                <w:sz w:val="20"/>
                <w:szCs w:val="20"/>
                <w:lang w:eastAsia="sk-SK"/>
              </w:rPr>
            </w:pPr>
            <w:r w:rsidRPr="00FC2B55">
              <w:rPr>
                <w:b/>
                <w:sz w:val="20"/>
                <w:szCs w:val="20"/>
                <w:lang w:eastAsia="sk-SK"/>
              </w:rPr>
              <w:t>Financovanie procesu informatizácie</w:t>
            </w:r>
          </w:p>
        </w:tc>
        <w:tc>
          <w:tcPr>
            <w:tcW w:w="1142" w:type="dxa"/>
            <w:shd w:val="clear" w:color="auto" w:fill="BFBFBF" w:themeFill="background1" w:themeFillShade="BF"/>
            <w:vAlign w:val="center"/>
          </w:tcPr>
          <w:p w14:paraId="5D56CE00" w14:textId="77777777" w:rsidR="002732B1" w:rsidRPr="00FC2B55" w:rsidRDefault="002732B1" w:rsidP="00FF4CD7">
            <w:pPr>
              <w:jc w:val="center"/>
              <w:rPr>
                <w:b/>
                <w:i/>
                <w:iCs/>
                <w:sz w:val="20"/>
                <w:szCs w:val="20"/>
                <w:lang w:eastAsia="sk-SK"/>
              </w:rPr>
            </w:pPr>
            <w:r w:rsidRPr="00FC2B55">
              <w:rPr>
                <w:b/>
                <w:sz w:val="20"/>
                <w:szCs w:val="20"/>
                <w:lang w:eastAsia="sk-SK"/>
              </w:rPr>
              <w:t>Rezortná úroveň</w:t>
            </w:r>
          </w:p>
        </w:tc>
        <w:tc>
          <w:tcPr>
            <w:tcW w:w="2288" w:type="dxa"/>
            <w:gridSpan w:val="2"/>
            <w:shd w:val="clear" w:color="auto" w:fill="BFBFBF" w:themeFill="background1" w:themeFillShade="BF"/>
            <w:vAlign w:val="center"/>
          </w:tcPr>
          <w:p w14:paraId="6629C68A" w14:textId="77777777" w:rsidR="002732B1" w:rsidRPr="00FC2B55" w:rsidRDefault="002732B1" w:rsidP="00FF4CD7">
            <w:pPr>
              <w:jc w:val="center"/>
              <w:rPr>
                <w:b/>
                <w:i/>
                <w:iCs/>
                <w:sz w:val="20"/>
                <w:szCs w:val="20"/>
                <w:lang w:eastAsia="sk-SK"/>
              </w:rPr>
            </w:pPr>
            <w:r w:rsidRPr="00FC2B55">
              <w:rPr>
                <w:b/>
                <w:sz w:val="20"/>
                <w:szCs w:val="20"/>
                <w:lang w:eastAsia="sk-SK"/>
              </w:rPr>
              <w:t>Nadrezortná úroveň</w:t>
            </w:r>
          </w:p>
          <w:p w14:paraId="6BB29597" w14:textId="77777777" w:rsidR="002732B1" w:rsidRPr="00FC2B55" w:rsidRDefault="002732B1" w:rsidP="00FF4CD7">
            <w:pPr>
              <w:jc w:val="center"/>
              <w:rPr>
                <w:b/>
                <w:sz w:val="20"/>
                <w:szCs w:val="20"/>
                <w:lang w:eastAsia="sk-SK"/>
              </w:rPr>
            </w:pPr>
          </w:p>
        </w:tc>
        <w:tc>
          <w:tcPr>
            <w:tcW w:w="1985" w:type="dxa"/>
            <w:gridSpan w:val="2"/>
            <w:shd w:val="clear" w:color="auto" w:fill="BFBFBF" w:themeFill="background1" w:themeFillShade="BF"/>
            <w:vAlign w:val="center"/>
          </w:tcPr>
          <w:p w14:paraId="3D21AC8E" w14:textId="77777777" w:rsidR="002732B1" w:rsidRPr="00FC2B55" w:rsidRDefault="002732B1" w:rsidP="00FF4CD7">
            <w:pPr>
              <w:rPr>
                <w:b/>
                <w:sz w:val="20"/>
                <w:szCs w:val="20"/>
                <w:lang w:eastAsia="sk-SK"/>
              </w:rPr>
            </w:pPr>
            <w:r w:rsidRPr="00FC2B55">
              <w:rPr>
                <w:b/>
                <w:sz w:val="20"/>
                <w:szCs w:val="20"/>
                <w:lang w:eastAsia="sk-SK"/>
              </w:rPr>
              <w:t>A - z prostriedkov EÚ   B - z ďalších zdrojov financovania</w:t>
            </w:r>
          </w:p>
        </w:tc>
      </w:tr>
      <w:tr w:rsidR="002732B1" w:rsidRPr="00FC2B55" w14:paraId="1084DCB5" w14:textId="77777777" w:rsidTr="00FF4CD7">
        <w:trPr>
          <w:trHeight w:val="1573"/>
          <w:jc w:val="center"/>
        </w:trPr>
        <w:tc>
          <w:tcPr>
            <w:tcW w:w="3956" w:type="dxa"/>
            <w:tcBorders>
              <w:bottom w:val="single" w:sz="4" w:space="0" w:color="auto"/>
            </w:tcBorders>
          </w:tcPr>
          <w:p w14:paraId="34DB4708" w14:textId="77777777" w:rsidR="002732B1" w:rsidRPr="00FC2B55" w:rsidRDefault="002732B1" w:rsidP="00FF4CD7">
            <w:pPr>
              <w:jc w:val="both"/>
              <w:rPr>
                <w:sz w:val="20"/>
                <w:lang w:eastAsia="sk-SK"/>
              </w:rPr>
            </w:pPr>
            <w:r w:rsidRPr="00FC2B55">
              <w:rPr>
                <w:b/>
                <w:sz w:val="20"/>
                <w:lang w:eastAsia="sk-SK"/>
              </w:rPr>
              <w:t>6.3.</w:t>
            </w:r>
            <w:r w:rsidRPr="00FC2B55">
              <w:rPr>
                <w:sz w:val="20"/>
                <w:lang w:eastAsia="sk-SK"/>
              </w:rPr>
              <w:t xml:space="preserve"> Vyžaduje si proces informatizácie  finančné investície?</w:t>
            </w:r>
          </w:p>
          <w:p w14:paraId="5B40D3B3" w14:textId="77777777" w:rsidR="002732B1" w:rsidRPr="00FC2B55" w:rsidRDefault="002732B1" w:rsidP="00FF4CD7">
            <w:pPr>
              <w:spacing w:line="20" w:lineRule="atLeast"/>
              <w:jc w:val="both"/>
              <w:rPr>
                <w:lang w:eastAsia="sk-SK"/>
              </w:rPr>
            </w:pPr>
            <w:r w:rsidRPr="00FC2B55">
              <w:rPr>
                <w:i/>
                <w:iCs/>
                <w:sz w:val="20"/>
                <w:lang w:eastAsia="sk-SK"/>
              </w:rPr>
              <w:t>(Uveďte príslušnú úroveň financovania a kvantifikáciu finančných výdavkov uveďte  v analýze vplyvov na rozpočet verejnej správy.)</w:t>
            </w:r>
          </w:p>
        </w:tc>
        <w:tc>
          <w:tcPr>
            <w:tcW w:w="1142" w:type="dxa"/>
            <w:tcBorders>
              <w:bottom w:val="single" w:sz="4" w:space="0" w:color="auto"/>
            </w:tcBorders>
            <w:vAlign w:val="center"/>
          </w:tcPr>
          <w:p w14:paraId="6106530A" w14:textId="77777777" w:rsidR="002732B1" w:rsidRPr="007B07A7" w:rsidRDefault="002732B1" w:rsidP="00FF4CD7">
            <w:pPr>
              <w:jc w:val="center"/>
              <w:rPr>
                <w:iCs/>
                <w:sz w:val="20"/>
                <w:szCs w:val="20"/>
                <w:highlight w:val="yellow"/>
                <w:lang w:eastAsia="sk-SK"/>
              </w:rPr>
            </w:pPr>
            <w:r w:rsidRPr="007B07A7">
              <w:rPr>
                <w:iCs/>
                <w:sz w:val="20"/>
                <w:szCs w:val="20"/>
                <w:lang w:eastAsia="sk-SK"/>
              </w:rPr>
              <w:t>X</w:t>
            </w:r>
          </w:p>
        </w:tc>
        <w:tc>
          <w:tcPr>
            <w:tcW w:w="2288" w:type="dxa"/>
            <w:gridSpan w:val="2"/>
            <w:tcBorders>
              <w:bottom w:val="single" w:sz="4" w:space="0" w:color="auto"/>
            </w:tcBorders>
          </w:tcPr>
          <w:p w14:paraId="4AAC9EBE" w14:textId="77777777" w:rsidR="002732B1" w:rsidRPr="00FC2B55" w:rsidRDefault="002732B1" w:rsidP="00FF4CD7">
            <w:pPr>
              <w:rPr>
                <w:i/>
                <w:iCs/>
                <w:lang w:eastAsia="sk-SK"/>
              </w:rPr>
            </w:pPr>
          </w:p>
        </w:tc>
        <w:tc>
          <w:tcPr>
            <w:tcW w:w="1985" w:type="dxa"/>
            <w:gridSpan w:val="2"/>
            <w:tcBorders>
              <w:bottom w:val="single" w:sz="4" w:space="0" w:color="auto"/>
            </w:tcBorders>
          </w:tcPr>
          <w:p w14:paraId="5B52BF61" w14:textId="77777777" w:rsidR="002732B1" w:rsidRPr="00FC2B55" w:rsidRDefault="002732B1" w:rsidP="00FF4CD7">
            <w:pPr>
              <w:rPr>
                <w:i/>
                <w:iCs/>
                <w:lang w:eastAsia="sk-SK"/>
              </w:rPr>
            </w:pPr>
          </w:p>
        </w:tc>
      </w:tr>
      <w:tr w:rsidR="002732B1" w:rsidRPr="00FC2B55" w14:paraId="184DC18F" w14:textId="77777777" w:rsidTr="00FF4CD7">
        <w:trPr>
          <w:trHeight w:val="20"/>
          <w:jc w:val="center"/>
        </w:trPr>
        <w:tc>
          <w:tcPr>
            <w:tcW w:w="9371" w:type="dxa"/>
            <w:gridSpan w:val="6"/>
            <w:shd w:val="clear" w:color="auto" w:fill="auto"/>
          </w:tcPr>
          <w:p w14:paraId="1E6B5469" w14:textId="77777777" w:rsidR="00FF4CD7" w:rsidRDefault="00FF4CD7" w:rsidP="00FF4CD7">
            <w:pPr>
              <w:spacing w:line="20" w:lineRule="atLeast"/>
              <w:jc w:val="center"/>
              <w:rPr>
                <w:b/>
                <w:lang w:eastAsia="sk-SK"/>
              </w:rPr>
            </w:pPr>
          </w:p>
          <w:p w14:paraId="5413D7E1" w14:textId="6BFE8619" w:rsidR="002732B1" w:rsidRPr="00FC2B55" w:rsidRDefault="002732B1" w:rsidP="00FF4CD7">
            <w:pPr>
              <w:spacing w:line="20" w:lineRule="atLeast"/>
              <w:jc w:val="center"/>
              <w:rPr>
                <w:i/>
                <w:iCs/>
                <w:highlight w:val="darkGray"/>
                <w:lang w:eastAsia="sk-SK"/>
              </w:rPr>
            </w:pPr>
            <w:r w:rsidRPr="00FC2B55">
              <w:rPr>
                <w:b/>
                <w:lang w:eastAsia="sk-SK"/>
              </w:rPr>
              <w:lastRenderedPageBreak/>
              <w:t>Zjednodušenie prístupu ku konaniu a odstraňovanie byrokracie</w:t>
            </w:r>
          </w:p>
        </w:tc>
      </w:tr>
      <w:tr w:rsidR="002732B1" w:rsidRPr="00FC2B55" w14:paraId="06AA2277" w14:textId="77777777" w:rsidTr="00FF4CD7">
        <w:trPr>
          <w:trHeight w:val="20"/>
          <w:jc w:val="center"/>
        </w:trPr>
        <w:tc>
          <w:tcPr>
            <w:tcW w:w="9371" w:type="dxa"/>
            <w:gridSpan w:val="6"/>
            <w:shd w:val="clear" w:color="auto" w:fill="auto"/>
          </w:tcPr>
          <w:p w14:paraId="7A075739" w14:textId="77777777" w:rsidR="002732B1" w:rsidRPr="00FC2B55" w:rsidRDefault="002732B1" w:rsidP="00FF4CD7">
            <w:pPr>
              <w:spacing w:line="20" w:lineRule="atLeast"/>
              <w:jc w:val="center"/>
              <w:rPr>
                <w:b/>
                <w:sz w:val="20"/>
                <w:szCs w:val="20"/>
                <w:lang w:eastAsia="sk-SK"/>
              </w:rPr>
            </w:pPr>
            <w:r w:rsidRPr="00FC2B55">
              <w:rPr>
                <w:b/>
                <w:sz w:val="20"/>
                <w:szCs w:val="20"/>
                <w:lang w:eastAsia="sk-SK"/>
              </w:rPr>
              <w:lastRenderedPageBreak/>
              <w:t>Elektronické konanie</w:t>
            </w:r>
          </w:p>
        </w:tc>
      </w:tr>
      <w:tr w:rsidR="002732B1" w:rsidRPr="00FC2B55" w14:paraId="4462D0AC" w14:textId="77777777" w:rsidTr="00FF4CD7">
        <w:trPr>
          <w:trHeight w:val="20"/>
          <w:jc w:val="center"/>
        </w:trPr>
        <w:tc>
          <w:tcPr>
            <w:tcW w:w="3956" w:type="dxa"/>
          </w:tcPr>
          <w:p w14:paraId="47F8F357" w14:textId="77777777" w:rsidR="002732B1" w:rsidRPr="00FC2B55" w:rsidRDefault="002732B1" w:rsidP="00FF4CD7">
            <w:pPr>
              <w:jc w:val="both"/>
              <w:rPr>
                <w:b/>
                <w:sz w:val="20"/>
                <w:lang w:eastAsia="sk-SK"/>
              </w:rPr>
            </w:pPr>
            <w:r w:rsidRPr="00FC2B55">
              <w:rPr>
                <w:b/>
                <w:sz w:val="20"/>
                <w:lang w:eastAsia="sk-SK"/>
              </w:rPr>
              <w:t xml:space="preserve">6.4.1. </w:t>
            </w:r>
            <w:r w:rsidRPr="00FC2B55">
              <w:rPr>
                <w:sz w:val="20"/>
                <w:lang w:eastAsia="sk-SK"/>
              </w:rPr>
              <w:t>Predpokladá predložený návrh vedenie konania o právach, právom chránených záujmoch alebo povinnostiach fyzických osôb a právnických osôb?</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62839E26" w14:textId="77777777" w:rsidTr="00FF4CD7">
              <w:sdt>
                <w:sdtPr>
                  <w:rPr>
                    <w:sz w:val="20"/>
                    <w:szCs w:val="20"/>
                    <w:lang w:eastAsia="sk-SK"/>
                  </w:rPr>
                  <w:id w:val="1051428338"/>
                  <w14:checkbox>
                    <w14:checked w14:val="0"/>
                    <w14:checkedState w14:val="2612" w14:font="MS Gothic"/>
                    <w14:uncheckedState w14:val="2610" w14:font="MS Gothic"/>
                  </w14:checkbox>
                </w:sdtPr>
                <w:sdtEndPr/>
                <w:sdtContent>
                  <w:tc>
                    <w:tcPr>
                      <w:tcW w:w="436" w:type="dxa"/>
                    </w:tcPr>
                    <w:p w14:paraId="349C2EB7"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6B901B6"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2B5BDE36" w14:textId="77777777" w:rsidTr="00FF4CD7">
              <w:sdt>
                <w:sdtPr>
                  <w:rPr>
                    <w:sz w:val="20"/>
                    <w:szCs w:val="20"/>
                    <w:lang w:eastAsia="sk-SK"/>
                  </w:rPr>
                  <w:id w:val="-200025544"/>
                  <w14:checkbox>
                    <w14:checked w14:val="1"/>
                    <w14:checkedState w14:val="2612" w14:font="MS Gothic"/>
                    <w14:uncheckedState w14:val="2610" w14:font="MS Gothic"/>
                  </w14:checkbox>
                </w:sdtPr>
                <w:sdtEndPr/>
                <w:sdtContent>
                  <w:tc>
                    <w:tcPr>
                      <w:tcW w:w="436" w:type="dxa"/>
                    </w:tcPr>
                    <w:p w14:paraId="6E56FB62"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19F6C7CE"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7E68962E" w14:textId="77777777" w:rsidR="002732B1" w:rsidRPr="00FC2B55" w:rsidRDefault="002732B1" w:rsidP="00FF4CD7">
            <w:pPr>
              <w:rPr>
                <w:lang w:eastAsia="sk-SK"/>
              </w:rPr>
            </w:pPr>
          </w:p>
        </w:tc>
        <w:tc>
          <w:tcPr>
            <w:tcW w:w="4273" w:type="dxa"/>
            <w:gridSpan w:val="4"/>
            <w:shd w:val="clear" w:color="auto" w:fill="auto"/>
          </w:tcPr>
          <w:p w14:paraId="0D565761" w14:textId="77777777" w:rsidR="002732B1" w:rsidRPr="00CB166C" w:rsidRDefault="002732B1" w:rsidP="00FF4CD7">
            <w:pPr>
              <w:jc w:val="both"/>
              <w:rPr>
                <w:iCs/>
                <w:lang w:eastAsia="sk-SK"/>
              </w:rPr>
            </w:pPr>
            <w:r w:rsidRPr="00CB166C">
              <w:rPr>
                <w:iCs/>
                <w:sz w:val="20"/>
                <w:lang w:eastAsia="sk-SK"/>
              </w:rPr>
              <w:t>Návrh nezavádza nové konanie o právach, právom chránených záujmoch alebo povinnostiach.</w:t>
            </w:r>
          </w:p>
        </w:tc>
      </w:tr>
      <w:tr w:rsidR="002732B1" w:rsidRPr="00FC2B55" w14:paraId="3CBDCB51" w14:textId="77777777" w:rsidTr="00FF4CD7">
        <w:trPr>
          <w:trHeight w:val="20"/>
          <w:jc w:val="center"/>
        </w:trPr>
        <w:tc>
          <w:tcPr>
            <w:tcW w:w="3956" w:type="dxa"/>
          </w:tcPr>
          <w:p w14:paraId="1DEC2550" w14:textId="77777777" w:rsidR="002732B1" w:rsidRPr="00FC2B55" w:rsidRDefault="002732B1" w:rsidP="00FF4CD7">
            <w:pPr>
              <w:jc w:val="both"/>
              <w:rPr>
                <w:b/>
                <w:sz w:val="20"/>
                <w:lang w:eastAsia="sk-SK"/>
              </w:rPr>
            </w:pPr>
            <w:r w:rsidRPr="00FC2B55">
              <w:rPr>
                <w:b/>
                <w:sz w:val="20"/>
                <w:lang w:eastAsia="sk-SK"/>
              </w:rPr>
              <w:t xml:space="preserve">6.4.2. </w:t>
            </w:r>
            <w:r w:rsidRPr="00FC2B55">
              <w:rPr>
                <w:sz w:val="20"/>
                <w:lang w:eastAsia="sk-SK"/>
              </w:rPr>
              <w:t>Je dané konanie možné v celku vykonať elektronicky?</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4521F76A" w14:textId="77777777" w:rsidTr="00FF4CD7">
              <w:sdt>
                <w:sdtPr>
                  <w:rPr>
                    <w:sz w:val="20"/>
                    <w:szCs w:val="20"/>
                    <w:lang w:eastAsia="sk-SK"/>
                  </w:rPr>
                  <w:id w:val="-945843635"/>
                  <w14:checkbox>
                    <w14:checked w14:val="0"/>
                    <w14:checkedState w14:val="2612" w14:font="MS Gothic"/>
                    <w14:uncheckedState w14:val="2610" w14:font="MS Gothic"/>
                  </w14:checkbox>
                </w:sdtPr>
                <w:sdtEndPr/>
                <w:sdtContent>
                  <w:tc>
                    <w:tcPr>
                      <w:tcW w:w="436" w:type="dxa"/>
                    </w:tcPr>
                    <w:p w14:paraId="076024D7"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E71F71E"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115BD9A6" w14:textId="77777777" w:rsidTr="00FF4CD7">
              <w:sdt>
                <w:sdtPr>
                  <w:rPr>
                    <w:sz w:val="20"/>
                    <w:szCs w:val="20"/>
                    <w:lang w:eastAsia="sk-SK"/>
                  </w:rPr>
                  <w:id w:val="31386459"/>
                  <w14:checkbox>
                    <w14:checked w14:val="1"/>
                    <w14:checkedState w14:val="2612" w14:font="MS Gothic"/>
                    <w14:uncheckedState w14:val="2610" w14:font="MS Gothic"/>
                  </w14:checkbox>
                </w:sdtPr>
                <w:sdtEndPr/>
                <w:sdtContent>
                  <w:tc>
                    <w:tcPr>
                      <w:tcW w:w="436" w:type="dxa"/>
                    </w:tcPr>
                    <w:p w14:paraId="431D7C38"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5D333A99"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0BB97586" w14:textId="77777777" w:rsidR="002732B1" w:rsidRPr="00FC2B55" w:rsidRDefault="002732B1" w:rsidP="00FF4CD7">
            <w:pPr>
              <w:rPr>
                <w:lang w:eastAsia="sk-SK"/>
              </w:rPr>
            </w:pPr>
          </w:p>
        </w:tc>
        <w:tc>
          <w:tcPr>
            <w:tcW w:w="4273" w:type="dxa"/>
            <w:gridSpan w:val="4"/>
            <w:shd w:val="clear" w:color="auto" w:fill="auto"/>
          </w:tcPr>
          <w:p w14:paraId="64DE3C57" w14:textId="77777777" w:rsidR="002732B1" w:rsidRPr="00CB166C" w:rsidRDefault="002732B1" w:rsidP="00FF4CD7">
            <w:pPr>
              <w:jc w:val="both"/>
              <w:rPr>
                <w:iCs/>
                <w:lang w:eastAsia="sk-SK"/>
              </w:rPr>
            </w:pPr>
            <w:r w:rsidRPr="00CB166C">
              <w:rPr>
                <w:iCs/>
                <w:sz w:val="20"/>
                <w:lang w:eastAsia="sk-SK"/>
              </w:rPr>
              <w:t>Návrh nezavádza nové konanie o právach, právom chránených záujmoch alebo povinnostiach.</w:t>
            </w:r>
          </w:p>
        </w:tc>
      </w:tr>
      <w:tr w:rsidR="002732B1" w:rsidRPr="00FC2B55" w14:paraId="31313E09" w14:textId="77777777" w:rsidTr="00FF4CD7">
        <w:trPr>
          <w:trHeight w:val="20"/>
          <w:jc w:val="center"/>
        </w:trPr>
        <w:tc>
          <w:tcPr>
            <w:tcW w:w="3956" w:type="dxa"/>
          </w:tcPr>
          <w:p w14:paraId="582DC9FA" w14:textId="77777777" w:rsidR="002732B1" w:rsidRPr="00FC2B55" w:rsidRDefault="002732B1" w:rsidP="00FF4CD7">
            <w:pPr>
              <w:jc w:val="both"/>
              <w:rPr>
                <w:b/>
                <w:sz w:val="20"/>
                <w:lang w:eastAsia="sk-SK"/>
              </w:rPr>
            </w:pPr>
            <w:r w:rsidRPr="00FC2B55">
              <w:rPr>
                <w:b/>
                <w:sz w:val="20"/>
                <w:lang w:eastAsia="sk-SK"/>
              </w:rPr>
              <w:t xml:space="preserve">6.4.3. </w:t>
            </w:r>
            <w:r w:rsidRPr="00FC2B55">
              <w:rPr>
                <w:sz w:val="20"/>
                <w:lang w:eastAsia="sk-SK"/>
              </w:rPr>
              <w:t>Je úprava konania kompatibilná s inštitútmi zákona o e-Governmente a je na dané konanie zákon o e-Governmente možné použiť?</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01C05E0A" w14:textId="77777777" w:rsidTr="00FF4CD7">
              <w:sdt>
                <w:sdtPr>
                  <w:rPr>
                    <w:sz w:val="20"/>
                    <w:szCs w:val="20"/>
                    <w:lang w:eastAsia="sk-SK"/>
                  </w:rPr>
                  <w:id w:val="-812871524"/>
                  <w14:checkbox>
                    <w14:checked w14:val="0"/>
                    <w14:checkedState w14:val="2612" w14:font="MS Gothic"/>
                    <w14:uncheckedState w14:val="2610" w14:font="MS Gothic"/>
                  </w14:checkbox>
                </w:sdtPr>
                <w:sdtEndPr/>
                <w:sdtContent>
                  <w:tc>
                    <w:tcPr>
                      <w:tcW w:w="436" w:type="dxa"/>
                    </w:tcPr>
                    <w:p w14:paraId="6FAA56B5"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4CD4441"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5AB1880B" w14:textId="77777777" w:rsidTr="00FF4CD7">
              <w:sdt>
                <w:sdtPr>
                  <w:rPr>
                    <w:sz w:val="20"/>
                    <w:szCs w:val="20"/>
                    <w:lang w:eastAsia="sk-SK"/>
                  </w:rPr>
                  <w:id w:val="441276830"/>
                  <w14:checkbox>
                    <w14:checked w14:val="1"/>
                    <w14:checkedState w14:val="2612" w14:font="MS Gothic"/>
                    <w14:uncheckedState w14:val="2610" w14:font="MS Gothic"/>
                  </w14:checkbox>
                </w:sdtPr>
                <w:sdtEndPr/>
                <w:sdtContent>
                  <w:tc>
                    <w:tcPr>
                      <w:tcW w:w="436" w:type="dxa"/>
                    </w:tcPr>
                    <w:p w14:paraId="4BE452D0"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1149E3B6"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67BD0069" w14:textId="77777777" w:rsidR="002732B1" w:rsidRPr="00FC2B55" w:rsidRDefault="002732B1" w:rsidP="00FF4CD7">
            <w:pPr>
              <w:rPr>
                <w:lang w:eastAsia="sk-SK"/>
              </w:rPr>
            </w:pPr>
          </w:p>
        </w:tc>
        <w:tc>
          <w:tcPr>
            <w:tcW w:w="4273" w:type="dxa"/>
            <w:gridSpan w:val="4"/>
            <w:shd w:val="clear" w:color="auto" w:fill="auto"/>
          </w:tcPr>
          <w:p w14:paraId="58C5A3FE" w14:textId="77777777" w:rsidR="002732B1" w:rsidRPr="00CB166C" w:rsidRDefault="002732B1" w:rsidP="00FF4CD7">
            <w:pPr>
              <w:jc w:val="both"/>
              <w:rPr>
                <w:iCs/>
                <w:lang w:eastAsia="sk-SK"/>
              </w:rPr>
            </w:pPr>
            <w:r w:rsidRPr="00CB166C">
              <w:rPr>
                <w:iCs/>
                <w:sz w:val="20"/>
                <w:lang w:eastAsia="sk-SK"/>
              </w:rPr>
              <w:t>Návrh nezavádza nové konanie o právach, právom chránených záujmoch alebo povinnostiach.</w:t>
            </w:r>
          </w:p>
        </w:tc>
      </w:tr>
      <w:tr w:rsidR="002732B1" w:rsidRPr="00FC2B55" w14:paraId="46A89F70" w14:textId="77777777" w:rsidTr="00FF4CD7">
        <w:trPr>
          <w:trHeight w:val="20"/>
          <w:jc w:val="center"/>
        </w:trPr>
        <w:tc>
          <w:tcPr>
            <w:tcW w:w="9371" w:type="dxa"/>
            <w:gridSpan w:val="6"/>
            <w:shd w:val="clear" w:color="auto" w:fill="BFBFBF" w:themeFill="background1" w:themeFillShade="BF"/>
          </w:tcPr>
          <w:p w14:paraId="4925B549" w14:textId="77777777" w:rsidR="002732B1" w:rsidRPr="00FC2B55" w:rsidRDefault="002732B1" w:rsidP="00FF4CD7">
            <w:pPr>
              <w:spacing w:line="20" w:lineRule="atLeast"/>
              <w:jc w:val="both"/>
              <w:rPr>
                <w:i/>
                <w:iCs/>
                <w:sz w:val="20"/>
                <w:szCs w:val="20"/>
                <w:lang w:eastAsia="sk-SK"/>
              </w:rPr>
            </w:pPr>
            <w:r w:rsidRPr="00FC2B55">
              <w:rPr>
                <w:b/>
                <w:sz w:val="20"/>
                <w:szCs w:val="20"/>
                <w:lang w:eastAsia="sk-SK"/>
              </w:rPr>
              <w:t>Zásada „jedenkrát a dosť“</w:t>
            </w:r>
          </w:p>
        </w:tc>
      </w:tr>
      <w:tr w:rsidR="002732B1" w:rsidRPr="00FC2B55" w14:paraId="63BA456B" w14:textId="77777777" w:rsidTr="00FF4CD7">
        <w:trPr>
          <w:trHeight w:val="20"/>
          <w:jc w:val="center"/>
        </w:trPr>
        <w:tc>
          <w:tcPr>
            <w:tcW w:w="3956" w:type="dxa"/>
          </w:tcPr>
          <w:p w14:paraId="4DF9776F" w14:textId="77777777" w:rsidR="002732B1" w:rsidRPr="00FC2B55" w:rsidRDefault="002732B1" w:rsidP="00FF4CD7">
            <w:pPr>
              <w:jc w:val="both"/>
              <w:rPr>
                <w:b/>
                <w:sz w:val="20"/>
                <w:lang w:eastAsia="sk-SK"/>
              </w:rPr>
            </w:pPr>
            <w:r w:rsidRPr="00FC2B55">
              <w:rPr>
                <w:b/>
                <w:sz w:val="20"/>
                <w:lang w:eastAsia="sk-SK"/>
              </w:rPr>
              <w:t xml:space="preserve">6.5.1. </w:t>
            </w:r>
            <w:r w:rsidRPr="00FC2B55">
              <w:rPr>
                <w:bCs/>
                <w:sz w:val="20"/>
                <w:lang w:eastAsia="sk-SK"/>
              </w:rPr>
              <w:t>Predpokladá predložený návrh predkladanie dokumentov, informácií alebo preukazovanie skutočností (ďalej len „údaje“) orgánu, ktorý konanie vedie?</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49E18FB3" w14:textId="77777777" w:rsidTr="00FF4CD7">
              <w:sdt>
                <w:sdtPr>
                  <w:rPr>
                    <w:sz w:val="20"/>
                    <w:szCs w:val="20"/>
                    <w:lang w:eastAsia="sk-SK"/>
                  </w:rPr>
                  <w:id w:val="43339831"/>
                  <w14:checkbox>
                    <w14:checked w14:val="0"/>
                    <w14:checkedState w14:val="2612" w14:font="MS Gothic"/>
                    <w14:uncheckedState w14:val="2610" w14:font="MS Gothic"/>
                  </w14:checkbox>
                </w:sdtPr>
                <w:sdtEndPr/>
                <w:sdtContent>
                  <w:tc>
                    <w:tcPr>
                      <w:tcW w:w="436" w:type="dxa"/>
                    </w:tcPr>
                    <w:p w14:paraId="7667BECE"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50FCABE"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272E076C" w14:textId="77777777" w:rsidTr="00FF4CD7">
              <w:sdt>
                <w:sdtPr>
                  <w:rPr>
                    <w:sz w:val="20"/>
                    <w:szCs w:val="20"/>
                    <w:lang w:eastAsia="sk-SK"/>
                  </w:rPr>
                  <w:id w:val="-79453833"/>
                  <w14:checkbox>
                    <w14:checked w14:val="1"/>
                    <w14:checkedState w14:val="2612" w14:font="MS Gothic"/>
                    <w14:uncheckedState w14:val="2610" w14:font="MS Gothic"/>
                  </w14:checkbox>
                </w:sdtPr>
                <w:sdtEndPr/>
                <w:sdtContent>
                  <w:tc>
                    <w:tcPr>
                      <w:tcW w:w="436" w:type="dxa"/>
                    </w:tcPr>
                    <w:p w14:paraId="6D52941A"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14088DA1"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2BDF7AF9" w14:textId="77777777" w:rsidR="002732B1" w:rsidRPr="00FC2B55" w:rsidRDefault="002732B1" w:rsidP="00FF4CD7">
            <w:pPr>
              <w:rPr>
                <w:lang w:eastAsia="sk-SK"/>
              </w:rPr>
            </w:pPr>
          </w:p>
        </w:tc>
        <w:tc>
          <w:tcPr>
            <w:tcW w:w="4273" w:type="dxa"/>
            <w:gridSpan w:val="4"/>
          </w:tcPr>
          <w:p w14:paraId="377D79E6" w14:textId="77777777" w:rsidR="002732B1" w:rsidRPr="00CB166C" w:rsidRDefault="002732B1" w:rsidP="00FF4CD7">
            <w:pPr>
              <w:spacing w:line="20" w:lineRule="atLeast"/>
              <w:jc w:val="both"/>
              <w:rPr>
                <w:iCs/>
                <w:lang w:eastAsia="sk-SK"/>
              </w:rPr>
            </w:pPr>
            <w:r w:rsidRPr="00CB166C">
              <w:rPr>
                <w:iCs/>
                <w:sz w:val="20"/>
                <w:lang w:eastAsia="sk-SK"/>
              </w:rPr>
              <w:t xml:space="preserve">Návrh </w:t>
            </w:r>
            <w:r>
              <w:rPr>
                <w:iCs/>
                <w:sz w:val="20"/>
                <w:lang w:eastAsia="sk-SK"/>
              </w:rPr>
              <w:t>nepredpokladá predkladanie dokumentov, informácií ani preukazovanie skutočností orgánu verejnej moci.</w:t>
            </w:r>
          </w:p>
        </w:tc>
      </w:tr>
      <w:tr w:rsidR="002732B1" w:rsidRPr="00FC2B55" w14:paraId="1638842F" w14:textId="77777777" w:rsidTr="00FF4CD7">
        <w:trPr>
          <w:trHeight w:val="20"/>
          <w:jc w:val="center"/>
        </w:trPr>
        <w:tc>
          <w:tcPr>
            <w:tcW w:w="3956" w:type="dxa"/>
          </w:tcPr>
          <w:p w14:paraId="7C06040B" w14:textId="77777777" w:rsidR="002732B1" w:rsidRPr="00FC2B55" w:rsidRDefault="002732B1" w:rsidP="00FF4CD7">
            <w:pPr>
              <w:jc w:val="both"/>
              <w:rPr>
                <w:b/>
                <w:sz w:val="20"/>
                <w:lang w:eastAsia="sk-SK"/>
              </w:rPr>
            </w:pPr>
            <w:r w:rsidRPr="00FC2B55">
              <w:rPr>
                <w:b/>
                <w:sz w:val="20"/>
                <w:lang w:eastAsia="sk-SK"/>
              </w:rPr>
              <w:t xml:space="preserve">6.5.2. </w:t>
            </w:r>
            <w:r w:rsidRPr="00FC2B55">
              <w:rPr>
                <w:bCs/>
                <w:sz w:val="20"/>
                <w:lang w:eastAsia="sk-SK"/>
              </w:rPr>
              <w:t>Predpokladá predložený návrh, aby sa predkladali údaje, ktoré sa nachádzajú v zákonom ustanovenej evidencii vedenej orgánom, ktorý konanie vedie alebo iným orgánom?</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1EAF7A5C" w14:textId="77777777" w:rsidTr="00FF4CD7">
              <w:sdt>
                <w:sdtPr>
                  <w:rPr>
                    <w:sz w:val="20"/>
                    <w:szCs w:val="20"/>
                    <w:lang w:eastAsia="sk-SK"/>
                  </w:rPr>
                  <w:id w:val="450372319"/>
                  <w14:checkbox>
                    <w14:checked w14:val="0"/>
                    <w14:checkedState w14:val="2612" w14:font="MS Gothic"/>
                    <w14:uncheckedState w14:val="2610" w14:font="MS Gothic"/>
                  </w14:checkbox>
                </w:sdtPr>
                <w:sdtEndPr/>
                <w:sdtContent>
                  <w:tc>
                    <w:tcPr>
                      <w:tcW w:w="436" w:type="dxa"/>
                    </w:tcPr>
                    <w:p w14:paraId="0DD60299"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62E70EF"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13A556B2" w14:textId="77777777" w:rsidTr="00FF4CD7">
              <w:sdt>
                <w:sdtPr>
                  <w:rPr>
                    <w:sz w:val="20"/>
                    <w:szCs w:val="20"/>
                    <w:lang w:eastAsia="sk-SK"/>
                  </w:rPr>
                  <w:id w:val="617261598"/>
                  <w14:checkbox>
                    <w14:checked w14:val="1"/>
                    <w14:checkedState w14:val="2612" w14:font="MS Gothic"/>
                    <w14:uncheckedState w14:val="2610" w14:font="MS Gothic"/>
                  </w14:checkbox>
                </w:sdtPr>
                <w:sdtEndPr/>
                <w:sdtContent>
                  <w:tc>
                    <w:tcPr>
                      <w:tcW w:w="436" w:type="dxa"/>
                    </w:tcPr>
                    <w:p w14:paraId="4CF5E6B9"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10A1361B"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48FB9692" w14:textId="77777777" w:rsidR="002732B1" w:rsidRPr="00FC2B55" w:rsidRDefault="002732B1" w:rsidP="00FF4CD7">
            <w:pPr>
              <w:rPr>
                <w:lang w:eastAsia="sk-SK"/>
              </w:rPr>
            </w:pPr>
          </w:p>
        </w:tc>
        <w:tc>
          <w:tcPr>
            <w:tcW w:w="4273" w:type="dxa"/>
            <w:gridSpan w:val="4"/>
          </w:tcPr>
          <w:p w14:paraId="76CC49CF" w14:textId="77777777" w:rsidR="002732B1" w:rsidRPr="00FC2B55" w:rsidRDefault="002732B1" w:rsidP="00FF4CD7">
            <w:pPr>
              <w:jc w:val="both"/>
              <w:rPr>
                <w:i/>
                <w:iCs/>
                <w:lang w:eastAsia="sk-SK"/>
              </w:rPr>
            </w:pPr>
            <w:r w:rsidRPr="00CB166C">
              <w:rPr>
                <w:iCs/>
                <w:sz w:val="20"/>
                <w:lang w:eastAsia="sk-SK"/>
              </w:rPr>
              <w:t xml:space="preserve">Návrh </w:t>
            </w:r>
            <w:r>
              <w:rPr>
                <w:iCs/>
                <w:sz w:val="20"/>
                <w:lang w:eastAsia="sk-SK"/>
              </w:rPr>
              <w:t>nepredpokladá predkladanie údajov orgánu verejnej moci.</w:t>
            </w:r>
          </w:p>
        </w:tc>
      </w:tr>
      <w:tr w:rsidR="002732B1" w:rsidRPr="00FC2B55" w14:paraId="3DB5F893" w14:textId="77777777" w:rsidTr="00FF4CD7">
        <w:trPr>
          <w:trHeight w:val="20"/>
          <w:jc w:val="center"/>
        </w:trPr>
        <w:tc>
          <w:tcPr>
            <w:tcW w:w="3956" w:type="dxa"/>
          </w:tcPr>
          <w:p w14:paraId="1133CDD4" w14:textId="77777777" w:rsidR="002732B1" w:rsidRPr="00FC2B55" w:rsidRDefault="002732B1" w:rsidP="00FF4CD7">
            <w:pPr>
              <w:jc w:val="both"/>
              <w:rPr>
                <w:b/>
                <w:sz w:val="20"/>
                <w:lang w:eastAsia="sk-SK"/>
              </w:rPr>
            </w:pPr>
            <w:r w:rsidRPr="00FC2B55">
              <w:rPr>
                <w:b/>
                <w:sz w:val="20"/>
                <w:lang w:eastAsia="sk-SK"/>
              </w:rPr>
              <w:t xml:space="preserve">6.5.3. </w:t>
            </w:r>
            <w:r w:rsidRPr="00FC2B55">
              <w:rPr>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bCs/>
                <w:sz w:val="20"/>
                <w:lang w:eastAsia="sk-SK"/>
              </w:rPr>
              <w:t>subjektom súkromného práva, navrhovateľom, žiadateľom, účastníkom konania (ďalej len „účastník konania“)</w:t>
            </w:r>
            <w:r w:rsidRPr="00FC2B55">
              <w:rPr>
                <w:sz w:val="20"/>
                <w:lang w:eastAsia="sk-SK"/>
              </w:rPr>
              <w:t>?</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0666EA2A" w14:textId="77777777" w:rsidTr="00FF4CD7">
              <w:sdt>
                <w:sdtPr>
                  <w:rPr>
                    <w:sz w:val="20"/>
                    <w:szCs w:val="20"/>
                    <w:lang w:eastAsia="sk-SK"/>
                  </w:rPr>
                  <w:id w:val="-2115887386"/>
                  <w14:checkbox>
                    <w14:checked w14:val="0"/>
                    <w14:checkedState w14:val="2612" w14:font="MS Gothic"/>
                    <w14:uncheckedState w14:val="2610" w14:font="MS Gothic"/>
                  </w14:checkbox>
                </w:sdtPr>
                <w:sdtEndPr/>
                <w:sdtContent>
                  <w:tc>
                    <w:tcPr>
                      <w:tcW w:w="436" w:type="dxa"/>
                    </w:tcPr>
                    <w:p w14:paraId="0B6BEDD3"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68F66C8"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7BB4403C" w14:textId="77777777" w:rsidTr="00FF4CD7">
              <w:sdt>
                <w:sdtPr>
                  <w:rPr>
                    <w:sz w:val="20"/>
                    <w:szCs w:val="20"/>
                    <w:lang w:eastAsia="sk-SK"/>
                  </w:rPr>
                  <w:id w:val="-1730609562"/>
                  <w14:checkbox>
                    <w14:checked w14:val="1"/>
                    <w14:checkedState w14:val="2612" w14:font="MS Gothic"/>
                    <w14:uncheckedState w14:val="2610" w14:font="MS Gothic"/>
                  </w14:checkbox>
                </w:sdtPr>
                <w:sdtEndPr/>
                <w:sdtContent>
                  <w:tc>
                    <w:tcPr>
                      <w:tcW w:w="436" w:type="dxa"/>
                    </w:tcPr>
                    <w:p w14:paraId="35320920"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5B94EF7C"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4D1135FB" w14:textId="77777777" w:rsidR="002732B1" w:rsidRPr="00FC2B55" w:rsidRDefault="002732B1" w:rsidP="00FF4CD7">
            <w:pPr>
              <w:rPr>
                <w:lang w:eastAsia="sk-SK"/>
              </w:rPr>
            </w:pPr>
          </w:p>
        </w:tc>
        <w:tc>
          <w:tcPr>
            <w:tcW w:w="4273" w:type="dxa"/>
            <w:gridSpan w:val="4"/>
          </w:tcPr>
          <w:p w14:paraId="2850C583" w14:textId="77777777" w:rsidR="002732B1" w:rsidRPr="00FC2B55" w:rsidRDefault="002732B1" w:rsidP="00FF4CD7">
            <w:pPr>
              <w:jc w:val="both"/>
              <w:rPr>
                <w:i/>
                <w:iCs/>
                <w:lang w:eastAsia="sk-SK"/>
              </w:rPr>
            </w:pPr>
            <w:r w:rsidRPr="00CB166C">
              <w:rPr>
                <w:iCs/>
                <w:sz w:val="20"/>
                <w:lang w:eastAsia="sk-SK"/>
              </w:rPr>
              <w:t xml:space="preserve">Návrh </w:t>
            </w:r>
            <w:r>
              <w:rPr>
                <w:iCs/>
                <w:sz w:val="20"/>
                <w:lang w:eastAsia="sk-SK"/>
              </w:rPr>
              <w:t>nepredpokladá predkladanie údajov, dokumentov, informácií ani preukazovanie skutočností orgánu verejnej moci.</w:t>
            </w:r>
          </w:p>
        </w:tc>
      </w:tr>
      <w:tr w:rsidR="002732B1" w:rsidRPr="00FC2B55" w14:paraId="719A1A37" w14:textId="77777777" w:rsidTr="00FF4CD7">
        <w:trPr>
          <w:trHeight w:val="20"/>
          <w:jc w:val="center"/>
        </w:trPr>
        <w:tc>
          <w:tcPr>
            <w:tcW w:w="3956" w:type="dxa"/>
            <w:tcBorders>
              <w:bottom w:val="single" w:sz="4" w:space="0" w:color="auto"/>
            </w:tcBorders>
          </w:tcPr>
          <w:p w14:paraId="090DEBE8" w14:textId="77777777" w:rsidR="002732B1" w:rsidRPr="00FC2B55" w:rsidRDefault="002732B1" w:rsidP="00FF4CD7">
            <w:pPr>
              <w:jc w:val="both"/>
              <w:rPr>
                <w:b/>
                <w:sz w:val="20"/>
                <w:lang w:eastAsia="sk-SK"/>
              </w:rPr>
            </w:pPr>
            <w:r w:rsidRPr="00FC2B55">
              <w:rPr>
                <w:b/>
                <w:sz w:val="20"/>
                <w:lang w:eastAsia="sk-SK"/>
              </w:rPr>
              <w:t xml:space="preserve">6.5.4. </w:t>
            </w:r>
            <w:r w:rsidRPr="00FC2B55">
              <w:rPr>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142"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7935C5CA" w14:textId="77777777" w:rsidTr="00FF4CD7">
              <w:sdt>
                <w:sdtPr>
                  <w:rPr>
                    <w:sz w:val="20"/>
                    <w:szCs w:val="20"/>
                    <w:lang w:eastAsia="sk-SK"/>
                  </w:rPr>
                  <w:id w:val="2088412960"/>
                  <w14:checkbox>
                    <w14:checked w14:val="0"/>
                    <w14:checkedState w14:val="2612" w14:font="MS Gothic"/>
                    <w14:uncheckedState w14:val="2610" w14:font="MS Gothic"/>
                  </w14:checkbox>
                </w:sdtPr>
                <w:sdtEndPr/>
                <w:sdtContent>
                  <w:tc>
                    <w:tcPr>
                      <w:tcW w:w="436" w:type="dxa"/>
                    </w:tcPr>
                    <w:p w14:paraId="761FE836"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11C6404"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3CCD33C0" w14:textId="77777777" w:rsidTr="00FF4CD7">
              <w:sdt>
                <w:sdtPr>
                  <w:rPr>
                    <w:sz w:val="20"/>
                    <w:szCs w:val="20"/>
                    <w:lang w:eastAsia="sk-SK"/>
                  </w:rPr>
                  <w:id w:val="-439767500"/>
                  <w14:checkbox>
                    <w14:checked w14:val="1"/>
                    <w14:checkedState w14:val="2612" w14:font="MS Gothic"/>
                    <w14:uncheckedState w14:val="2610" w14:font="MS Gothic"/>
                  </w14:checkbox>
                </w:sdtPr>
                <w:sdtEndPr/>
                <w:sdtContent>
                  <w:tc>
                    <w:tcPr>
                      <w:tcW w:w="436" w:type="dxa"/>
                    </w:tcPr>
                    <w:p w14:paraId="1EF1DC82"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3FA52019"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27473055" w14:textId="77777777" w:rsidR="002732B1" w:rsidRPr="00FC2B55" w:rsidRDefault="002732B1" w:rsidP="00FF4CD7">
            <w:pPr>
              <w:rPr>
                <w:lang w:eastAsia="sk-SK"/>
              </w:rPr>
            </w:pPr>
          </w:p>
        </w:tc>
        <w:tc>
          <w:tcPr>
            <w:tcW w:w="4273" w:type="dxa"/>
            <w:gridSpan w:val="4"/>
            <w:tcBorders>
              <w:bottom w:val="single" w:sz="4" w:space="0" w:color="auto"/>
            </w:tcBorders>
          </w:tcPr>
          <w:p w14:paraId="7115EFB6" w14:textId="77777777" w:rsidR="002732B1" w:rsidRPr="00FC2B55" w:rsidRDefault="002732B1" w:rsidP="00FF4CD7">
            <w:pPr>
              <w:jc w:val="both"/>
              <w:rPr>
                <w:i/>
                <w:iCs/>
                <w:lang w:eastAsia="sk-SK"/>
              </w:rPr>
            </w:pPr>
            <w:r w:rsidRPr="00CB166C">
              <w:rPr>
                <w:iCs/>
                <w:sz w:val="20"/>
                <w:lang w:eastAsia="sk-SK"/>
              </w:rPr>
              <w:t xml:space="preserve">Návrh </w:t>
            </w:r>
            <w:r>
              <w:rPr>
                <w:iCs/>
                <w:sz w:val="20"/>
                <w:lang w:eastAsia="sk-SK"/>
              </w:rPr>
              <w:t>nepredpokladá predkladanie údajov, dokumentov, informácií ani preukazovanie skutočností orgánu verejnej moci.</w:t>
            </w:r>
          </w:p>
        </w:tc>
      </w:tr>
      <w:tr w:rsidR="002732B1" w:rsidRPr="00FC2B55" w14:paraId="7601CEE3" w14:textId="77777777" w:rsidTr="00FF4CD7">
        <w:trPr>
          <w:trHeight w:val="20"/>
          <w:jc w:val="center"/>
        </w:trPr>
        <w:tc>
          <w:tcPr>
            <w:tcW w:w="9371" w:type="dxa"/>
            <w:gridSpan w:val="6"/>
            <w:shd w:val="clear" w:color="auto" w:fill="auto"/>
          </w:tcPr>
          <w:p w14:paraId="3FECAEFC" w14:textId="77777777" w:rsidR="002732B1" w:rsidRPr="00FC2B55" w:rsidRDefault="002732B1" w:rsidP="00FF4CD7">
            <w:pPr>
              <w:spacing w:line="20" w:lineRule="atLeast"/>
              <w:jc w:val="both"/>
              <w:rPr>
                <w:i/>
                <w:iCs/>
                <w:sz w:val="20"/>
                <w:szCs w:val="20"/>
                <w:lang w:eastAsia="sk-SK"/>
              </w:rPr>
            </w:pPr>
            <w:r w:rsidRPr="00FC2B55">
              <w:rPr>
                <w:b/>
                <w:sz w:val="20"/>
                <w:szCs w:val="20"/>
                <w:lang w:eastAsia="sk-SK"/>
              </w:rPr>
              <w:t>Výmena údajov medzi orgánmi verejnej moci</w:t>
            </w:r>
          </w:p>
        </w:tc>
      </w:tr>
      <w:tr w:rsidR="002732B1" w:rsidRPr="00FC2B55" w14:paraId="4782E6AB" w14:textId="77777777" w:rsidTr="00FF4CD7">
        <w:trPr>
          <w:trHeight w:val="20"/>
          <w:jc w:val="center"/>
        </w:trPr>
        <w:tc>
          <w:tcPr>
            <w:tcW w:w="3956" w:type="dxa"/>
          </w:tcPr>
          <w:p w14:paraId="3E6AD666" w14:textId="77777777" w:rsidR="002732B1" w:rsidRPr="00FC2B55" w:rsidRDefault="002732B1" w:rsidP="00FF4CD7">
            <w:pPr>
              <w:jc w:val="both"/>
              <w:rPr>
                <w:b/>
                <w:sz w:val="20"/>
                <w:lang w:eastAsia="sk-SK"/>
              </w:rPr>
            </w:pPr>
            <w:r w:rsidRPr="00FC2B55">
              <w:rPr>
                <w:b/>
                <w:sz w:val="20"/>
                <w:lang w:eastAsia="sk-SK"/>
              </w:rPr>
              <w:t xml:space="preserve">6.6.1. </w:t>
            </w:r>
            <w:r w:rsidRPr="00FC2B55">
              <w:rPr>
                <w:sz w:val="20"/>
                <w:lang w:eastAsia="sk-SK"/>
              </w:rPr>
              <w:t>Predpokladá predložený návrh zriadenie novej evidencie údajov alebo upravuje vedenie evidencie údajov?</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68991129" w14:textId="77777777" w:rsidTr="00FF4CD7">
              <w:sdt>
                <w:sdtPr>
                  <w:rPr>
                    <w:sz w:val="20"/>
                    <w:szCs w:val="20"/>
                    <w:lang w:eastAsia="sk-SK"/>
                  </w:rPr>
                  <w:id w:val="-581141114"/>
                  <w14:checkbox>
                    <w14:checked w14:val="0"/>
                    <w14:checkedState w14:val="2612" w14:font="MS Gothic"/>
                    <w14:uncheckedState w14:val="2610" w14:font="MS Gothic"/>
                  </w14:checkbox>
                </w:sdtPr>
                <w:sdtEndPr/>
                <w:sdtContent>
                  <w:tc>
                    <w:tcPr>
                      <w:tcW w:w="436" w:type="dxa"/>
                    </w:tcPr>
                    <w:p w14:paraId="23AFCB51"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2A17A81C"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1DF20FF5" w14:textId="77777777" w:rsidTr="00FF4CD7">
              <w:sdt>
                <w:sdtPr>
                  <w:rPr>
                    <w:sz w:val="20"/>
                    <w:szCs w:val="20"/>
                    <w:lang w:eastAsia="sk-SK"/>
                  </w:rPr>
                  <w:id w:val="-561481988"/>
                  <w14:checkbox>
                    <w14:checked w14:val="1"/>
                    <w14:checkedState w14:val="2612" w14:font="MS Gothic"/>
                    <w14:uncheckedState w14:val="2610" w14:font="MS Gothic"/>
                  </w14:checkbox>
                </w:sdtPr>
                <w:sdtEndPr/>
                <w:sdtContent>
                  <w:tc>
                    <w:tcPr>
                      <w:tcW w:w="436" w:type="dxa"/>
                    </w:tcPr>
                    <w:p w14:paraId="53344DAD"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1894C263"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6A5AE21F" w14:textId="77777777" w:rsidR="002732B1" w:rsidRPr="00FC2B55" w:rsidRDefault="002732B1" w:rsidP="00FF4CD7">
            <w:pPr>
              <w:rPr>
                <w:lang w:eastAsia="sk-SK"/>
              </w:rPr>
            </w:pPr>
          </w:p>
        </w:tc>
        <w:tc>
          <w:tcPr>
            <w:tcW w:w="4273" w:type="dxa"/>
            <w:gridSpan w:val="4"/>
          </w:tcPr>
          <w:p w14:paraId="3BA1C156" w14:textId="77777777" w:rsidR="002732B1" w:rsidRPr="00CB166C" w:rsidRDefault="002732B1" w:rsidP="00FF4CD7">
            <w:pPr>
              <w:jc w:val="both"/>
              <w:rPr>
                <w:sz w:val="20"/>
                <w:szCs w:val="20"/>
                <w:highlight w:val="yellow"/>
                <w:lang w:eastAsia="sk-SK"/>
              </w:rPr>
            </w:pPr>
            <w:r w:rsidRPr="00337F57">
              <w:rPr>
                <w:sz w:val="20"/>
                <w:szCs w:val="20"/>
                <w:lang w:eastAsia="sk-SK"/>
              </w:rPr>
              <w:t>Návrh nepredpokladá zriadenie novej evidencie údajov, ani neupravuje vedenie evidencie údajov.</w:t>
            </w:r>
          </w:p>
        </w:tc>
      </w:tr>
      <w:tr w:rsidR="002732B1" w:rsidRPr="00FC2B55" w14:paraId="1F7B157C" w14:textId="77777777" w:rsidTr="00FF4CD7">
        <w:trPr>
          <w:trHeight w:val="20"/>
          <w:jc w:val="center"/>
        </w:trPr>
        <w:tc>
          <w:tcPr>
            <w:tcW w:w="3956" w:type="dxa"/>
          </w:tcPr>
          <w:p w14:paraId="03D81394" w14:textId="77777777" w:rsidR="002732B1" w:rsidRPr="00FC2B55" w:rsidRDefault="002732B1" w:rsidP="00FF4CD7">
            <w:pPr>
              <w:jc w:val="both"/>
              <w:rPr>
                <w:b/>
                <w:sz w:val="20"/>
                <w:lang w:eastAsia="sk-SK"/>
              </w:rPr>
            </w:pPr>
            <w:r w:rsidRPr="00FC2B55">
              <w:rPr>
                <w:b/>
                <w:sz w:val="20"/>
                <w:lang w:eastAsia="sk-SK"/>
              </w:rPr>
              <w:t xml:space="preserve">6.6.2. </w:t>
            </w:r>
            <w:r w:rsidRPr="00FC2B55">
              <w:rPr>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469422D5" w14:textId="77777777" w:rsidTr="00FF4CD7">
              <w:sdt>
                <w:sdtPr>
                  <w:rPr>
                    <w:sz w:val="20"/>
                    <w:szCs w:val="20"/>
                    <w:lang w:eastAsia="sk-SK"/>
                  </w:rPr>
                  <w:id w:val="1434169894"/>
                  <w14:checkbox>
                    <w14:checked w14:val="0"/>
                    <w14:checkedState w14:val="2612" w14:font="MS Gothic"/>
                    <w14:uncheckedState w14:val="2610" w14:font="MS Gothic"/>
                  </w14:checkbox>
                </w:sdtPr>
                <w:sdtEndPr/>
                <w:sdtContent>
                  <w:tc>
                    <w:tcPr>
                      <w:tcW w:w="436" w:type="dxa"/>
                    </w:tcPr>
                    <w:p w14:paraId="1373C5FF"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B7F8813"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42C20736" w14:textId="77777777" w:rsidTr="00FF4CD7">
              <w:sdt>
                <w:sdtPr>
                  <w:rPr>
                    <w:sz w:val="20"/>
                    <w:szCs w:val="20"/>
                    <w:lang w:eastAsia="sk-SK"/>
                  </w:rPr>
                  <w:id w:val="-1288507644"/>
                  <w14:checkbox>
                    <w14:checked w14:val="1"/>
                    <w14:checkedState w14:val="2612" w14:font="MS Gothic"/>
                    <w14:uncheckedState w14:val="2610" w14:font="MS Gothic"/>
                  </w14:checkbox>
                </w:sdtPr>
                <w:sdtEndPr/>
                <w:sdtContent>
                  <w:tc>
                    <w:tcPr>
                      <w:tcW w:w="436" w:type="dxa"/>
                    </w:tcPr>
                    <w:p w14:paraId="3C092EBB"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47527E3F"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289B71AB" w14:textId="77777777" w:rsidR="002732B1" w:rsidRPr="00FC2B55" w:rsidRDefault="002732B1" w:rsidP="00FF4CD7">
            <w:pPr>
              <w:rPr>
                <w:lang w:eastAsia="sk-SK"/>
              </w:rPr>
            </w:pPr>
          </w:p>
        </w:tc>
        <w:tc>
          <w:tcPr>
            <w:tcW w:w="4273" w:type="dxa"/>
            <w:gridSpan w:val="4"/>
          </w:tcPr>
          <w:p w14:paraId="6E6478CC" w14:textId="77777777" w:rsidR="002732B1" w:rsidRPr="008E67EF" w:rsidRDefault="002732B1" w:rsidP="00FF4CD7">
            <w:pPr>
              <w:jc w:val="both"/>
              <w:rPr>
                <w:sz w:val="20"/>
                <w:szCs w:val="20"/>
                <w:highlight w:val="yellow"/>
                <w:lang w:eastAsia="sk-SK"/>
              </w:rPr>
            </w:pPr>
            <w:r w:rsidRPr="00337F57">
              <w:rPr>
                <w:sz w:val="20"/>
                <w:szCs w:val="20"/>
                <w:lang w:eastAsia="sk-SK"/>
              </w:rPr>
              <w:t>Návrh nepredpokladá zriadenie novej evidencie údajov, ani neupravuje vedenie evidencie údajov.</w:t>
            </w:r>
          </w:p>
        </w:tc>
      </w:tr>
      <w:tr w:rsidR="002732B1" w:rsidRPr="00FC2B55" w14:paraId="10EABA6C" w14:textId="77777777" w:rsidTr="00FF4CD7">
        <w:trPr>
          <w:trHeight w:val="20"/>
          <w:jc w:val="center"/>
        </w:trPr>
        <w:tc>
          <w:tcPr>
            <w:tcW w:w="3956" w:type="dxa"/>
          </w:tcPr>
          <w:p w14:paraId="4FF3F4C3" w14:textId="77777777" w:rsidR="002732B1" w:rsidRPr="00FC2B55" w:rsidRDefault="002732B1" w:rsidP="00FF4CD7">
            <w:pPr>
              <w:jc w:val="both"/>
              <w:rPr>
                <w:b/>
                <w:sz w:val="20"/>
                <w:lang w:eastAsia="sk-SK"/>
              </w:rPr>
            </w:pPr>
            <w:r w:rsidRPr="00FC2B55">
              <w:rPr>
                <w:b/>
                <w:sz w:val="20"/>
                <w:lang w:eastAsia="sk-SK"/>
              </w:rPr>
              <w:t xml:space="preserve">6.6.3. </w:t>
            </w:r>
            <w:r w:rsidRPr="00FC2B55">
              <w:rPr>
                <w:sz w:val="20"/>
                <w:lang w:eastAsia="sk-SK"/>
              </w:rPr>
              <w:t>Je zabezpečené poskytovanie údajov z evidencie elektronicky a automatizovaným spôsobom?</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248A79A2" w14:textId="77777777" w:rsidTr="00FF4CD7">
              <w:sdt>
                <w:sdtPr>
                  <w:rPr>
                    <w:sz w:val="20"/>
                    <w:szCs w:val="20"/>
                    <w:lang w:eastAsia="sk-SK"/>
                  </w:rPr>
                  <w:id w:val="-1355335144"/>
                  <w14:checkbox>
                    <w14:checked w14:val="0"/>
                    <w14:checkedState w14:val="2612" w14:font="MS Gothic"/>
                    <w14:uncheckedState w14:val="2610" w14:font="MS Gothic"/>
                  </w14:checkbox>
                </w:sdtPr>
                <w:sdtEndPr/>
                <w:sdtContent>
                  <w:tc>
                    <w:tcPr>
                      <w:tcW w:w="436" w:type="dxa"/>
                    </w:tcPr>
                    <w:p w14:paraId="5D01B7F4"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25FAE0B0"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61284D80" w14:textId="77777777" w:rsidTr="00FF4CD7">
              <w:sdt>
                <w:sdtPr>
                  <w:rPr>
                    <w:sz w:val="20"/>
                    <w:szCs w:val="20"/>
                    <w:lang w:eastAsia="sk-SK"/>
                  </w:rPr>
                  <w:id w:val="116884503"/>
                  <w14:checkbox>
                    <w14:checked w14:val="1"/>
                    <w14:checkedState w14:val="2612" w14:font="MS Gothic"/>
                    <w14:uncheckedState w14:val="2610" w14:font="MS Gothic"/>
                  </w14:checkbox>
                </w:sdtPr>
                <w:sdtEndPr/>
                <w:sdtContent>
                  <w:tc>
                    <w:tcPr>
                      <w:tcW w:w="436" w:type="dxa"/>
                    </w:tcPr>
                    <w:p w14:paraId="6F691071"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2CA8C207"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623201DD" w14:textId="77777777" w:rsidR="002732B1" w:rsidRPr="00FC2B55" w:rsidRDefault="002732B1" w:rsidP="00FF4CD7">
            <w:pPr>
              <w:rPr>
                <w:lang w:eastAsia="sk-SK"/>
              </w:rPr>
            </w:pPr>
          </w:p>
        </w:tc>
        <w:tc>
          <w:tcPr>
            <w:tcW w:w="4273" w:type="dxa"/>
            <w:gridSpan w:val="4"/>
          </w:tcPr>
          <w:p w14:paraId="337E5760" w14:textId="77777777" w:rsidR="002732B1" w:rsidRPr="008E67EF" w:rsidRDefault="002732B1" w:rsidP="00FF4CD7">
            <w:pPr>
              <w:jc w:val="both"/>
              <w:rPr>
                <w:iCs/>
                <w:lang w:eastAsia="sk-SK"/>
              </w:rPr>
            </w:pPr>
            <w:r w:rsidRPr="008E67EF">
              <w:rPr>
                <w:sz w:val="20"/>
                <w:szCs w:val="20"/>
                <w:lang w:eastAsia="sk-SK"/>
              </w:rPr>
              <w:t xml:space="preserve"> </w:t>
            </w:r>
            <w:r w:rsidRPr="00337F57">
              <w:rPr>
                <w:sz w:val="20"/>
                <w:szCs w:val="20"/>
                <w:lang w:eastAsia="sk-SK"/>
              </w:rPr>
              <w:t>Návrh nepredpokladá zriadenie novej evidencie údajov, ani neupravuje vedenie evidencie údajov.</w:t>
            </w:r>
          </w:p>
        </w:tc>
      </w:tr>
      <w:tr w:rsidR="002732B1" w:rsidRPr="00FC2B55" w14:paraId="448C28E6" w14:textId="77777777" w:rsidTr="00FF4CD7">
        <w:trPr>
          <w:trHeight w:val="20"/>
          <w:jc w:val="center"/>
        </w:trPr>
        <w:tc>
          <w:tcPr>
            <w:tcW w:w="3956" w:type="dxa"/>
          </w:tcPr>
          <w:p w14:paraId="17FE6BB9" w14:textId="77777777" w:rsidR="002732B1" w:rsidRPr="00FC2B55" w:rsidRDefault="002732B1" w:rsidP="00FF4CD7">
            <w:pPr>
              <w:jc w:val="both"/>
              <w:rPr>
                <w:b/>
                <w:sz w:val="20"/>
                <w:lang w:eastAsia="sk-SK"/>
              </w:rPr>
            </w:pPr>
            <w:r w:rsidRPr="00FC2B55">
              <w:rPr>
                <w:b/>
                <w:sz w:val="20"/>
                <w:lang w:eastAsia="sk-SK"/>
              </w:rPr>
              <w:t xml:space="preserve">6.6.4. </w:t>
            </w:r>
            <w:r w:rsidRPr="00FC2B55">
              <w:rPr>
                <w:sz w:val="20"/>
                <w:lang w:eastAsia="sk-SK"/>
              </w:rPr>
              <w:t>Je na poskytovanie údajov z evidencie využitý režim podľa zákona č. 177/2018 Z.z. v znení neskorších predpisov?</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47901AD3" w14:textId="77777777" w:rsidTr="00FF4CD7">
              <w:sdt>
                <w:sdtPr>
                  <w:rPr>
                    <w:sz w:val="20"/>
                    <w:szCs w:val="20"/>
                    <w:lang w:eastAsia="sk-SK"/>
                  </w:rPr>
                  <w:id w:val="-295379826"/>
                  <w14:checkbox>
                    <w14:checked w14:val="0"/>
                    <w14:checkedState w14:val="2612" w14:font="MS Gothic"/>
                    <w14:uncheckedState w14:val="2610" w14:font="MS Gothic"/>
                  </w14:checkbox>
                </w:sdtPr>
                <w:sdtEndPr/>
                <w:sdtContent>
                  <w:tc>
                    <w:tcPr>
                      <w:tcW w:w="436" w:type="dxa"/>
                    </w:tcPr>
                    <w:p w14:paraId="16774B50"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7990EAE4"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3B543BA2" w14:textId="77777777" w:rsidTr="00FF4CD7">
              <w:sdt>
                <w:sdtPr>
                  <w:rPr>
                    <w:sz w:val="20"/>
                    <w:szCs w:val="20"/>
                    <w:lang w:eastAsia="sk-SK"/>
                  </w:rPr>
                  <w:id w:val="-1689520971"/>
                  <w14:checkbox>
                    <w14:checked w14:val="1"/>
                    <w14:checkedState w14:val="2612" w14:font="MS Gothic"/>
                    <w14:uncheckedState w14:val="2610" w14:font="MS Gothic"/>
                  </w14:checkbox>
                </w:sdtPr>
                <w:sdtEndPr/>
                <w:sdtContent>
                  <w:tc>
                    <w:tcPr>
                      <w:tcW w:w="436" w:type="dxa"/>
                    </w:tcPr>
                    <w:p w14:paraId="7E61DD00"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0B684CBA"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29809B4E" w14:textId="77777777" w:rsidR="002732B1" w:rsidRPr="00FC2B55" w:rsidRDefault="002732B1" w:rsidP="00FF4CD7">
            <w:pPr>
              <w:rPr>
                <w:lang w:eastAsia="sk-SK"/>
              </w:rPr>
            </w:pPr>
          </w:p>
        </w:tc>
        <w:tc>
          <w:tcPr>
            <w:tcW w:w="4273" w:type="dxa"/>
            <w:gridSpan w:val="4"/>
          </w:tcPr>
          <w:p w14:paraId="45D2D6ED" w14:textId="77777777" w:rsidR="002732B1" w:rsidRPr="00FC2B55" w:rsidRDefault="002732B1" w:rsidP="00FF4CD7">
            <w:pPr>
              <w:jc w:val="both"/>
              <w:rPr>
                <w:sz w:val="20"/>
                <w:szCs w:val="20"/>
                <w:highlight w:val="yellow"/>
                <w:lang w:eastAsia="sk-SK"/>
              </w:rPr>
            </w:pPr>
            <w:r w:rsidRPr="00337F57">
              <w:rPr>
                <w:sz w:val="20"/>
                <w:szCs w:val="20"/>
                <w:lang w:eastAsia="sk-SK"/>
              </w:rPr>
              <w:t>Návrh nepredpokladá zriadenie novej evidencie údajov, ani neupravuje vedenie evidencie údajov.</w:t>
            </w:r>
          </w:p>
        </w:tc>
      </w:tr>
      <w:tr w:rsidR="002732B1" w:rsidRPr="00FC2B55" w14:paraId="261C3B66" w14:textId="77777777" w:rsidTr="00FF4CD7">
        <w:trPr>
          <w:trHeight w:val="20"/>
          <w:jc w:val="center"/>
        </w:trPr>
        <w:tc>
          <w:tcPr>
            <w:tcW w:w="9371" w:type="dxa"/>
            <w:gridSpan w:val="6"/>
            <w:shd w:val="clear" w:color="auto" w:fill="A6A6A6" w:themeFill="background1" w:themeFillShade="A6"/>
          </w:tcPr>
          <w:p w14:paraId="5009E17C" w14:textId="77777777" w:rsidR="002732B1" w:rsidRPr="00FC2B55" w:rsidRDefault="002732B1" w:rsidP="00FF4CD7">
            <w:pPr>
              <w:spacing w:line="20" w:lineRule="atLeast"/>
              <w:jc w:val="both"/>
              <w:rPr>
                <w:i/>
                <w:iCs/>
                <w:sz w:val="20"/>
                <w:lang w:eastAsia="sk-SK"/>
              </w:rPr>
            </w:pPr>
            <w:r w:rsidRPr="00FC2B55">
              <w:rPr>
                <w:b/>
                <w:sz w:val="20"/>
                <w:szCs w:val="20"/>
                <w:lang w:eastAsia="sk-SK"/>
              </w:rPr>
              <w:t>Referenčné údaje</w:t>
            </w:r>
          </w:p>
        </w:tc>
      </w:tr>
      <w:tr w:rsidR="002732B1" w:rsidRPr="00FC2B55" w14:paraId="306D261B" w14:textId="77777777" w:rsidTr="00FF4CD7">
        <w:trPr>
          <w:trHeight w:val="20"/>
          <w:jc w:val="center"/>
        </w:trPr>
        <w:tc>
          <w:tcPr>
            <w:tcW w:w="3956" w:type="dxa"/>
          </w:tcPr>
          <w:p w14:paraId="241F7A5E" w14:textId="77777777" w:rsidR="002732B1" w:rsidRPr="00FC2B55" w:rsidRDefault="002732B1" w:rsidP="00FF4CD7">
            <w:pPr>
              <w:jc w:val="both"/>
              <w:rPr>
                <w:sz w:val="20"/>
                <w:lang w:eastAsia="sk-SK"/>
              </w:rPr>
            </w:pPr>
            <w:r w:rsidRPr="00FC2B55">
              <w:rPr>
                <w:b/>
                <w:bCs/>
                <w:sz w:val="20"/>
                <w:lang w:eastAsia="sk-SK"/>
              </w:rPr>
              <w:lastRenderedPageBreak/>
              <w:t>6.7.1.</w:t>
            </w:r>
            <w:r w:rsidRPr="00FC2B55">
              <w:rPr>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24EA9D68" w14:textId="77777777" w:rsidTr="00FF4CD7">
              <w:sdt>
                <w:sdtPr>
                  <w:rPr>
                    <w:sz w:val="20"/>
                    <w:szCs w:val="20"/>
                    <w:lang w:eastAsia="sk-SK"/>
                  </w:rPr>
                  <w:id w:val="-677810283"/>
                  <w14:checkbox>
                    <w14:checked w14:val="0"/>
                    <w14:checkedState w14:val="2612" w14:font="MS Gothic"/>
                    <w14:uncheckedState w14:val="2610" w14:font="MS Gothic"/>
                  </w14:checkbox>
                </w:sdtPr>
                <w:sdtEndPr/>
                <w:sdtContent>
                  <w:tc>
                    <w:tcPr>
                      <w:tcW w:w="436" w:type="dxa"/>
                    </w:tcPr>
                    <w:p w14:paraId="66A63878" w14:textId="77777777" w:rsidR="002732B1" w:rsidRPr="00FC2B55" w:rsidRDefault="002732B1" w:rsidP="00FF4CD7">
                      <w:pPr>
                        <w:jc w:val="center"/>
                        <w:rPr>
                          <w:rFonts w:eastAsia="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11D14902"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Áno</w:t>
                  </w:r>
                </w:p>
              </w:tc>
            </w:tr>
            <w:tr w:rsidR="002732B1" w:rsidRPr="00FC2B55" w14:paraId="29F7A71C" w14:textId="77777777" w:rsidTr="00FF4CD7">
              <w:trPr>
                <w:trHeight w:val="300"/>
              </w:trPr>
              <w:sdt>
                <w:sdtPr>
                  <w:rPr>
                    <w:sz w:val="20"/>
                    <w:szCs w:val="20"/>
                    <w:lang w:eastAsia="sk-SK"/>
                  </w:rPr>
                  <w:id w:val="-159857975"/>
                  <w14:checkbox>
                    <w14:checked w14:val="1"/>
                    <w14:checkedState w14:val="2612" w14:font="MS Gothic"/>
                    <w14:uncheckedState w14:val="2610" w14:font="MS Gothic"/>
                  </w14:checkbox>
                </w:sdtPr>
                <w:sdtEndPr/>
                <w:sdtContent>
                  <w:tc>
                    <w:tcPr>
                      <w:tcW w:w="436" w:type="dxa"/>
                    </w:tcPr>
                    <w:p w14:paraId="57A563CA" w14:textId="77777777" w:rsidR="002732B1" w:rsidRPr="00FC2B55" w:rsidRDefault="002732B1" w:rsidP="00FF4CD7">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8545" w:type="dxa"/>
                </w:tcPr>
                <w:p w14:paraId="7EF22162" w14:textId="77777777" w:rsidR="002732B1" w:rsidRPr="00FC2B55" w:rsidRDefault="002732B1" w:rsidP="00FF4CD7">
                  <w:pPr>
                    <w:rPr>
                      <w:rFonts w:eastAsia="Times New Roman"/>
                      <w:b/>
                      <w:sz w:val="20"/>
                      <w:szCs w:val="20"/>
                      <w:lang w:eastAsia="sk-SK"/>
                    </w:rPr>
                  </w:pPr>
                  <w:r w:rsidRPr="00FC2B55">
                    <w:rPr>
                      <w:rFonts w:eastAsia="Times New Roman"/>
                      <w:b/>
                      <w:sz w:val="20"/>
                      <w:szCs w:val="20"/>
                      <w:lang w:eastAsia="sk-SK"/>
                    </w:rPr>
                    <w:t>Nie</w:t>
                  </w:r>
                </w:p>
              </w:tc>
            </w:tr>
          </w:tbl>
          <w:p w14:paraId="1CD2B66A" w14:textId="77777777" w:rsidR="002732B1" w:rsidRPr="00FC2B55" w:rsidRDefault="002732B1" w:rsidP="00FF4CD7">
            <w:pPr>
              <w:jc w:val="center"/>
              <w:rPr>
                <w:sz w:val="20"/>
                <w:szCs w:val="20"/>
                <w:lang w:eastAsia="sk-SK"/>
              </w:rPr>
            </w:pPr>
          </w:p>
        </w:tc>
        <w:tc>
          <w:tcPr>
            <w:tcW w:w="4273" w:type="dxa"/>
            <w:gridSpan w:val="4"/>
          </w:tcPr>
          <w:p w14:paraId="5AACC0CC" w14:textId="77777777" w:rsidR="002732B1" w:rsidRPr="008E67EF" w:rsidRDefault="002732B1" w:rsidP="00FF4CD7">
            <w:pPr>
              <w:jc w:val="both"/>
              <w:rPr>
                <w:sz w:val="20"/>
                <w:szCs w:val="20"/>
                <w:highlight w:val="yellow"/>
                <w:lang w:eastAsia="sk-SK"/>
              </w:rPr>
            </w:pPr>
            <w:r w:rsidRPr="00337F57">
              <w:rPr>
                <w:sz w:val="20"/>
                <w:szCs w:val="20"/>
                <w:lang w:eastAsia="sk-SK"/>
              </w:rPr>
              <w:t>Návrh nepredpokladá zriadenie novej evidencie údajov, ani neupravuje vedenie evidencie údajov.</w:t>
            </w:r>
          </w:p>
        </w:tc>
      </w:tr>
      <w:tr w:rsidR="002732B1" w:rsidRPr="00FC2B55" w14:paraId="35C4DC07" w14:textId="77777777" w:rsidTr="00FF4CD7">
        <w:trPr>
          <w:trHeight w:val="20"/>
          <w:jc w:val="center"/>
        </w:trPr>
        <w:tc>
          <w:tcPr>
            <w:tcW w:w="3956" w:type="dxa"/>
          </w:tcPr>
          <w:p w14:paraId="665BA509" w14:textId="77777777" w:rsidR="002732B1" w:rsidRPr="00FC2B55" w:rsidRDefault="002732B1" w:rsidP="00FF4CD7">
            <w:pPr>
              <w:jc w:val="both"/>
              <w:rPr>
                <w:sz w:val="20"/>
                <w:lang w:eastAsia="sk-SK"/>
              </w:rPr>
            </w:pPr>
            <w:r w:rsidRPr="00FC2B55">
              <w:rPr>
                <w:b/>
                <w:bCs/>
                <w:sz w:val="20"/>
                <w:lang w:eastAsia="sk-SK"/>
              </w:rPr>
              <w:t>6.7.2.</w:t>
            </w:r>
            <w:r w:rsidRPr="00FC2B55">
              <w:rPr>
                <w:sz w:val="20"/>
                <w:lang w:eastAsia="sk-SK"/>
              </w:rPr>
              <w:t xml:space="preserve"> Kedy je plánované zaradenie údajov z evidencie do zoznamu referenčných údajov podľa § 51 zákona č. 305/2013 Z.z. o e-Governmente?</w:t>
            </w:r>
          </w:p>
        </w:tc>
        <w:tc>
          <w:tcPr>
            <w:tcW w:w="1142"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732B1" w:rsidRPr="00FC2B55" w14:paraId="5102564D" w14:textId="77777777" w:rsidTr="00FF4CD7">
              <w:tc>
                <w:tcPr>
                  <w:tcW w:w="436" w:type="dxa"/>
                </w:tcPr>
                <w:p w14:paraId="64D73231" w14:textId="77777777" w:rsidR="002732B1" w:rsidRPr="00FC2B55" w:rsidRDefault="002732B1" w:rsidP="00FF4CD7">
                  <w:pPr>
                    <w:jc w:val="center"/>
                    <w:rPr>
                      <w:rFonts w:eastAsia="Times New Roman"/>
                      <w:sz w:val="20"/>
                      <w:szCs w:val="20"/>
                      <w:lang w:eastAsia="sk-SK"/>
                    </w:rPr>
                  </w:pPr>
                </w:p>
              </w:tc>
              <w:tc>
                <w:tcPr>
                  <w:tcW w:w="8545" w:type="dxa"/>
                </w:tcPr>
                <w:p w14:paraId="2EAD7F88" w14:textId="77777777" w:rsidR="002732B1" w:rsidRPr="00FC2B55" w:rsidRDefault="002732B1" w:rsidP="00FF4CD7">
                  <w:pPr>
                    <w:rPr>
                      <w:rFonts w:eastAsia="Times New Roman"/>
                      <w:b/>
                      <w:sz w:val="20"/>
                      <w:szCs w:val="20"/>
                      <w:lang w:eastAsia="sk-SK"/>
                    </w:rPr>
                  </w:pPr>
                </w:p>
              </w:tc>
            </w:tr>
            <w:tr w:rsidR="002732B1" w:rsidRPr="00FC2B55" w14:paraId="092E1557" w14:textId="77777777" w:rsidTr="00FF4CD7">
              <w:tc>
                <w:tcPr>
                  <w:tcW w:w="436" w:type="dxa"/>
                </w:tcPr>
                <w:p w14:paraId="61B5B644" w14:textId="77777777" w:rsidR="002732B1" w:rsidRPr="00FC2B55" w:rsidRDefault="002732B1" w:rsidP="00FF4CD7">
                  <w:pPr>
                    <w:jc w:val="center"/>
                    <w:rPr>
                      <w:rFonts w:eastAsia="Times New Roman"/>
                      <w:sz w:val="20"/>
                      <w:szCs w:val="20"/>
                      <w:lang w:eastAsia="sk-SK"/>
                    </w:rPr>
                  </w:pPr>
                </w:p>
              </w:tc>
              <w:tc>
                <w:tcPr>
                  <w:tcW w:w="8545" w:type="dxa"/>
                </w:tcPr>
                <w:p w14:paraId="131E36EE" w14:textId="77777777" w:rsidR="002732B1" w:rsidRPr="00FC2B55" w:rsidRDefault="002732B1" w:rsidP="00FF4CD7">
                  <w:pPr>
                    <w:rPr>
                      <w:rFonts w:eastAsia="Times New Roman"/>
                      <w:b/>
                      <w:sz w:val="20"/>
                      <w:szCs w:val="20"/>
                      <w:lang w:eastAsia="sk-SK"/>
                    </w:rPr>
                  </w:pPr>
                </w:p>
              </w:tc>
            </w:tr>
          </w:tbl>
          <w:p w14:paraId="47F56C05" w14:textId="77777777" w:rsidR="002732B1" w:rsidRPr="00FC2B55" w:rsidRDefault="002732B1" w:rsidP="00FF4CD7">
            <w:pPr>
              <w:jc w:val="center"/>
              <w:rPr>
                <w:sz w:val="20"/>
                <w:szCs w:val="20"/>
                <w:lang w:eastAsia="sk-SK"/>
              </w:rPr>
            </w:pPr>
          </w:p>
        </w:tc>
        <w:tc>
          <w:tcPr>
            <w:tcW w:w="4273" w:type="dxa"/>
            <w:gridSpan w:val="4"/>
          </w:tcPr>
          <w:p w14:paraId="2D3DC53F" w14:textId="77777777" w:rsidR="002732B1" w:rsidRPr="008E67EF" w:rsidRDefault="002732B1" w:rsidP="00FF4CD7">
            <w:pPr>
              <w:jc w:val="both"/>
              <w:rPr>
                <w:sz w:val="20"/>
                <w:szCs w:val="20"/>
                <w:highlight w:val="yellow"/>
                <w:lang w:eastAsia="sk-SK"/>
              </w:rPr>
            </w:pPr>
            <w:r w:rsidRPr="00337F57">
              <w:rPr>
                <w:sz w:val="20"/>
                <w:szCs w:val="20"/>
                <w:lang w:eastAsia="sk-SK"/>
              </w:rPr>
              <w:t>Návrh nepredpokladá zriadenie novej evidencie údajov, ani neupravuje vedenie evidencie údajov.</w:t>
            </w:r>
          </w:p>
        </w:tc>
      </w:tr>
    </w:tbl>
    <w:p w14:paraId="5C39BFB9" w14:textId="77777777" w:rsidR="002732B1" w:rsidRPr="00FF4CD7" w:rsidRDefault="002732B1" w:rsidP="002732B1">
      <w:pPr>
        <w:autoSpaceDE w:val="0"/>
        <w:autoSpaceDN w:val="0"/>
        <w:adjustRightInd w:val="0"/>
        <w:jc w:val="both"/>
        <w:rPr>
          <w:rFonts w:eastAsia="Calibri"/>
          <w:b/>
          <w:bCs/>
          <w:color w:val="000000"/>
          <w:sz w:val="28"/>
          <w:szCs w:val="22"/>
        </w:rPr>
      </w:pPr>
    </w:p>
    <w:p w14:paraId="2E7D0B7A" w14:textId="77777777" w:rsidR="002732B1" w:rsidRPr="00FC2B55" w:rsidRDefault="002732B1" w:rsidP="002732B1">
      <w:pPr>
        <w:autoSpaceDE w:val="0"/>
        <w:autoSpaceDN w:val="0"/>
        <w:adjustRightInd w:val="0"/>
        <w:jc w:val="both"/>
        <w:rPr>
          <w:rFonts w:eastAsia="Calibri"/>
          <w:b/>
          <w:bCs/>
          <w:color w:val="000000"/>
          <w:sz w:val="28"/>
          <w:szCs w:val="28"/>
        </w:rPr>
      </w:pPr>
      <w:r w:rsidRPr="00FF4CD7">
        <w:rPr>
          <w:rFonts w:eastAsia="Calibri"/>
          <w:b/>
          <w:bCs/>
          <w:color w:val="000000"/>
          <w:sz w:val="22"/>
          <w:szCs w:val="22"/>
        </w:rPr>
        <w:t xml:space="preserve">* </w:t>
      </w:r>
      <w:r w:rsidRPr="00FF4CD7">
        <w:rPr>
          <w:rFonts w:eastAsia="Calibri"/>
          <w:bCs/>
          <w:color w:val="000000"/>
          <w:sz w:val="22"/>
          <w:szCs w:val="22"/>
        </w:rPr>
        <w:t>V súvislosti s vypustením konceptu informačných obslužných miest dochádza k zrušeniu IS Integrované obslužné miesto, ktorého správcom je Ministerstvo investícií, regionálneho rozvoja a informatizácie SR. Zároveň dochádza aj k zrušeniu koncových služieb poskytovaných v rámci tohto IS. Bližšie informácie sú uvedené v bode 2 a 10 doložky vybraných vplyvov</w:t>
      </w:r>
      <w:r>
        <w:rPr>
          <w:rFonts w:eastAsia="Calibri"/>
          <w:bCs/>
          <w:color w:val="000000"/>
        </w:rPr>
        <w:t xml:space="preserve">. </w:t>
      </w:r>
    </w:p>
    <w:p w14:paraId="2CB60A96" w14:textId="38831714" w:rsidR="00FF4CD7" w:rsidRDefault="002732B1">
      <w:pPr>
        <w:rPr>
          <w:rFonts w:eastAsia="Calibri"/>
          <w:sz w:val="22"/>
          <w:szCs w:val="22"/>
        </w:rPr>
      </w:pPr>
      <w:r>
        <w:rPr>
          <w:rFonts w:eastAsia="Calibri"/>
          <w:sz w:val="22"/>
          <w:szCs w:val="22"/>
        </w:rPr>
        <w:br w:type="page"/>
      </w:r>
    </w:p>
    <w:p w14:paraId="6ACE66F4" w14:textId="77777777" w:rsidR="00FF4CD7" w:rsidRPr="00732E57" w:rsidRDefault="00FF4CD7" w:rsidP="00FF4CD7">
      <w:pPr>
        <w:jc w:val="right"/>
        <w:rPr>
          <w:rFonts w:eastAsia="Calibri"/>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FF4CD7" w:rsidRPr="005C4B9C" w14:paraId="1CBF7733" w14:textId="77777777" w:rsidTr="00FF4CD7">
        <w:trPr>
          <w:trHeight w:val="822"/>
        </w:trPr>
        <w:tc>
          <w:tcPr>
            <w:tcW w:w="9371" w:type="dxa"/>
            <w:shd w:val="clear" w:color="auto" w:fill="BFBFBF" w:themeFill="background1" w:themeFillShade="BF"/>
            <w:vAlign w:val="center"/>
          </w:tcPr>
          <w:p w14:paraId="0B508179" w14:textId="77777777" w:rsidR="00FF4CD7" w:rsidRPr="00B1784E" w:rsidRDefault="00FF4CD7" w:rsidP="00FF4CD7">
            <w:pPr>
              <w:jc w:val="center"/>
              <w:rPr>
                <w:b/>
                <w:bCs/>
                <w:sz w:val="32"/>
                <w:szCs w:val="32"/>
              </w:rPr>
            </w:pPr>
            <w:r w:rsidRPr="00B1784E">
              <w:rPr>
                <w:b/>
                <w:bCs/>
                <w:sz w:val="32"/>
                <w:szCs w:val="32"/>
              </w:rPr>
              <w:t xml:space="preserve">Analýza </w:t>
            </w:r>
            <w:r w:rsidRPr="00964DDF">
              <w:rPr>
                <w:b/>
                <w:bCs/>
                <w:sz w:val="32"/>
                <w:szCs w:val="32"/>
              </w:rPr>
              <w:t>vplyvov na služby verejnej správy pre občana</w:t>
            </w:r>
          </w:p>
          <w:p w14:paraId="2A83C8EA" w14:textId="77777777" w:rsidR="00FF4CD7" w:rsidRPr="005C4B9C" w:rsidRDefault="00FF4CD7" w:rsidP="00FF4CD7">
            <w:pPr>
              <w:rPr>
                <w:b/>
                <w:i/>
                <w:iCs/>
                <w:sz w:val="2"/>
                <w:szCs w:val="22"/>
              </w:rPr>
            </w:pPr>
          </w:p>
        </w:tc>
      </w:tr>
      <w:tr w:rsidR="00FF4CD7" w:rsidRPr="005C4B9C" w14:paraId="31116C99" w14:textId="77777777" w:rsidTr="00FF4CD7">
        <w:trPr>
          <w:trHeight w:val="367"/>
        </w:trPr>
        <w:tc>
          <w:tcPr>
            <w:tcW w:w="9371" w:type="dxa"/>
            <w:shd w:val="clear" w:color="auto" w:fill="C0C0C0"/>
            <w:vAlign w:val="center"/>
          </w:tcPr>
          <w:p w14:paraId="784CB039" w14:textId="77777777" w:rsidR="00FF4CD7" w:rsidRPr="00AB307C" w:rsidRDefault="00FF4CD7" w:rsidP="00FF4CD7">
            <w:pPr>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FF4CD7" w:rsidRPr="005C4B9C" w14:paraId="3E9A11B3" w14:textId="77777777" w:rsidTr="00FF4CD7">
        <w:trPr>
          <w:trHeight w:val="316"/>
        </w:trPr>
        <w:tc>
          <w:tcPr>
            <w:tcW w:w="9371" w:type="dxa"/>
          </w:tcPr>
          <w:p w14:paraId="04800706" w14:textId="77777777" w:rsidR="00FF4CD7" w:rsidRPr="00F36EF9" w:rsidRDefault="00FF4CD7" w:rsidP="00FF4CD7">
            <w:pPr>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FF4CD7" w:rsidRPr="005C4B9C" w14:paraId="6FACB671" w14:textId="77777777" w:rsidTr="00FF4CD7">
        <w:trPr>
          <w:trHeight w:val="296"/>
        </w:trPr>
        <w:tc>
          <w:tcPr>
            <w:tcW w:w="9371" w:type="dxa"/>
          </w:tcPr>
          <w:p w14:paraId="37A5D36C" w14:textId="77777777" w:rsidR="00FF4CD7" w:rsidRPr="005C4B9C" w:rsidRDefault="00FF4CD7" w:rsidP="00FF4CD7">
            <w:pPr>
              <w:rPr>
                <w:b/>
                <w:i/>
                <w:sz w:val="22"/>
                <w:szCs w:val="22"/>
              </w:rPr>
            </w:pPr>
            <w:r w:rsidRPr="00F36EF9">
              <w:rPr>
                <w:i/>
                <w:sz w:val="22"/>
                <w:szCs w:val="22"/>
              </w:rPr>
              <w:t>Zmena existujúcej služby (konkretizujte a popíšte)</w:t>
            </w:r>
            <w:r>
              <w:rPr>
                <w:i/>
                <w:sz w:val="22"/>
                <w:szCs w:val="22"/>
              </w:rPr>
              <w:t xml:space="preserve"> </w:t>
            </w:r>
          </w:p>
        </w:tc>
      </w:tr>
      <w:tr w:rsidR="00FF4CD7" w:rsidRPr="005C4B9C" w14:paraId="5CF6FB92" w14:textId="77777777" w:rsidTr="00FF4CD7">
        <w:trPr>
          <w:trHeight w:val="655"/>
        </w:trPr>
        <w:tc>
          <w:tcPr>
            <w:tcW w:w="9371" w:type="dxa"/>
          </w:tcPr>
          <w:p w14:paraId="4FDFEF95" w14:textId="77777777" w:rsidR="00FF4CD7" w:rsidRPr="00886BA4" w:rsidRDefault="00FF4CD7" w:rsidP="00FF4CD7">
            <w:pPr>
              <w:rPr>
                <w:sz w:val="22"/>
                <w:szCs w:val="22"/>
              </w:rPr>
            </w:pPr>
            <w:r>
              <w:rPr>
                <w:sz w:val="22"/>
                <w:szCs w:val="22"/>
              </w:rPr>
              <w:t xml:space="preserve">Zrušenie služieb asistovaného výkonu verejnej moci elektronicky a elektronických služieb poskytovaných sieťou integrovaných obslužných miest, s výnimkou služby poskytovania elektronických odpisov a výstupov z informačných systémov verejnej správy podľa § 26 zákona č. 95/2019 Z. z. o informačných technológiách verejnej správy </w:t>
            </w:r>
            <w:r w:rsidRPr="00606EC4">
              <w:rPr>
                <w:sz w:val="22"/>
                <w:szCs w:val="22"/>
              </w:rPr>
              <w:t>a o zmene a doplnení niektorých zákonov</w:t>
            </w:r>
            <w:r>
              <w:rPr>
                <w:sz w:val="22"/>
                <w:szCs w:val="22"/>
              </w:rPr>
              <w:t xml:space="preserve"> a služby zaručenej konverzie podľa § 35 zákona č. 305/2013 Z. z. </w:t>
            </w:r>
            <w:r w:rsidRPr="0086245A">
              <w:rPr>
                <w:sz w:val="22"/>
                <w:szCs w:val="22"/>
              </w:rPr>
              <w:t>o elektronickej podobe výkonu pôsobnosti orgánov verejnej moci a o zmene a doplnení niektorých zákonov (zákon o e-Governmente)</w:t>
            </w:r>
            <w:r>
              <w:rPr>
                <w:sz w:val="22"/>
                <w:szCs w:val="22"/>
              </w:rPr>
              <w:t xml:space="preserve"> v znení neskorších predpisov, vzhľadom na to, že subjekty prevádzkujúce integrované obslužné miesto ostanú naďalej oprávnenými osobami na poskytovanie týchto typov služieb.</w:t>
            </w:r>
          </w:p>
        </w:tc>
      </w:tr>
      <w:tr w:rsidR="00FF4CD7" w:rsidRPr="005C4B9C" w14:paraId="3CB59F77" w14:textId="77777777" w:rsidTr="00FF4CD7">
        <w:trPr>
          <w:trHeight w:val="212"/>
        </w:trPr>
        <w:tc>
          <w:tcPr>
            <w:tcW w:w="9371" w:type="dxa"/>
          </w:tcPr>
          <w:p w14:paraId="0A1E0515" w14:textId="77777777" w:rsidR="00FF4CD7" w:rsidRPr="00F36EF9" w:rsidRDefault="00FF4CD7" w:rsidP="00FF4CD7">
            <w:pPr>
              <w:rPr>
                <w:i/>
                <w:sz w:val="22"/>
                <w:szCs w:val="22"/>
              </w:rPr>
            </w:pPr>
            <w:r w:rsidRPr="00F36EF9">
              <w:rPr>
                <w:i/>
                <w:sz w:val="22"/>
                <w:szCs w:val="22"/>
              </w:rPr>
              <w:t>Nová služba (konkretizujte a popíšte)</w:t>
            </w:r>
          </w:p>
        </w:tc>
      </w:tr>
      <w:tr w:rsidR="00FF4CD7" w:rsidRPr="005C4B9C" w14:paraId="65234E99" w14:textId="77777777" w:rsidTr="00FF4CD7">
        <w:trPr>
          <w:trHeight w:val="598"/>
        </w:trPr>
        <w:tc>
          <w:tcPr>
            <w:tcW w:w="9371" w:type="dxa"/>
          </w:tcPr>
          <w:p w14:paraId="1EB371D9" w14:textId="77777777" w:rsidR="00FF4CD7" w:rsidRPr="00F36EF9" w:rsidRDefault="00FF4CD7" w:rsidP="00FF4CD7">
            <w:pPr>
              <w:rPr>
                <w:i/>
                <w:sz w:val="22"/>
                <w:szCs w:val="22"/>
              </w:rPr>
            </w:pPr>
            <w:r>
              <w:rPr>
                <w:i/>
                <w:sz w:val="22"/>
                <w:szCs w:val="22"/>
              </w:rPr>
              <w:t>-</w:t>
            </w:r>
          </w:p>
        </w:tc>
      </w:tr>
      <w:tr w:rsidR="00FF4CD7" w:rsidRPr="005C4B9C" w14:paraId="73BD9557" w14:textId="77777777" w:rsidTr="00FF4CD7">
        <w:trPr>
          <w:trHeight w:val="248"/>
        </w:trPr>
        <w:tc>
          <w:tcPr>
            <w:tcW w:w="9371" w:type="dxa"/>
          </w:tcPr>
          <w:p w14:paraId="168B2956" w14:textId="77777777" w:rsidR="00FF4CD7" w:rsidRPr="00F36EF9" w:rsidRDefault="00FF4CD7" w:rsidP="00FF4CD7">
            <w:pPr>
              <w:rPr>
                <w:b/>
              </w:rPr>
            </w:pPr>
            <w:r w:rsidRPr="00F36EF9">
              <w:rPr>
                <w:b/>
              </w:rPr>
              <w:t>7.1.2 Špecifikácia služby verejnej správy, ktorá je dotknutá návrhom</w:t>
            </w:r>
          </w:p>
        </w:tc>
      </w:tr>
      <w:tr w:rsidR="00FF4CD7" w:rsidRPr="005C4B9C" w14:paraId="524AFEF3" w14:textId="77777777" w:rsidTr="00FF4CD7">
        <w:trPr>
          <w:trHeight w:val="248"/>
        </w:trPr>
        <w:tc>
          <w:tcPr>
            <w:tcW w:w="9371" w:type="dxa"/>
          </w:tcPr>
          <w:p w14:paraId="4B172749" w14:textId="77777777" w:rsidR="00FF4CD7" w:rsidRPr="00F36EF9" w:rsidRDefault="00FF4CD7" w:rsidP="00FF4CD7">
            <w:pPr>
              <w:rPr>
                <w:i/>
                <w:sz w:val="22"/>
                <w:szCs w:val="22"/>
              </w:rPr>
            </w:pPr>
            <w:r w:rsidRPr="00D3615C">
              <w:rPr>
                <w:i/>
                <w:sz w:val="22"/>
                <w:szCs w:val="22"/>
              </w:rPr>
              <w:t xml:space="preserve">Názov služby </w:t>
            </w:r>
          </w:p>
        </w:tc>
      </w:tr>
      <w:tr w:rsidR="00FF4CD7" w:rsidRPr="005C4B9C" w14:paraId="48AD101D" w14:textId="77777777" w:rsidTr="00FF4CD7">
        <w:trPr>
          <w:trHeight w:val="545"/>
        </w:trPr>
        <w:tc>
          <w:tcPr>
            <w:tcW w:w="9371" w:type="dxa"/>
          </w:tcPr>
          <w:p w14:paraId="22238B8B" w14:textId="77777777" w:rsidR="00FF4CD7" w:rsidRPr="00886BA4" w:rsidRDefault="00FF4CD7" w:rsidP="00FF4CD7">
            <w:pPr>
              <w:rPr>
                <w:sz w:val="22"/>
                <w:szCs w:val="22"/>
              </w:rPr>
            </w:pPr>
            <w:r>
              <w:rPr>
                <w:sz w:val="22"/>
                <w:szCs w:val="22"/>
              </w:rPr>
              <w:t>Asistovaná elektronická úradná komunikácia FO, FO-P a PO</w:t>
            </w:r>
            <w:r w:rsidRPr="00291B4B">
              <w:rPr>
                <w:sz w:val="22"/>
                <w:szCs w:val="22"/>
              </w:rPr>
              <w:t xml:space="preserve"> s orgánmi verejnej moci pri výkone verejnej moci elektronicky</w:t>
            </w:r>
            <w:r>
              <w:rPr>
                <w:sz w:val="22"/>
                <w:szCs w:val="22"/>
              </w:rPr>
              <w:t xml:space="preserve"> a iné činnosti ustanovené osobitným predpisom (s výnimkou poskytovania elektronických odpisov a výstupov z informačných systémov verejnej správy a zaručenej konverzie uvedené v bode 7.1.1).</w:t>
            </w:r>
          </w:p>
        </w:tc>
      </w:tr>
      <w:tr w:rsidR="00FF4CD7" w:rsidRPr="005C4B9C" w14:paraId="422A520A" w14:textId="77777777" w:rsidTr="00FF4CD7">
        <w:trPr>
          <w:trHeight w:val="248"/>
        </w:trPr>
        <w:tc>
          <w:tcPr>
            <w:tcW w:w="9371" w:type="dxa"/>
          </w:tcPr>
          <w:p w14:paraId="3250005A" w14:textId="77777777" w:rsidR="00FF4CD7" w:rsidRPr="00F36EF9" w:rsidRDefault="00FF4CD7" w:rsidP="00FF4CD7">
            <w:pPr>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FF4CD7" w:rsidRPr="005C4B9C" w14:paraId="6FABD1FF" w14:textId="77777777" w:rsidTr="00FF4CD7">
        <w:trPr>
          <w:trHeight w:val="630"/>
        </w:trPr>
        <w:tc>
          <w:tcPr>
            <w:tcW w:w="9371" w:type="dxa"/>
          </w:tcPr>
          <w:p w14:paraId="6C9A1F33" w14:textId="77777777" w:rsidR="00FF4CD7" w:rsidRPr="008A6076" w:rsidRDefault="00FF4CD7" w:rsidP="00FF4CD7">
            <w:pPr>
              <w:rPr>
                <w:sz w:val="22"/>
                <w:szCs w:val="22"/>
              </w:rPr>
            </w:pPr>
            <w:r>
              <w:rPr>
                <w:sz w:val="22"/>
                <w:szCs w:val="22"/>
              </w:rPr>
              <w:t>§ 5 ods. 4 a súvisiace ustanovenia zákona o e-Governmente.</w:t>
            </w:r>
          </w:p>
        </w:tc>
      </w:tr>
      <w:tr w:rsidR="00FF4CD7" w:rsidRPr="005C4B9C" w14:paraId="0DA6795B" w14:textId="77777777" w:rsidTr="00FF4CD7">
        <w:trPr>
          <w:trHeight w:val="220"/>
        </w:trPr>
        <w:tc>
          <w:tcPr>
            <w:tcW w:w="9371" w:type="dxa"/>
          </w:tcPr>
          <w:p w14:paraId="2DA42830" w14:textId="77777777" w:rsidR="00FF4CD7" w:rsidRPr="00F36EF9" w:rsidRDefault="00FF4CD7" w:rsidP="00FF4CD7">
            <w:pPr>
              <w:rPr>
                <w:b/>
                <w:i/>
                <w:sz w:val="22"/>
                <w:szCs w:val="22"/>
              </w:rPr>
            </w:pPr>
            <w:r>
              <w:rPr>
                <w:i/>
                <w:sz w:val="22"/>
                <w:szCs w:val="22"/>
              </w:rPr>
              <w:t xml:space="preserve">Subjekt, ktorý je na základe platnej právnej úpravy oprávnený službu poskytovať </w:t>
            </w:r>
          </w:p>
        </w:tc>
      </w:tr>
      <w:tr w:rsidR="00FF4CD7" w:rsidRPr="005C4B9C" w14:paraId="42277C73" w14:textId="77777777" w:rsidTr="00FF4CD7">
        <w:trPr>
          <w:trHeight w:val="587"/>
        </w:trPr>
        <w:tc>
          <w:tcPr>
            <w:tcW w:w="9371" w:type="dxa"/>
          </w:tcPr>
          <w:p w14:paraId="468A4936" w14:textId="77777777" w:rsidR="00FF4CD7" w:rsidRPr="00B1031A" w:rsidRDefault="00FF4CD7" w:rsidP="00FF4CD7">
            <w:pPr>
              <w:rPr>
                <w:sz w:val="22"/>
                <w:szCs w:val="22"/>
              </w:rPr>
            </w:pPr>
            <w:r>
              <w:rPr>
                <w:sz w:val="22"/>
                <w:szCs w:val="22"/>
              </w:rPr>
              <w:t>Prevádzkovateľ integrovaného obslužného miesta podľa § 7 ods. 2 zákona o e-Governmente, ktorým môže byť o</w:t>
            </w:r>
            <w:r w:rsidRPr="00B81904">
              <w:rPr>
                <w:sz w:val="22"/>
                <w:szCs w:val="22"/>
              </w:rPr>
              <w:t>bec alebo mestská časť v Bratislave a Košicia</w:t>
            </w:r>
            <w:r>
              <w:rPr>
                <w:sz w:val="22"/>
                <w:szCs w:val="22"/>
              </w:rPr>
              <w:t xml:space="preserve">ch, ktoré sú matričným úradom, iný orgán verejnej moci, </w:t>
            </w:r>
            <w:r w:rsidRPr="00B81904">
              <w:rPr>
                <w:sz w:val="22"/>
                <w:szCs w:val="22"/>
              </w:rPr>
              <w:t>alebo poštový podnik poskytujúci univerzálnu službu</w:t>
            </w:r>
            <w:r>
              <w:rPr>
                <w:sz w:val="22"/>
                <w:szCs w:val="22"/>
              </w:rPr>
              <w:t>.</w:t>
            </w:r>
          </w:p>
        </w:tc>
      </w:tr>
      <w:tr w:rsidR="00FF4CD7" w:rsidRPr="005C4B9C" w14:paraId="099106FE" w14:textId="77777777" w:rsidTr="00FF4CD7">
        <w:trPr>
          <w:trHeight w:val="423"/>
        </w:trPr>
        <w:tc>
          <w:tcPr>
            <w:tcW w:w="9371" w:type="dxa"/>
          </w:tcPr>
          <w:p w14:paraId="7FDE2DD3" w14:textId="77777777" w:rsidR="00FF4CD7" w:rsidRPr="005C4B9C" w:rsidRDefault="00FF4CD7" w:rsidP="00FF4CD7">
            <w:pPr>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FF4CD7" w:rsidRPr="005C4B9C" w14:paraId="169B449C" w14:textId="77777777" w:rsidTr="00FF4CD7">
        <w:trPr>
          <w:trHeight w:val="256"/>
        </w:trPr>
        <w:tc>
          <w:tcPr>
            <w:tcW w:w="9371" w:type="dxa"/>
          </w:tcPr>
          <w:p w14:paraId="1BC6042F" w14:textId="77777777" w:rsidR="00FF4CD7" w:rsidRPr="00F36EF9" w:rsidRDefault="00FF4CD7" w:rsidP="00FF4CD7">
            <w:pPr>
              <w:rPr>
                <w:b/>
                <w:i/>
                <w:sz w:val="22"/>
                <w:szCs w:val="22"/>
              </w:rPr>
            </w:pPr>
            <w:r w:rsidRPr="00F36EF9">
              <w:rPr>
                <w:i/>
                <w:sz w:val="22"/>
                <w:szCs w:val="22"/>
              </w:rPr>
              <w:t xml:space="preserve">Priamy vplyv (popíšte) </w:t>
            </w:r>
          </w:p>
        </w:tc>
      </w:tr>
      <w:tr w:rsidR="00FF4CD7" w:rsidRPr="005C4B9C" w14:paraId="727E063A" w14:textId="77777777" w:rsidTr="00FF4CD7">
        <w:trPr>
          <w:trHeight w:val="543"/>
        </w:trPr>
        <w:tc>
          <w:tcPr>
            <w:tcW w:w="9371" w:type="dxa"/>
          </w:tcPr>
          <w:p w14:paraId="5DA3DDBA" w14:textId="77777777" w:rsidR="00FF4CD7" w:rsidRPr="00886BA4" w:rsidRDefault="00FF4CD7" w:rsidP="00FF4CD7">
            <w:pPr>
              <w:rPr>
                <w:sz w:val="22"/>
                <w:szCs w:val="22"/>
              </w:rPr>
            </w:pPr>
            <w:r>
              <w:rPr>
                <w:sz w:val="22"/>
                <w:szCs w:val="22"/>
              </w:rPr>
              <w:t xml:space="preserve">Nedostupnosť štátom garantovanej asistovanej služby elektronickej úradnej komunikácie s orgánom verejnej moci, tzn. nemožnosť podať elektronické podanie orgánu verejnej moci za asistencie pracovníka integrovaného obslužného miesta. Nedostupnosť inej služby poskytovanej integrovaným obslužným miestom v súlade s § 7 ods. 1 zákona o e-Governmente (s výnimkou elektronického odpisu, výstupu z informačného systému verejnej správy a zaručenej konverzie). </w:t>
            </w:r>
          </w:p>
        </w:tc>
      </w:tr>
      <w:tr w:rsidR="00FF4CD7" w:rsidRPr="005C4B9C" w14:paraId="13EA0ED1" w14:textId="77777777" w:rsidTr="00FF4CD7">
        <w:trPr>
          <w:trHeight w:val="20"/>
        </w:trPr>
        <w:tc>
          <w:tcPr>
            <w:tcW w:w="9371" w:type="dxa"/>
          </w:tcPr>
          <w:p w14:paraId="67C1E138" w14:textId="77777777" w:rsidR="00FF4CD7" w:rsidRPr="00F36EF9" w:rsidRDefault="00FF4CD7" w:rsidP="00FF4CD7">
            <w:pPr>
              <w:rPr>
                <w:b/>
                <w:i/>
                <w:sz w:val="22"/>
                <w:szCs w:val="22"/>
              </w:rPr>
            </w:pPr>
            <w:r w:rsidRPr="00F36EF9">
              <w:rPr>
                <w:i/>
                <w:sz w:val="22"/>
                <w:szCs w:val="22"/>
              </w:rPr>
              <w:t xml:space="preserve">Nepriamy vplyv (popíšte) </w:t>
            </w:r>
          </w:p>
        </w:tc>
      </w:tr>
      <w:tr w:rsidR="00FF4CD7" w:rsidRPr="005C4B9C" w14:paraId="661DD721" w14:textId="77777777" w:rsidTr="00FF4CD7">
        <w:trPr>
          <w:trHeight w:val="616"/>
        </w:trPr>
        <w:tc>
          <w:tcPr>
            <w:tcW w:w="9371" w:type="dxa"/>
          </w:tcPr>
          <w:p w14:paraId="154729DE" w14:textId="77777777" w:rsidR="00FF4CD7" w:rsidRPr="00332F72" w:rsidRDefault="00FF4CD7" w:rsidP="00FF4CD7">
            <w:pPr>
              <w:rPr>
                <w:sz w:val="22"/>
                <w:szCs w:val="22"/>
              </w:rPr>
            </w:pPr>
            <w:r w:rsidRPr="00332F72">
              <w:rPr>
                <w:sz w:val="22"/>
                <w:szCs w:val="22"/>
              </w:rPr>
              <w:t>Nie</w:t>
            </w:r>
          </w:p>
        </w:tc>
      </w:tr>
      <w:tr w:rsidR="00FF4CD7" w:rsidRPr="005C4B9C" w14:paraId="3466B3BF" w14:textId="77777777" w:rsidTr="00FF4CD7">
        <w:trPr>
          <w:trHeight w:val="20"/>
        </w:trPr>
        <w:tc>
          <w:tcPr>
            <w:tcW w:w="9371" w:type="dxa"/>
            <w:shd w:val="clear" w:color="auto" w:fill="C0C0C0"/>
            <w:vAlign w:val="center"/>
          </w:tcPr>
          <w:p w14:paraId="21D2F0A5" w14:textId="77777777" w:rsidR="00FF4CD7" w:rsidRPr="00B1784E" w:rsidRDefault="00FF4CD7" w:rsidP="00FF4CD7">
            <w:pPr>
              <w:jc w:val="center"/>
              <w:rPr>
                <w:b/>
                <w:sz w:val="28"/>
                <w:szCs w:val="28"/>
              </w:rPr>
            </w:pPr>
            <w:r>
              <w:rPr>
                <w:b/>
                <w:sz w:val="28"/>
                <w:szCs w:val="28"/>
              </w:rPr>
              <w:t>7.2 Vplyv služieb verejnej správy na</w:t>
            </w:r>
            <w:r w:rsidRPr="00B1784E">
              <w:rPr>
                <w:b/>
                <w:sz w:val="28"/>
                <w:szCs w:val="28"/>
              </w:rPr>
              <w:t xml:space="preserve"> občana</w:t>
            </w:r>
          </w:p>
        </w:tc>
      </w:tr>
      <w:tr w:rsidR="00FF4CD7" w:rsidRPr="005C4B9C" w14:paraId="246A684E" w14:textId="77777777" w:rsidTr="00FF4CD7">
        <w:trPr>
          <w:trHeight w:val="388"/>
        </w:trPr>
        <w:tc>
          <w:tcPr>
            <w:tcW w:w="9371" w:type="dxa"/>
          </w:tcPr>
          <w:p w14:paraId="630A7D01" w14:textId="77777777" w:rsidR="00FF4CD7" w:rsidRDefault="00FF4CD7" w:rsidP="00FF4CD7">
            <w:pPr>
              <w:rPr>
                <w:b/>
              </w:rPr>
            </w:pPr>
            <w:r>
              <w:rPr>
                <w:b/>
              </w:rPr>
              <w:t>7.2</w:t>
            </w:r>
            <w:r w:rsidRPr="00B1784E">
              <w:rPr>
                <w:b/>
              </w:rPr>
              <w:t>.</w:t>
            </w:r>
            <w:r>
              <w:rPr>
                <w:b/>
              </w:rPr>
              <w:t xml:space="preserve">1 Náklady </w:t>
            </w:r>
          </w:p>
        </w:tc>
      </w:tr>
      <w:tr w:rsidR="00FF4CD7" w:rsidRPr="005C4B9C" w14:paraId="538B9403" w14:textId="77777777" w:rsidTr="00FF4CD7">
        <w:trPr>
          <w:trHeight w:val="226"/>
        </w:trPr>
        <w:tc>
          <w:tcPr>
            <w:tcW w:w="9371" w:type="dxa"/>
          </w:tcPr>
          <w:p w14:paraId="2130431E" w14:textId="77777777" w:rsidR="00FF4CD7" w:rsidRDefault="00FF4CD7" w:rsidP="00FF4CD7">
            <w:pPr>
              <w:rPr>
                <w:b/>
              </w:rPr>
            </w:pPr>
            <w:r>
              <w:rPr>
                <w:i/>
              </w:rPr>
              <w:t xml:space="preserve">Zníženie priamych finančných nákladov </w:t>
            </w:r>
          </w:p>
        </w:tc>
      </w:tr>
      <w:tr w:rsidR="00FF4CD7" w:rsidRPr="005C4B9C" w14:paraId="7C7E05B8" w14:textId="77777777" w:rsidTr="00FF4CD7">
        <w:trPr>
          <w:trHeight w:val="599"/>
        </w:trPr>
        <w:tc>
          <w:tcPr>
            <w:tcW w:w="9371" w:type="dxa"/>
          </w:tcPr>
          <w:p w14:paraId="2CBA272F" w14:textId="77777777" w:rsidR="00FF4CD7" w:rsidRDefault="00FF4CD7" w:rsidP="00FF4CD7">
            <w:pPr>
              <w:rPr>
                <w:i/>
              </w:rPr>
            </w:pPr>
            <w:r w:rsidRPr="00332F72">
              <w:rPr>
                <w:sz w:val="22"/>
                <w:szCs w:val="22"/>
              </w:rPr>
              <w:lastRenderedPageBreak/>
              <w:t>Nie</w:t>
            </w:r>
          </w:p>
        </w:tc>
      </w:tr>
      <w:tr w:rsidR="00FF4CD7" w:rsidRPr="005C4B9C" w14:paraId="02BC8CA0" w14:textId="77777777" w:rsidTr="00FF4CD7">
        <w:trPr>
          <w:trHeight w:val="294"/>
        </w:trPr>
        <w:tc>
          <w:tcPr>
            <w:tcW w:w="9371" w:type="dxa"/>
          </w:tcPr>
          <w:p w14:paraId="09AE6746" w14:textId="77777777" w:rsidR="00FF4CD7" w:rsidRPr="00E43AA2" w:rsidRDefault="00FF4CD7" w:rsidP="00FF4CD7">
            <w:pPr>
              <w:rPr>
                <w:i/>
              </w:rPr>
            </w:pPr>
            <w:r w:rsidRPr="00E43AA2">
              <w:rPr>
                <w:i/>
              </w:rPr>
              <w:t xml:space="preserve">Zvýšenie </w:t>
            </w:r>
            <w:r>
              <w:rPr>
                <w:i/>
              </w:rPr>
              <w:t>priamych finančných nákladov</w:t>
            </w:r>
          </w:p>
        </w:tc>
      </w:tr>
      <w:tr w:rsidR="00FF4CD7" w:rsidRPr="005C4B9C" w14:paraId="3500DC57" w14:textId="77777777" w:rsidTr="00FF4CD7">
        <w:trPr>
          <w:trHeight w:val="572"/>
        </w:trPr>
        <w:tc>
          <w:tcPr>
            <w:tcW w:w="9371" w:type="dxa"/>
          </w:tcPr>
          <w:p w14:paraId="166B7F57" w14:textId="77777777" w:rsidR="00FF4CD7" w:rsidRPr="00332F72" w:rsidRDefault="00FF4CD7" w:rsidP="00FF4CD7">
            <w:pPr>
              <w:rPr>
                <w:sz w:val="22"/>
                <w:szCs w:val="22"/>
              </w:rPr>
            </w:pPr>
            <w:r>
              <w:rPr>
                <w:sz w:val="22"/>
                <w:szCs w:val="22"/>
              </w:rPr>
              <w:t>Nie</w:t>
            </w:r>
          </w:p>
        </w:tc>
      </w:tr>
      <w:tr w:rsidR="00FF4CD7" w:rsidRPr="005C4B9C" w14:paraId="2B50C821" w14:textId="77777777" w:rsidTr="00FF4CD7">
        <w:trPr>
          <w:trHeight w:val="214"/>
        </w:trPr>
        <w:tc>
          <w:tcPr>
            <w:tcW w:w="9371" w:type="dxa"/>
          </w:tcPr>
          <w:p w14:paraId="7D11B4C4" w14:textId="77777777" w:rsidR="00FF4CD7" w:rsidRPr="00E43AA2" w:rsidRDefault="00FF4CD7" w:rsidP="00FF4CD7">
            <w:pPr>
              <w:rPr>
                <w:i/>
              </w:rPr>
            </w:pPr>
            <w:r>
              <w:rPr>
                <w:i/>
              </w:rPr>
              <w:t>Zníženie nepriamych finančných nákladov</w:t>
            </w:r>
          </w:p>
        </w:tc>
      </w:tr>
      <w:tr w:rsidR="00FF4CD7" w:rsidRPr="005C4B9C" w14:paraId="6E739061" w14:textId="77777777" w:rsidTr="00FF4CD7">
        <w:trPr>
          <w:trHeight w:val="707"/>
        </w:trPr>
        <w:tc>
          <w:tcPr>
            <w:tcW w:w="9371" w:type="dxa"/>
          </w:tcPr>
          <w:p w14:paraId="551A5674" w14:textId="77777777" w:rsidR="00FF4CD7" w:rsidRDefault="00FF4CD7" w:rsidP="00FF4CD7">
            <w:pPr>
              <w:rPr>
                <w:i/>
              </w:rPr>
            </w:pPr>
            <w:r w:rsidRPr="00332F72">
              <w:rPr>
                <w:sz w:val="22"/>
                <w:szCs w:val="22"/>
              </w:rPr>
              <w:t>Nie</w:t>
            </w:r>
          </w:p>
        </w:tc>
      </w:tr>
      <w:tr w:rsidR="00FF4CD7" w:rsidRPr="005C4B9C" w14:paraId="05104F56" w14:textId="77777777" w:rsidTr="00FF4CD7">
        <w:trPr>
          <w:trHeight w:val="388"/>
        </w:trPr>
        <w:tc>
          <w:tcPr>
            <w:tcW w:w="9371" w:type="dxa"/>
          </w:tcPr>
          <w:p w14:paraId="6276DD2F" w14:textId="77777777" w:rsidR="00FF4CD7" w:rsidRPr="00E43AA2" w:rsidRDefault="00FF4CD7" w:rsidP="00FF4CD7">
            <w:pPr>
              <w:rPr>
                <w:i/>
              </w:rPr>
            </w:pPr>
            <w:r w:rsidRPr="00E43AA2">
              <w:rPr>
                <w:i/>
              </w:rPr>
              <w:t xml:space="preserve">Zvýšenie </w:t>
            </w:r>
            <w:r>
              <w:rPr>
                <w:i/>
              </w:rPr>
              <w:t>nepriamych finančných nákladov</w:t>
            </w:r>
          </w:p>
        </w:tc>
      </w:tr>
      <w:tr w:rsidR="00FF4CD7" w:rsidRPr="005C4B9C" w14:paraId="33B0D6D6" w14:textId="77777777" w:rsidTr="00FF4CD7">
        <w:trPr>
          <w:trHeight w:val="800"/>
        </w:trPr>
        <w:tc>
          <w:tcPr>
            <w:tcW w:w="9371" w:type="dxa"/>
          </w:tcPr>
          <w:p w14:paraId="5DC04200" w14:textId="77777777" w:rsidR="00FF4CD7" w:rsidRPr="00332F72" w:rsidRDefault="00FF4CD7" w:rsidP="00FF4CD7">
            <w:pPr>
              <w:rPr>
                <w:sz w:val="22"/>
                <w:szCs w:val="22"/>
              </w:rPr>
            </w:pPr>
            <w:r w:rsidRPr="00332F72">
              <w:rPr>
                <w:sz w:val="22"/>
                <w:szCs w:val="22"/>
              </w:rPr>
              <w:t>Nie</w:t>
            </w:r>
          </w:p>
        </w:tc>
      </w:tr>
      <w:tr w:rsidR="00FF4CD7" w:rsidRPr="005C4B9C" w14:paraId="737A274E" w14:textId="77777777" w:rsidTr="00FF4CD7">
        <w:trPr>
          <w:trHeight w:val="388"/>
        </w:trPr>
        <w:tc>
          <w:tcPr>
            <w:tcW w:w="9371" w:type="dxa"/>
          </w:tcPr>
          <w:p w14:paraId="222EAB9B" w14:textId="77777777" w:rsidR="00FF4CD7" w:rsidRPr="00B1031A" w:rsidRDefault="00FF4CD7" w:rsidP="00FF4CD7">
            <w:pPr>
              <w:rPr>
                <w:i/>
                <w:iCs/>
              </w:rPr>
            </w:pPr>
            <w:r>
              <w:rPr>
                <w:b/>
              </w:rPr>
              <w:t xml:space="preserve">7.2.2 </w:t>
            </w:r>
            <w:r w:rsidRPr="00B1784E">
              <w:rPr>
                <w:b/>
              </w:rPr>
              <w:t xml:space="preserve">Časový </w:t>
            </w:r>
            <w:r>
              <w:rPr>
                <w:b/>
              </w:rPr>
              <w:t>vplyv</w:t>
            </w:r>
            <w:r w:rsidRPr="00B1784E">
              <w:rPr>
                <w:b/>
              </w:rPr>
              <w:t xml:space="preserve"> </w:t>
            </w:r>
          </w:p>
        </w:tc>
      </w:tr>
      <w:tr w:rsidR="00FF4CD7" w:rsidRPr="005C4B9C" w14:paraId="106E68FD" w14:textId="77777777" w:rsidTr="00FF4CD7">
        <w:trPr>
          <w:trHeight w:val="20"/>
        </w:trPr>
        <w:tc>
          <w:tcPr>
            <w:tcW w:w="9371" w:type="dxa"/>
          </w:tcPr>
          <w:p w14:paraId="3042DEE9" w14:textId="77777777" w:rsidR="00FF4CD7" w:rsidRPr="00B007AE" w:rsidRDefault="00FF4CD7" w:rsidP="00FF4CD7">
            <w:pPr>
              <w:rPr>
                <w:b/>
              </w:rPr>
            </w:pPr>
            <w:r w:rsidRPr="00B007AE">
              <w:rPr>
                <w:i/>
              </w:rPr>
              <w:t>Zvýšenie času vybavenia požiadavky (popíšte)</w:t>
            </w:r>
          </w:p>
        </w:tc>
      </w:tr>
      <w:tr w:rsidR="00FF4CD7" w:rsidRPr="005C4B9C" w14:paraId="02276E6D" w14:textId="77777777" w:rsidTr="00FF4CD7">
        <w:trPr>
          <w:trHeight w:val="703"/>
        </w:trPr>
        <w:tc>
          <w:tcPr>
            <w:tcW w:w="9371" w:type="dxa"/>
          </w:tcPr>
          <w:p w14:paraId="76BE6B4D" w14:textId="77777777" w:rsidR="00FF4CD7" w:rsidRPr="00332F72" w:rsidRDefault="00FF4CD7" w:rsidP="00FF4CD7">
            <w:pPr>
              <w:rPr>
                <w:sz w:val="22"/>
                <w:szCs w:val="22"/>
              </w:rPr>
            </w:pPr>
            <w:r>
              <w:rPr>
                <w:sz w:val="22"/>
                <w:szCs w:val="22"/>
              </w:rPr>
              <w:t>Nepredpokladá sa</w:t>
            </w:r>
            <w:r w:rsidRPr="00332F72">
              <w:rPr>
                <w:sz w:val="22"/>
                <w:szCs w:val="22"/>
              </w:rPr>
              <w:t xml:space="preserve"> </w:t>
            </w:r>
            <w:r>
              <w:rPr>
                <w:sz w:val="22"/>
                <w:szCs w:val="22"/>
              </w:rPr>
              <w:t xml:space="preserve">časový </w:t>
            </w:r>
            <w:r w:rsidRPr="00332F72">
              <w:rPr>
                <w:sz w:val="22"/>
                <w:szCs w:val="22"/>
              </w:rPr>
              <w:t>vplyv</w:t>
            </w:r>
          </w:p>
        </w:tc>
      </w:tr>
      <w:tr w:rsidR="00FF4CD7" w:rsidRPr="005C4B9C" w14:paraId="20432E6D" w14:textId="77777777" w:rsidTr="00FF4CD7">
        <w:trPr>
          <w:trHeight w:val="20"/>
        </w:trPr>
        <w:tc>
          <w:tcPr>
            <w:tcW w:w="9371" w:type="dxa"/>
          </w:tcPr>
          <w:p w14:paraId="3DC3EC0B" w14:textId="77777777" w:rsidR="00FF4CD7" w:rsidRPr="00B007AE" w:rsidRDefault="00FF4CD7" w:rsidP="00FF4CD7">
            <w:pPr>
              <w:rPr>
                <w:b/>
              </w:rPr>
            </w:pPr>
            <w:r w:rsidRPr="00B007AE">
              <w:rPr>
                <w:i/>
              </w:rPr>
              <w:t>Zníženie času  vybavenia požiadavky (popíšte)</w:t>
            </w:r>
          </w:p>
        </w:tc>
      </w:tr>
      <w:tr w:rsidR="00FF4CD7" w:rsidRPr="005C4B9C" w14:paraId="08ABF3C5" w14:textId="77777777" w:rsidTr="00FF4CD7">
        <w:trPr>
          <w:trHeight w:val="729"/>
        </w:trPr>
        <w:tc>
          <w:tcPr>
            <w:tcW w:w="9371" w:type="dxa"/>
          </w:tcPr>
          <w:p w14:paraId="4C58E091" w14:textId="77777777" w:rsidR="00FF4CD7" w:rsidRPr="003C3251" w:rsidRDefault="00FF4CD7" w:rsidP="00FF4CD7">
            <w:pPr>
              <w:rPr>
                <w:b/>
              </w:rPr>
            </w:pPr>
            <w:r>
              <w:rPr>
                <w:sz w:val="22"/>
                <w:szCs w:val="22"/>
              </w:rPr>
              <w:t>Nepredpokladá sa</w:t>
            </w:r>
            <w:r w:rsidRPr="00332F72">
              <w:rPr>
                <w:sz w:val="22"/>
                <w:szCs w:val="22"/>
              </w:rPr>
              <w:t xml:space="preserve"> </w:t>
            </w:r>
            <w:r>
              <w:rPr>
                <w:sz w:val="22"/>
                <w:szCs w:val="22"/>
              </w:rPr>
              <w:t xml:space="preserve">časový </w:t>
            </w:r>
            <w:r w:rsidRPr="00332F72">
              <w:rPr>
                <w:sz w:val="22"/>
                <w:szCs w:val="22"/>
              </w:rPr>
              <w:t>vplyv</w:t>
            </w:r>
          </w:p>
        </w:tc>
      </w:tr>
      <w:tr w:rsidR="00FF4CD7" w:rsidRPr="005C4B9C" w14:paraId="70610026" w14:textId="77777777" w:rsidTr="00FF4CD7">
        <w:trPr>
          <w:trHeight w:val="424"/>
        </w:trPr>
        <w:tc>
          <w:tcPr>
            <w:tcW w:w="9371" w:type="dxa"/>
          </w:tcPr>
          <w:p w14:paraId="47B37EEB" w14:textId="77777777" w:rsidR="00FF4CD7" w:rsidRDefault="00FF4CD7" w:rsidP="00FF4CD7">
            <w:pPr>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14:paraId="4C18D99B" w14:textId="77777777" w:rsidR="00FF4CD7" w:rsidRPr="005C4B9C" w:rsidRDefault="00FF4CD7" w:rsidP="00FF4CD7">
            <w:pPr>
              <w:rPr>
                <w:i/>
                <w:iCs/>
              </w:rPr>
            </w:pPr>
            <w:r>
              <w:rPr>
                <w:i/>
                <w:iCs/>
              </w:rPr>
              <w:t>Špecifikujte skupinu občanov, ktorá bude návrhom ovplyvnená (napr. držitelia vodičských oprávnení). Aká je  veľkosť tejto skupiny?</w:t>
            </w:r>
          </w:p>
        </w:tc>
      </w:tr>
      <w:tr w:rsidR="00FF4CD7" w:rsidRPr="005C4B9C" w14:paraId="0DD7A639" w14:textId="77777777" w:rsidTr="00FF4CD7">
        <w:trPr>
          <w:trHeight w:val="734"/>
        </w:trPr>
        <w:tc>
          <w:tcPr>
            <w:tcW w:w="9371" w:type="dxa"/>
          </w:tcPr>
          <w:p w14:paraId="544FA0C6" w14:textId="77777777" w:rsidR="00FF4CD7" w:rsidRPr="00332F72" w:rsidRDefault="00FF4CD7" w:rsidP="00FF4CD7">
            <w:pPr>
              <w:rPr>
                <w:iCs/>
                <w:sz w:val="22"/>
                <w:szCs w:val="22"/>
              </w:rPr>
            </w:pPr>
            <w:r>
              <w:rPr>
                <w:iCs/>
                <w:sz w:val="22"/>
                <w:szCs w:val="22"/>
              </w:rPr>
              <w:t>Občan, ktorý má záujem využiť služby integrovaného obslužného miesta na využitie služby asistovanej elektronickej úradnej komunikácie s orgánom verejnej moci alebo má záujem využiť inú službu v rámci § 5 ods. 4 zákona o e-Governmente (</w:t>
            </w:r>
            <w:r w:rsidRPr="0086245A">
              <w:rPr>
                <w:iCs/>
                <w:sz w:val="22"/>
                <w:szCs w:val="22"/>
              </w:rPr>
              <w:t xml:space="preserve">s výnimkou </w:t>
            </w:r>
            <w:r>
              <w:rPr>
                <w:iCs/>
                <w:sz w:val="22"/>
                <w:szCs w:val="22"/>
              </w:rPr>
              <w:t xml:space="preserve">služieb poskytnutia </w:t>
            </w:r>
            <w:r w:rsidRPr="0086245A">
              <w:rPr>
                <w:iCs/>
                <w:sz w:val="22"/>
                <w:szCs w:val="22"/>
              </w:rPr>
              <w:t>elektronického odpisu, výstupu z informačného systému verejnej správy a zaručenej konverzie</w:t>
            </w:r>
            <w:r>
              <w:rPr>
                <w:iCs/>
                <w:sz w:val="22"/>
                <w:szCs w:val="22"/>
              </w:rPr>
              <w:t>).</w:t>
            </w:r>
          </w:p>
        </w:tc>
      </w:tr>
      <w:tr w:rsidR="00FF4CD7" w:rsidRPr="005C4B9C" w14:paraId="0629A0E6" w14:textId="77777777" w:rsidTr="00FF4CD7">
        <w:trPr>
          <w:trHeight w:val="20"/>
        </w:trPr>
        <w:tc>
          <w:tcPr>
            <w:tcW w:w="9371" w:type="dxa"/>
          </w:tcPr>
          <w:p w14:paraId="25108777" w14:textId="77777777" w:rsidR="00FF4CD7" w:rsidRPr="005C4B9C" w:rsidRDefault="00FF4CD7" w:rsidP="00FF4CD7">
            <w:pPr>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FF4CD7" w:rsidRPr="005C4B9C" w14:paraId="6BF9F3BE" w14:textId="77777777" w:rsidTr="00FF4CD7">
        <w:trPr>
          <w:trHeight w:val="20"/>
        </w:trPr>
        <w:tc>
          <w:tcPr>
            <w:tcW w:w="9371" w:type="dxa"/>
          </w:tcPr>
          <w:p w14:paraId="060E41AB" w14:textId="77777777" w:rsidR="00FF4CD7" w:rsidRPr="00B007AE" w:rsidRDefault="00FF4CD7" w:rsidP="00FF4CD7">
            <w:pPr>
              <w:rPr>
                <w:i/>
                <w:iCs/>
              </w:rPr>
            </w:pPr>
            <w:r w:rsidRPr="00B007AE">
              <w:rPr>
                <w:i/>
                <w:iCs/>
              </w:rPr>
              <w:t xml:space="preserve">Nové povinnosti (identifikujte) </w:t>
            </w:r>
          </w:p>
        </w:tc>
      </w:tr>
      <w:tr w:rsidR="00FF4CD7" w:rsidRPr="005C4B9C" w14:paraId="3A67C969" w14:textId="77777777" w:rsidTr="00FF4CD7">
        <w:trPr>
          <w:trHeight w:val="726"/>
        </w:trPr>
        <w:tc>
          <w:tcPr>
            <w:tcW w:w="9371" w:type="dxa"/>
          </w:tcPr>
          <w:p w14:paraId="6F08A9D2" w14:textId="77777777" w:rsidR="00FF4CD7" w:rsidRPr="00332F72" w:rsidRDefault="00FF4CD7" w:rsidP="00FF4CD7">
            <w:pPr>
              <w:rPr>
                <w:iCs/>
                <w:sz w:val="22"/>
                <w:szCs w:val="22"/>
              </w:rPr>
            </w:pPr>
            <w:r>
              <w:rPr>
                <w:iCs/>
                <w:sz w:val="22"/>
                <w:szCs w:val="22"/>
              </w:rPr>
              <w:t>Nie</w:t>
            </w:r>
          </w:p>
        </w:tc>
      </w:tr>
      <w:tr w:rsidR="00FF4CD7" w:rsidRPr="005C4B9C" w14:paraId="25357FFA" w14:textId="77777777" w:rsidTr="00FF4CD7">
        <w:trPr>
          <w:trHeight w:val="20"/>
        </w:trPr>
        <w:tc>
          <w:tcPr>
            <w:tcW w:w="9371" w:type="dxa"/>
          </w:tcPr>
          <w:p w14:paraId="3AA69F2E" w14:textId="77777777" w:rsidR="00FF4CD7" w:rsidRPr="00B007AE" w:rsidRDefault="00FF4CD7" w:rsidP="00FF4CD7">
            <w:pPr>
              <w:rPr>
                <w:i/>
                <w:iCs/>
              </w:rPr>
            </w:pPr>
            <w:r w:rsidRPr="00B007AE">
              <w:rPr>
                <w:i/>
                <w:iCs/>
              </w:rPr>
              <w:t>Zanikajúce povinnosti (identifikujte)</w:t>
            </w:r>
          </w:p>
        </w:tc>
      </w:tr>
      <w:tr w:rsidR="00FF4CD7" w:rsidRPr="005C4B9C" w14:paraId="7B635718" w14:textId="77777777" w:rsidTr="00FF4CD7">
        <w:trPr>
          <w:trHeight w:val="609"/>
        </w:trPr>
        <w:tc>
          <w:tcPr>
            <w:tcW w:w="9371" w:type="dxa"/>
          </w:tcPr>
          <w:p w14:paraId="107B729D" w14:textId="77777777" w:rsidR="00FF4CD7" w:rsidRDefault="00FF4CD7" w:rsidP="00FF4CD7">
            <w:pPr>
              <w:rPr>
                <w:i/>
                <w:iCs/>
              </w:rPr>
            </w:pPr>
            <w:r w:rsidRPr="00332F72">
              <w:rPr>
                <w:sz w:val="22"/>
                <w:szCs w:val="22"/>
              </w:rPr>
              <w:t>Nie</w:t>
            </w:r>
          </w:p>
          <w:p w14:paraId="6AE8ADE0" w14:textId="77777777" w:rsidR="00FF4CD7" w:rsidRPr="00B1784E" w:rsidRDefault="00FF4CD7" w:rsidP="00FF4CD7">
            <w:pPr>
              <w:rPr>
                <w:i/>
                <w:iCs/>
              </w:rPr>
            </w:pPr>
          </w:p>
        </w:tc>
      </w:tr>
      <w:tr w:rsidR="00FF4CD7" w:rsidRPr="005C4B9C" w14:paraId="057DD374" w14:textId="77777777" w:rsidTr="00FF4CD7">
        <w:trPr>
          <w:trHeight w:val="20"/>
        </w:trPr>
        <w:tc>
          <w:tcPr>
            <w:tcW w:w="9371" w:type="dxa"/>
            <w:shd w:val="clear" w:color="auto" w:fill="BFBFBF" w:themeFill="background1" w:themeFillShade="BF"/>
            <w:vAlign w:val="center"/>
          </w:tcPr>
          <w:p w14:paraId="2D112323" w14:textId="77777777" w:rsidR="00FF4CD7" w:rsidRPr="00B1784E" w:rsidRDefault="00FF4CD7" w:rsidP="00FF4CD7">
            <w:pPr>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FF4CD7" w:rsidRPr="005C4B9C" w14:paraId="215383EB" w14:textId="77777777" w:rsidTr="00FF4CD7">
        <w:trPr>
          <w:trHeight w:val="390"/>
        </w:trPr>
        <w:tc>
          <w:tcPr>
            <w:tcW w:w="9371" w:type="dxa"/>
          </w:tcPr>
          <w:p w14:paraId="4725C588" w14:textId="77777777" w:rsidR="00FF4CD7" w:rsidRDefault="00FF4CD7" w:rsidP="00FF4CD7">
            <w:pPr>
              <w:rPr>
                <w:b/>
              </w:rPr>
            </w:pPr>
            <w:r>
              <w:rPr>
                <w:b/>
              </w:rPr>
              <w:t>7.3.1</w:t>
            </w:r>
            <w:r w:rsidRPr="00B1784E">
              <w:rPr>
                <w:b/>
              </w:rPr>
              <w:t xml:space="preserve"> Ktoré sú dotknuté subjekty </w:t>
            </w:r>
            <w:r>
              <w:rPr>
                <w:b/>
              </w:rPr>
              <w:t>verejnej správy</w:t>
            </w:r>
            <w:r w:rsidRPr="00B1784E">
              <w:rPr>
                <w:b/>
              </w:rPr>
              <w:t xml:space="preserve">? </w:t>
            </w:r>
          </w:p>
          <w:p w14:paraId="0F17DBAF" w14:textId="77777777" w:rsidR="00FF4CD7" w:rsidRPr="00435B44" w:rsidRDefault="00FF4CD7" w:rsidP="00FF4CD7">
            <w:pPr>
              <w:rPr>
                <w:i/>
                <w:iCs/>
              </w:rPr>
            </w:pPr>
            <w:r>
              <w:rPr>
                <w:i/>
              </w:rPr>
              <w:t xml:space="preserve">Ktoré subjekty verejnej správy sú účastné procesu poskytnutia služby? </w:t>
            </w:r>
          </w:p>
        </w:tc>
      </w:tr>
      <w:tr w:rsidR="00FF4CD7" w:rsidRPr="005C4B9C" w14:paraId="2C8AFA9A" w14:textId="77777777" w:rsidTr="00FF4CD7">
        <w:trPr>
          <w:trHeight w:val="733"/>
        </w:trPr>
        <w:tc>
          <w:tcPr>
            <w:tcW w:w="9371" w:type="dxa"/>
          </w:tcPr>
          <w:p w14:paraId="1BF8A2D1" w14:textId="77777777" w:rsidR="00FF4CD7" w:rsidRPr="00332F72" w:rsidRDefault="00FF4CD7" w:rsidP="00FF4CD7">
            <w:pPr>
              <w:rPr>
                <w:sz w:val="22"/>
                <w:szCs w:val="22"/>
              </w:rPr>
            </w:pPr>
            <w:r>
              <w:rPr>
                <w:sz w:val="22"/>
                <w:szCs w:val="22"/>
              </w:rPr>
              <w:t>O</w:t>
            </w:r>
            <w:r w:rsidRPr="006D4540">
              <w:rPr>
                <w:sz w:val="22"/>
                <w:szCs w:val="22"/>
              </w:rPr>
              <w:t>bec alebo mestská časť v Bratislave a Košiciach, ktoré sú matričným úradom</w:t>
            </w:r>
            <w:r>
              <w:rPr>
                <w:sz w:val="22"/>
                <w:szCs w:val="22"/>
              </w:rPr>
              <w:t xml:space="preserve"> alebo iný orgán verejnej moci využívajúci informačný systém integrovaného obslužného miesta v správe MIRRI SR.</w:t>
            </w:r>
          </w:p>
        </w:tc>
      </w:tr>
      <w:tr w:rsidR="00FF4CD7" w:rsidRPr="005C4B9C" w14:paraId="647E260E" w14:textId="77777777" w:rsidTr="00FF4CD7">
        <w:trPr>
          <w:trHeight w:val="20"/>
        </w:trPr>
        <w:tc>
          <w:tcPr>
            <w:tcW w:w="9371" w:type="dxa"/>
          </w:tcPr>
          <w:p w14:paraId="6ABCB524" w14:textId="77777777" w:rsidR="00FF4CD7" w:rsidRPr="005C4B9C" w:rsidRDefault="00FF4CD7" w:rsidP="00FF4CD7">
            <w:pPr>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FF4CD7" w:rsidRPr="005C4B9C" w14:paraId="0C0885BD" w14:textId="77777777" w:rsidTr="00FF4CD7">
        <w:trPr>
          <w:trHeight w:val="20"/>
        </w:trPr>
        <w:tc>
          <w:tcPr>
            <w:tcW w:w="9371" w:type="dxa"/>
          </w:tcPr>
          <w:p w14:paraId="5686CA37" w14:textId="77777777" w:rsidR="00FF4CD7" w:rsidRPr="00B007AE" w:rsidRDefault="00FF4CD7" w:rsidP="00FF4CD7">
            <w:pPr>
              <w:rPr>
                <w:i/>
                <w:iCs/>
              </w:rPr>
            </w:pPr>
            <w:r w:rsidRPr="00B007AE">
              <w:rPr>
                <w:i/>
                <w:iCs/>
              </w:rPr>
              <w:lastRenderedPageBreak/>
              <w:t>Nové povinnosti (identifikujte)</w:t>
            </w:r>
          </w:p>
        </w:tc>
      </w:tr>
      <w:tr w:rsidR="00FF4CD7" w:rsidRPr="005C4B9C" w14:paraId="05D60160" w14:textId="77777777" w:rsidTr="00FF4CD7">
        <w:trPr>
          <w:trHeight w:val="674"/>
        </w:trPr>
        <w:tc>
          <w:tcPr>
            <w:tcW w:w="9371" w:type="dxa"/>
          </w:tcPr>
          <w:p w14:paraId="3DFF4A66" w14:textId="77777777" w:rsidR="00FF4CD7" w:rsidRPr="00332F72" w:rsidRDefault="00FF4CD7" w:rsidP="00FF4CD7">
            <w:pPr>
              <w:rPr>
                <w:sz w:val="22"/>
                <w:szCs w:val="22"/>
              </w:rPr>
            </w:pPr>
            <w:r>
              <w:rPr>
                <w:sz w:val="22"/>
                <w:szCs w:val="22"/>
              </w:rPr>
              <w:t>Nie</w:t>
            </w:r>
          </w:p>
        </w:tc>
      </w:tr>
      <w:tr w:rsidR="00FF4CD7" w:rsidRPr="005C4B9C" w14:paraId="4D6904D0" w14:textId="77777777" w:rsidTr="00FF4CD7">
        <w:trPr>
          <w:trHeight w:val="20"/>
        </w:trPr>
        <w:tc>
          <w:tcPr>
            <w:tcW w:w="9371" w:type="dxa"/>
          </w:tcPr>
          <w:p w14:paraId="7DFF7CF0" w14:textId="77777777" w:rsidR="00FF4CD7" w:rsidRPr="00B007AE" w:rsidRDefault="00FF4CD7" w:rsidP="00FF4CD7">
            <w:pPr>
              <w:rPr>
                <w:i/>
                <w:iCs/>
              </w:rPr>
            </w:pPr>
            <w:r w:rsidRPr="00B007AE">
              <w:rPr>
                <w:i/>
                <w:iCs/>
              </w:rPr>
              <w:t>Zanikajúce povinnosti (identifikujte)</w:t>
            </w:r>
          </w:p>
        </w:tc>
      </w:tr>
      <w:tr w:rsidR="00FF4CD7" w:rsidRPr="005C4B9C" w14:paraId="4FA4A60E" w14:textId="77777777" w:rsidTr="00FF4CD7">
        <w:trPr>
          <w:trHeight w:val="859"/>
        </w:trPr>
        <w:tc>
          <w:tcPr>
            <w:tcW w:w="9371" w:type="dxa"/>
          </w:tcPr>
          <w:p w14:paraId="50EA82B1" w14:textId="77777777" w:rsidR="00FF4CD7" w:rsidRPr="006D4540" w:rsidRDefault="00FF4CD7" w:rsidP="00FF4CD7">
            <w:pPr>
              <w:rPr>
                <w:iCs/>
              </w:rPr>
            </w:pPr>
            <w:r>
              <w:rPr>
                <w:iCs/>
              </w:rPr>
              <w:t xml:space="preserve">Povinnosť prevádzkovať integrované obslužné miesto a poskytovať asistovanú službu elektronickej úradnej komunikácie a iné činnosti podľa § 7 ods. 1 zákona o e-Governmente. </w:t>
            </w:r>
          </w:p>
        </w:tc>
      </w:tr>
    </w:tbl>
    <w:p w14:paraId="0FF1EC94" w14:textId="34021589" w:rsidR="00FF4CD7" w:rsidRDefault="00FF4CD7" w:rsidP="002732B1">
      <w:pPr>
        <w:jc w:val="both"/>
        <w:rPr>
          <w:rFonts w:eastAsia="Calibri"/>
          <w:bCs/>
          <w:color w:val="000000"/>
        </w:rPr>
      </w:pPr>
    </w:p>
    <w:p w14:paraId="4F0107C7" w14:textId="77777777" w:rsidR="00FF4CD7" w:rsidRDefault="00FF4CD7">
      <w:pPr>
        <w:rPr>
          <w:rFonts w:eastAsia="Calibri"/>
          <w:bCs/>
          <w:color w:val="000000"/>
        </w:rPr>
      </w:pPr>
      <w:r>
        <w:rPr>
          <w:rFonts w:eastAsia="Calibri"/>
          <w:bCs/>
          <w:color w:val="000000"/>
        </w:rPr>
        <w:br w:type="page"/>
      </w:r>
    </w:p>
    <w:p w14:paraId="408141A7" w14:textId="77777777" w:rsidR="00FF4CD7" w:rsidRPr="00FF4CD7" w:rsidRDefault="00FF4CD7" w:rsidP="00FF4CD7">
      <w:pPr>
        <w:autoSpaceDE w:val="0"/>
        <w:autoSpaceDN w:val="0"/>
        <w:adjustRightInd w:val="0"/>
        <w:ind w:left="360"/>
        <w:jc w:val="center"/>
        <w:rPr>
          <w:rFonts w:eastAsia="Calibri"/>
          <w:b/>
          <w:bCs/>
          <w:color w:val="000000"/>
          <w:lang w:val="sk-SK"/>
        </w:rPr>
      </w:pPr>
      <w:r w:rsidRPr="00FF4CD7">
        <w:rPr>
          <w:rFonts w:eastAsia="Calibri"/>
          <w:b/>
          <w:bCs/>
          <w:color w:val="000000"/>
          <w:lang w:val="sk-SK"/>
        </w:rPr>
        <w:lastRenderedPageBreak/>
        <w:t>DOLOŽKA ZLUČITEĽNOSTI</w:t>
      </w:r>
    </w:p>
    <w:p w14:paraId="39C0739E" w14:textId="77777777" w:rsidR="00FF4CD7" w:rsidRPr="00FF4CD7" w:rsidRDefault="00FF4CD7" w:rsidP="00FF4CD7">
      <w:pPr>
        <w:autoSpaceDE w:val="0"/>
        <w:autoSpaceDN w:val="0"/>
        <w:adjustRightInd w:val="0"/>
        <w:ind w:left="360"/>
        <w:jc w:val="center"/>
        <w:rPr>
          <w:rFonts w:eastAsia="Calibri"/>
          <w:color w:val="000000"/>
          <w:lang w:val="sk-SK"/>
        </w:rPr>
      </w:pPr>
    </w:p>
    <w:p w14:paraId="272046F9" w14:textId="77777777" w:rsidR="00FF4CD7" w:rsidRPr="00FF4CD7" w:rsidRDefault="00FF4CD7" w:rsidP="00FF4CD7">
      <w:pPr>
        <w:autoSpaceDE w:val="0"/>
        <w:autoSpaceDN w:val="0"/>
        <w:adjustRightInd w:val="0"/>
        <w:ind w:firstLine="426"/>
        <w:jc w:val="center"/>
        <w:rPr>
          <w:rFonts w:eastAsia="Calibri"/>
          <w:b/>
          <w:bCs/>
          <w:color w:val="000000"/>
          <w:lang w:val="sk-SK"/>
        </w:rPr>
      </w:pPr>
      <w:r w:rsidRPr="00FF4CD7">
        <w:rPr>
          <w:rFonts w:eastAsia="Calibri"/>
          <w:b/>
          <w:bCs/>
          <w:color w:val="000000"/>
          <w:lang w:val="sk-SK"/>
        </w:rPr>
        <w:t>k návrhu zákona, ktorým sa mení a dopĺňa zákon č. 305/2013 Z. z. o elektronickej podobe výkonu pôsobnosti orgánov verejnej moci a o zmene a doplnení niektorých zákonov (zákon o e-Governmente) v znení neskorších predpisov a  ktorým sa menia a dopĺňajú niektoré zákony</w:t>
      </w:r>
    </w:p>
    <w:p w14:paraId="1C4F7861" w14:textId="77777777" w:rsidR="00FF4CD7" w:rsidRPr="00FF4CD7" w:rsidRDefault="00FF4CD7" w:rsidP="00FF4CD7">
      <w:pPr>
        <w:autoSpaceDE w:val="0"/>
        <w:autoSpaceDN w:val="0"/>
        <w:adjustRightInd w:val="0"/>
        <w:ind w:firstLine="426"/>
        <w:jc w:val="center"/>
        <w:rPr>
          <w:rFonts w:eastAsia="Calibri"/>
          <w:color w:val="000000"/>
          <w:lang w:val="sk-SK"/>
        </w:rPr>
      </w:pPr>
    </w:p>
    <w:p w14:paraId="2FC9E460" w14:textId="77777777" w:rsidR="00FF4CD7" w:rsidRPr="00FF4CD7" w:rsidRDefault="00FF4CD7" w:rsidP="00FF4CD7">
      <w:pPr>
        <w:autoSpaceDE w:val="0"/>
        <w:autoSpaceDN w:val="0"/>
        <w:adjustRightInd w:val="0"/>
        <w:ind w:left="709" w:hanging="283"/>
        <w:rPr>
          <w:rFonts w:eastAsia="Calibri"/>
          <w:color w:val="000000"/>
          <w:lang w:val="sk-SK"/>
        </w:rPr>
      </w:pPr>
      <w:r w:rsidRPr="00FF4CD7">
        <w:rPr>
          <w:rFonts w:eastAsia="Calibri"/>
          <w:color w:val="000000"/>
          <w:lang w:val="sk-SK"/>
        </w:rPr>
        <w:t xml:space="preserve">1. </w:t>
      </w:r>
      <w:r w:rsidRPr="00FF4CD7">
        <w:rPr>
          <w:rFonts w:eastAsia="Calibri"/>
          <w:b/>
          <w:color w:val="000000"/>
          <w:lang w:val="sk-SK"/>
        </w:rPr>
        <w:t>Navrhovateľ zákona</w:t>
      </w:r>
      <w:r w:rsidRPr="00FF4CD7">
        <w:rPr>
          <w:rFonts w:eastAsia="Calibri"/>
          <w:color w:val="000000"/>
          <w:lang w:val="sk-SK"/>
        </w:rPr>
        <w:t xml:space="preserve">: </w:t>
      </w:r>
      <w:r w:rsidRPr="00FF4CD7">
        <w:rPr>
          <w:rFonts w:eastAsia="Calibri"/>
          <w:i/>
          <w:iCs/>
          <w:color w:val="000000"/>
          <w:lang w:val="sk-SK"/>
        </w:rPr>
        <w:t>Ministerstvo investícií, regionálneho rozvoja a informatizácie Slovenskej republiky</w:t>
      </w:r>
    </w:p>
    <w:p w14:paraId="6F4B071F" w14:textId="77777777" w:rsidR="00FF4CD7" w:rsidRPr="00FF4CD7" w:rsidRDefault="00FF4CD7" w:rsidP="00FF4CD7">
      <w:pPr>
        <w:autoSpaceDE w:val="0"/>
        <w:autoSpaceDN w:val="0"/>
        <w:adjustRightInd w:val="0"/>
        <w:ind w:firstLine="426"/>
        <w:rPr>
          <w:rFonts w:eastAsia="Calibri"/>
          <w:color w:val="000000"/>
          <w:lang w:val="sk-SK"/>
        </w:rPr>
      </w:pPr>
    </w:p>
    <w:p w14:paraId="2C5D1EB5" w14:textId="77777777" w:rsidR="00FF4CD7" w:rsidRPr="00FF4CD7" w:rsidRDefault="00FF4CD7" w:rsidP="00FF4CD7">
      <w:pPr>
        <w:autoSpaceDE w:val="0"/>
        <w:autoSpaceDN w:val="0"/>
        <w:adjustRightInd w:val="0"/>
        <w:ind w:left="709" w:hanging="283"/>
        <w:jc w:val="both"/>
        <w:rPr>
          <w:rFonts w:eastAsia="Calibri"/>
          <w:i/>
          <w:color w:val="000000"/>
          <w:lang w:val="sk-SK"/>
        </w:rPr>
      </w:pPr>
      <w:r w:rsidRPr="00FF4CD7">
        <w:rPr>
          <w:rFonts w:eastAsia="Calibri"/>
          <w:color w:val="000000"/>
          <w:lang w:val="sk-SK"/>
        </w:rPr>
        <w:t xml:space="preserve">2. </w:t>
      </w:r>
      <w:r w:rsidRPr="00FF4CD7">
        <w:rPr>
          <w:rFonts w:eastAsia="Calibri"/>
          <w:b/>
          <w:color w:val="000000"/>
          <w:lang w:val="sk-SK"/>
        </w:rPr>
        <w:t>Názov návrhu zákona</w:t>
      </w:r>
      <w:r w:rsidRPr="00FF4CD7">
        <w:rPr>
          <w:rFonts w:eastAsia="Calibri"/>
          <w:color w:val="000000"/>
          <w:lang w:val="sk-SK"/>
        </w:rPr>
        <w:t xml:space="preserve">: </w:t>
      </w:r>
      <w:r w:rsidRPr="00FF4CD7">
        <w:rPr>
          <w:rFonts w:eastAsia="Calibri"/>
          <w:i/>
          <w:color w:val="000000"/>
          <w:lang w:val="sk-SK"/>
        </w:rPr>
        <w:t>Návrh</w:t>
      </w:r>
      <w:r w:rsidRPr="00FF4CD7">
        <w:rPr>
          <w:rFonts w:eastAsia="Calibri"/>
          <w:color w:val="000000"/>
          <w:lang w:val="sk-SK"/>
        </w:rPr>
        <w:t xml:space="preserve"> </w:t>
      </w:r>
      <w:r w:rsidRPr="00FF4CD7">
        <w:rPr>
          <w:rFonts w:eastAsia="Calibri"/>
          <w:i/>
          <w:color w:val="000000"/>
          <w:lang w:val="sk-SK"/>
        </w:rPr>
        <w:t>zákona, ktorým sa mení a dopĺňa zákon č. 305/2013 Z. z. o elektronickej podobe výkonu pôsobnosti orgánov verejnej moci a o zmene a doplnení niektorých zákonov (zákon o e-Governmente) v znení neskorších predpisov a  ktorým sa menia a dopĺňajú niektoré zákony</w:t>
      </w:r>
    </w:p>
    <w:p w14:paraId="0B6FD5B5" w14:textId="77777777" w:rsidR="00FF4CD7" w:rsidRPr="00FF4CD7" w:rsidRDefault="00FF4CD7" w:rsidP="00FF4CD7">
      <w:pPr>
        <w:autoSpaceDE w:val="0"/>
        <w:autoSpaceDN w:val="0"/>
        <w:adjustRightInd w:val="0"/>
        <w:ind w:left="709" w:hanging="283"/>
        <w:jc w:val="both"/>
        <w:rPr>
          <w:rFonts w:eastAsia="Calibri"/>
          <w:i/>
          <w:color w:val="000000"/>
          <w:lang w:val="sk-SK"/>
        </w:rPr>
      </w:pPr>
    </w:p>
    <w:p w14:paraId="5C662CF6" w14:textId="77777777" w:rsidR="00FF4CD7" w:rsidRPr="00FF4CD7" w:rsidRDefault="00FF4CD7" w:rsidP="00FF4CD7">
      <w:pPr>
        <w:autoSpaceDE w:val="0"/>
        <w:autoSpaceDN w:val="0"/>
        <w:adjustRightInd w:val="0"/>
        <w:ind w:firstLine="426"/>
        <w:rPr>
          <w:rFonts w:eastAsia="Calibri"/>
          <w:color w:val="000000"/>
          <w:lang w:val="sk-SK"/>
        </w:rPr>
      </w:pPr>
      <w:r w:rsidRPr="00FF4CD7">
        <w:rPr>
          <w:rFonts w:eastAsia="Calibri"/>
          <w:color w:val="000000"/>
          <w:lang w:val="sk-SK"/>
        </w:rPr>
        <w:t xml:space="preserve">3. </w:t>
      </w:r>
      <w:r w:rsidRPr="00FF4CD7">
        <w:rPr>
          <w:rFonts w:eastAsia="Calibri"/>
          <w:b/>
          <w:bCs/>
          <w:color w:val="000000"/>
          <w:lang w:val="sk-SK"/>
        </w:rPr>
        <w:t>Predmet návrhu zákona je upravený v práve Európskej únie</w:t>
      </w:r>
      <w:r w:rsidRPr="00FF4CD7">
        <w:rPr>
          <w:rFonts w:eastAsia="Calibri"/>
          <w:color w:val="000000"/>
          <w:lang w:val="sk-SK"/>
        </w:rPr>
        <w:t xml:space="preserve">: </w:t>
      </w:r>
    </w:p>
    <w:p w14:paraId="56D7B9A6" w14:textId="77777777" w:rsidR="00FF4CD7" w:rsidRPr="00FF4CD7" w:rsidRDefault="00FF4CD7" w:rsidP="00FF4CD7">
      <w:pPr>
        <w:autoSpaceDE w:val="0"/>
        <w:autoSpaceDN w:val="0"/>
        <w:adjustRightInd w:val="0"/>
        <w:ind w:left="567" w:firstLine="426"/>
        <w:jc w:val="both"/>
        <w:rPr>
          <w:rFonts w:eastAsia="Calibri"/>
          <w:color w:val="000000"/>
          <w:lang w:val="sk-SK"/>
        </w:rPr>
      </w:pPr>
      <w:r w:rsidRPr="00FF4CD7">
        <w:rPr>
          <w:rFonts w:eastAsia="Calibri"/>
          <w:color w:val="000000"/>
          <w:lang w:val="sk-SK"/>
        </w:rPr>
        <w:t>a) v primárnom práve (uviesť názov zmluvy a číslo článku)</w:t>
      </w:r>
    </w:p>
    <w:p w14:paraId="2CF9FECE" w14:textId="77777777" w:rsidR="00FF4CD7" w:rsidRPr="00FF4CD7" w:rsidRDefault="00FF4CD7" w:rsidP="00FF4CD7">
      <w:pPr>
        <w:autoSpaceDE w:val="0"/>
        <w:autoSpaceDN w:val="0"/>
        <w:adjustRightInd w:val="0"/>
        <w:ind w:left="567" w:firstLine="426"/>
        <w:jc w:val="both"/>
        <w:rPr>
          <w:rFonts w:eastAsia="Calibri"/>
          <w:color w:val="000000"/>
          <w:lang w:val="sk-SK"/>
        </w:rPr>
      </w:pPr>
    </w:p>
    <w:p w14:paraId="0DB0F516" w14:textId="77777777" w:rsidR="00FF4CD7" w:rsidRPr="00FF4CD7" w:rsidRDefault="00FF4CD7" w:rsidP="00FF4CD7">
      <w:pPr>
        <w:autoSpaceDE w:val="0"/>
        <w:autoSpaceDN w:val="0"/>
        <w:adjustRightInd w:val="0"/>
        <w:ind w:left="1134"/>
        <w:jc w:val="both"/>
        <w:rPr>
          <w:rFonts w:eastAsia="Calibri"/>
          <w:i/>
          <w:color w:val="000000"/>
          <w:lang w:val="sk-SK"/>
        </w:rPr>
      </w:pPr>
      <w:r w:rsidRPr="00FF4CD7">
        <w:rPr>
          <w:rFonts w:eastAsia="Calibri"/>
          <w:i/>
          <w:color w:val="000000"/>
          <w:lang w:val="sk-SK"/>
        </w:rPr>
        <w:t>- čl. 114 Zmluvy o fungovaní Európskej únie;</w:t>
      </w:r>
    </w:p>
    <w:p w14:paraId="58B71512" w14:textId="77777777" w:rsidR="00FF4CD7" w:rsidRPr="00FF4CD7" w:rsidRDefault="00FF4CD7" w:rsidP="00FF4CD7">
      <w:pPr>
        <w:autoSpaceDE w:val="0"/>
        <w:autoSpaceDN w:val="0"/>
        <w:adjustRightInd w:val="0"/>
        <w:jc w:val="both"/>
        <w:rPr>
          <w:rFonts w:eastAsia="Calibri"/>
          <w:i/>
          <w:color w:val="000000"/>
          <w:lang w:val="sk-SK"/>
        </w:rPr>
      </w:pPr>
    </w:p>
    <w:p w14:paraId="02B049B4" w14:textId="77777777" w:rsidR="00FF4CD7" w:rsidRPr="00FF4CD7" w:rsidRDefault="00FF4CD7" w:rsidP="00FF4CD7">
      <w:pPr>
        <w:autoSpaceDE w:val="0"/>
        <w:autoSpaceDN w:val="0"/>
        <w:adjustRightInd w:val="0"/>
        <w:ind w:left="1276" w:hanging="283"/>
        <w:jc w:val="both"/>
        <w:rPr>
          <w:rFonts w:eastAsia="Calibri"/>
          <w:color w:val="000000"/>
          <w:lang w:val="sk-SK"/>
        </w:rPr>
      </w:pPr>
      <w:r w:rsidRPr="00FF4CD7">
        <w:rPr>
          <w:rFonts w:eastAsia="Calibri"/>
          <w:color w:val="000000"/>
          <w:lang w:val="sk-SK"/>
        </w:rPr>
        <w:t xml:space="preserve">b) v sekundárnom práve (uviesť druh, inštitúciu, číslo, názov a dátum vydania právneho aktu vzťahujúceho sa na upravovanú problematiku, vrátane jeho gestora) </w:t>
      </w:r>
    </w:p>
    <w:p w14:paraId="40084306" w14:textId="77777777" w:rsidR="00FF4CD7" w:rsidRPr="00FF4CD7" w:rsidRDefault="00FF4CD7" w:rsidP="00FF4CD7">
      <w:pPr>
        <w:autoSpaceDE w:val="0"/>
        <w:autoSpaceDN w:val="0"/>
        <w:adjustRightInd w:val="0"/>
        <w:ind w:left="1276" w:hanging="283"/>
        <w:jc w:val="both"/>
        <w:rPr>
          <w:rFonts w:eastAsia="Calibri"/>
          <w:color w:val="000000"/>
          <w:lang w:val="sk-SK"/>
        </w:rPr>
      </w:pPr>
    </w:p>
    <w:p w14:paraId="180025B6" w14:textId="77777777" w:rsidR="00FF4CD7" w:rsidRPr="00FF4CD7" w:rsidRDefault="00FF4CD7" w:rsidP="00FF4CD7">
      <w:pPr>
        <w:spacing w:after="160" w:line="259" w:lineRule="auto"/>
        <w:ind w:left="993"/>
        <w:jc w:val="both"/>
        <w:rPr>
          <w:rFonts w:eastAsia="Calibri"/>
          <w:i/>
          <w:color w:val="000000"/>
          <w:szCs w:val="22"/>
          <w:lang w:val="sk-SK"/>
        </w:rPr>
      </w:pPr>
      <w:r w:rsidRPr="00FF4CD7">
        <w:rPr>
          <w:rFonts w:eastAsia="Calibri"/>
          <w:i/>
          <w:color w:val="000000"/>
          <w:szCs w:val="22"/>
          <w:lang w:val="sk-SK"/>
        </w:rPr>
        <w:t>- Nariadenie Európskeho parlamentu a Rady (EÚ) č. 910/2014 z 23. júla 2014 o   elektronickej identifikácii a dôveryhodných službách pre elektronické transakcie na vnútornom trhu a o zrušení smernice 1999/93/ES (Ú. v. EÚ L 257, 28.8.2014),</w:t>
      </w:r>
    </w:p>
    <w:p w14:paraId="58B36A24" w14:textId="77777777" w:rsidR="00FF4CD7" w:rsidRPr="00FF4CD7" w:rsidRDefault="00FF4CD7" w:rsidP="00FF4CD7">
      <w:pPr>
        <w:spacing w:after="160" w:line="259" w:lineRule="auto"/>
        <w:ind w:left="1418" w:hanging="142"/>
        <w:jc w:val="both"/>
        <w:rPr>
          <w:rFonts w:eastAsia="Calibri"/>
          <w:i/>
          <w:color w:val="000000"/>
          <w:szCs w:val="22"/>
          <w:lang w:val="sk-SK" w:eastAsia="sk-SK"/>
        </w:rPr>
      </w:pPr>
      <w:r w:rsidRPr="00FF4CD7">
        <w:rPr>
          <w:rFonts w:eastAsia="Calibri"/>
          <w:i/>
          <w:color w:val="000000"/>
          <w:szCs w:val="22"/>
          <w:lang w:val="sk-SK"/>
        </w:rPr>
        <w:tab/>
        <w:t xml:space="preserve">- </w:t>
      </w:r>
      <w:r w:rsidRPr="00FF4CD7">
        <w:rPr>
          <w:rFonts w:eastAsia="Calibri"/>
          <w:i/>
          <w:color w:val="000000"/>
          <w:szCs w:val="22"/>
          <w:lang w:val="sk-SK" w:eastAsia="sk-SK"/>
        </w:rPr>
        <w:t>gestorom právneho aktu je Národný bezpečnostný úrad;</w:t>
      </w:r>
    </w:p>
    <w:p w14:paraId="75FBDBAA" w14:textId="77777777" w:rsidR="00FF4CD7" w:rsidRPr="00FF4CD7" w:rsidRDefault="00FF4CD7" w:rsidP="00FF4CD7">
      <w:pPr>
        <w:autoSpaceDE w:val="0"/>
        <w:autoSpaceDN w:val="0"/>
        <w:adjustRightInd w:val="0"/>
        <w:ind w:left="1276" w:hanging="283"/>
        <w:jc w:val="both"/>
        <w:rPr>
          <w:rFonts w:eastAsia="Calibri"/>
          <w:color w:val="000000"/>
          <w:lang w:val="sk-SK"/>
        </w:rPr>
      </w:pPr>
      <w:r w:rsidRPr="00FF4CD7">
        <w:rPr>
          <w:rFonts w:eastAsia="Calibri"/>
          <w:color w:val="000000"/>
          <w:lang w:val="sk-SK"/>
        </w:rPr>
        <w:t>c) v judikatúre Súdneho dvora Európskej únie (uviesť číslo a označenie relevantného rozhodnutia a stručne jeho výrok alebo relevantné právne vety)</w:t>
      </w:r>
    </w:p>
    <w:p w14:paraId="5A26FADF" w14:textId="77777777" w:rsidR="00FF4CD7" w:rsidRPr="00FF4CD7" w:rsidRDefault="00FF4CD7" w:rsidP="00FF4CD7">
      <w:pPr>
        <w:autoSpaceDE w:val="0"/>
        <w:autoSpaceDN w:val="0"/>
        <w:adjustRightInd w:val="0"/>
        <w:ind w:left="1276"/>
        <w:jc w:val="both"/>
        <w:rPr>
          <w:rFonts w:eastAsia="Calibri"/>
          <w:i/>
          <w:color w:val="000000"/>
          <w:lang w:val="sk-SK"/>
        </w:rPr>
      </w:pPr>
    </w:p>
    <w:p w14:paraId="24732F6E" w14:textId="77777777" w:rsidR="00FF4CD7" w:rsidRPr="00FF4CD7" w:rsidRDefault="00FF4CD7" w:rsidP="00FF4CD7">
      <w:pPr>
        <w:autoSpaceDE w:val="0"/>
        <w:autoSpaceDN w:val="0"/>
        <w:adjustRightInd w:val="0"/>
        <w:ind w:left="1276"/>
        <w:jc w:val="both"/>
        <w:rPr>
          <w:rFonts w:eastAsia="Calibri"/>
          <w:i/>
          <w:color w:val="000000"/>
          <w:lang w:val="sk-SK"/>
        </w:rPr>
      </w:pPr>
      <w:r w:rsidRPr="00FF4CD7">
        <w:rPr>
          <w:rFonts w:eastAsia="Calibri"/>
          <w:i/>
          <w:color w:val="000000"/>
          <w:lang w:val="sk-SK"/>
        </w:rPr>
        <w:t>- návrh zákona nie je upravený v judikatúre Súdneho dvora Európskej únie.</w:t>
      </w:r>
    </w:p>
    <w:p w14:paraId="71EF5072" w14:textId="77777777" w:rsidR="00FF4CD7" w:rsidRPr="00FF4CD7" w:rsidRDefault="00FF4CD7" w:rsidP="00FF4CD7">
      <w:pPr>
        <w:autoSpaceDE w:val="0"/>
        <w:autoSpaceDN w:val="0"/>
        <w:adjustRightInd w:val="0"/>
        <w:ind w:left="1276" w:hanging="283"/>
        <w:jc w:val="both"/>
        <w:rPr>
          <w:rFonts w:eastAsia="Calibri"/>
          <w:color w:val="000000"/>
          <w:lang w:val="sk-SK"/>
        </w:rPr>
      </w:pPr>
    </w:p>
    <w:p w14:paraId="04EE1C2E" w14:textId="77777777" w:rsidR="00FF4CD7" w:rsidRPr="00FF4CD7" w:rsidRDefault="00FF4CD7" w:rsidP="00FF4CD7">
      <w:pPr>
        <w:autoSpaceDE w:val="0"/>
        <w:autoSpaceDN w:val="0"/>
        <w:adjustRightInd w:val="0"/>
        <w:ind w:firstLine="426"/>
        <w:rPr>
          <w:rFonts w:eastAsia="Calibri"/>
          <w:color w:val="000000"/>
          <w:lang w:val="sk-SK"/>
        </w:rPr>
      </w:pPr>
      <w:r w:rsidRPr="00FF4CD7">
        <w:rPr>
          <w:rFonts w:eastAsia="Calibri"/>
          <w:color w:val="000000"/>
          <w:lang w:val="sk-SK"/>
        </w:rPr>
        <w:t xml:space="preserve">4. </w:t>
      </w:r>
      <w:r w:rsidRPr="00FF4CD7">
        <w:rPr>
          <w:rFonts w:eastAsia="Calibri"/>
          <w:b/>
          <w:bCs/>
          <w:color w:val="000000"/>
          <w:lang w:val="sk-SK"/>
        </w:rPr>
        <w:t>Záväzky Slovenskej republiky vo vzťahu k Európskej únii</w:t>
      </w:r>
      <w:r w:rsidRPr="00FF4CD7">
        <w:rPr>
          <w:rFonts w:eastAsia="Calibri"/>
          <w:color w:val="000000"/>
          <w:lang w:val="sk-SK"/>
        </w:rPr>
        <w:t xml:space="preserve">: </w:t>
      </w:r>
    </w:p>
    <w:p w14:paraId="3DBBC071" w14:textId="77777777" w:rsidR="00FF4CD7" w:rsidRPr="00FF4CD7" w:rsidRDefault="00FF4CD7" w:rsidP="00FF4CD7">
      <w:pPr>
        <w:autoSpaceDE w:val="0"/>
        <w:autoSpaceDN w:val="0"/>
        <w:adjustRightInd w:val="0"/>
        <w:ind w:left="1276" w:hanging="283"/>
        <w:jc w:val="both"/>
        <w:rPr>
          <w:rFonts w:eastAsia="Calibri"/>
          <w:color w:val="000000"/>
          <w:lang w:val="sk-SK"/>
        </w:rPr>
      </w:pPr>
      <w:r w:rsidRPr="00FF4CD7">
        <w:rPr>
          <w:rFonts w:eastAsia="Calibri"/>
          <w:color w:val="000000"/>
          <w:lang w:val="sk-SK"/>
        </w:rPr>
        <w:t xml:space="preserve">a) uviesť lehotu na prebranie príslušného právneho aktu Európskej únie, príp. aj osobitnú lehotu účinnosti jeho ustanovení, </w:t>
      </w:r>
    </w:p>
    <w:p w14:paraId="66D27D93" w14:textId="77777777" w:rsidR="00FF4CD7" w:rsidRPr="00FF4CD7" w:rsidRDefault="00FF4CD7" w:rsidP="00FF4CD7">
      <w:pPr>
        <w:autoSpaceDE w:val="0"/>
        <w:autoSpaceDN w:val="0"/>
        <w:adjustRightInd w:val="0"/>
        <w:ind w:left="1276"/>
        <w:jc w:val="both"/>
        <w:rPr>
          <w:rFonts w:eastAsia="Calibri"/>
          <w:i/>
          <w:color w:val="000000"/>
          <w:lang w:val="sk-SK"/>
        </w:rPr>
      </w:pPr>
    </w:p>
    <w:p w14:paraId="34285807" w14:textId="77777777" w:rsidR="00FF4CD7" w:rsidRPr="00FF4CD7" w:rsidRDefault="00FF4CD7" w:rsidP="00FF4CD7">
      <w:pPr>
        <w:spacing w:after="160" w:line="259" w:lineRule="auto"/>
        <w:ind w:left="1276"/>
        <w:jc w:val="both"/>
        <w:rPr>
          <w:rFonts w:eastAsia="Calibri"/>
          <w:i/>
          <w:color w:val="000000"/>
          <w:lang w:val="sk-SK"/>
        </w:rPr>
      </w:pPr>
      <w:r w:rsidRPr="00FF4CD7">
        <w:rPr>
          <w:rFonts w:eastAsia="Calibri"/>
          <w:i/>
          <w:color w:val="000000"/>
          <w:lang w:val="sk-SK"/>
        </w:rPr>
        <w:t>Bezpredmetné. Nové smernice sa nepreberajú, nové nariadenia alebo rozhodnutia sa neimplementujú.</w:t>
      </w:r>
    </w:p>
    <w:p w14:paraId="0AC5E667" w14:textId="77777777" w:rsidR="00FF4CD7" w:rsidRPr="00FF4CD7" w:rsidRDefault="00FF4CD7" w:rsidP="00FF4CD7">
      <w:pPr>
        <w:autoSpaceDE w:val="0"/>
        <w:autoSpaceDN w:val="0"/>
        <w:adjustRightInd w:val="0"/>
        <w:ind w:left="1276" w:hanging="283"/>
        <w:jc w:val="both"/>
        <w:rPr>
          <w:rFonts w:eastAsia="Calibri"/>
          <w:b/>
          <w:color w:val="000000"/>
          <w:lang w:val="sk-SK"/>
        </w:rPr>
      </w:pPr>
      <w:r w:rsidRPr="00FF4CD7">
        <w:rPr>
          <w:rFonts w:eastAsia="Calibri"/>
          <w:color w:val="000000"/>
          <w:lang w:val="sk-SK"/>
        </w:rPr>
        <w:t>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w:t>
      </w:r>
      <w:r w:rsidRPr="00FF4CD7">
        <w:rPr>
          <w:rFonts w:eastAsia="Calibri"/>
          <w:bCs/>
          <w:lang w:val="sk-SK"/>
        </w:rPr>
        <w:t>ariadenie Európskeho parlamentu a Rady (ES) č. 1049/2001 z 30. mája 2001 o prístupe verejnosti k dokumentom Európskeho parlamentu, Rady a Komisie</w:t>
      </w:r>
      <w:r w:rsidRPr="00FF4CD7">
        <w:rPr>
          <w:rFonts w:eastAsia="Calibri"/>
          <w:b/>
          <w:color w:val="000000"/>
          <w:lang w:val="sk-SK"/>
        </w:rPr>
        <w:t xml:space="preserve">, </w:t>
      </w:r>
    </w:p>
    <w:p w14:paraId="6524B96F" w14:textId="77777777" w:rsidR="00FF4CD7" w:rsidRPr="00FF4CD7" w:rsidRDefault="00FF4CD7" w:rsidP="00FF4CD7">
      <w:pPr>
        <w:autoSpaceDE w:val="0"/>
        <w:autoSpaceDN w:val="0"/>
        <w:adjustRightInd w:val="0"/>
        <w:ind w:left="993" w:firstLine="283"/>
        <w:jc w:val="both"/>
        <w:rPr>
          <w:rFonts w:eastAsia="Calibri"/>
          <w:i/>
          <w:color w:val="000000"/>
          <w:lang w:val="sk-SK"/>
        </w:rPr>
      </w:pPr>
    </w:p>
    <w:p w14:paraId="4CEAC41F" w14:textId="77777777" w:rsidR="00FF4CD7" w:rsidRPr="00FF4CD7" w:rsidRDefault="00FF4CD7" w:rsidP="00FF4CD7">
      <w:pPr>
        <w:autoSpaceDE w:val="0"/>
        <w:autoSpaceDN w:val="0"/>
        <w:adjustRightInd w:val="0"/>
        <w:ind w:left="993" w:firstLine="283"/>
        <w:jc w:val="both"/>
        <w:rPr>
          <w:rFonts w:eastAsia="Calibri"/>
          <w:i/>
          <w:color w:val="000000"/>
          <w:lang w:val="sk-SK"/>
        </w:rPr>
      </w:pPr>
      <w:r w:rsidRPr="00FF4CD7">
        <w:rPr>
          <w:rFonts w:eastAsia="Calibri"/>
          <w:i/>
          <w:color w:val="000000"/>
          <w:lang w:val="sk-SK"/>
        </w:rPr>
        <w:t xml:space="preserve">Nebolo začaté konanie.  </w:t>
      </w:r>
    </w:p>
    <w:p w14:paraId="6572A935" w14:textId="77777777" w:rsidR="00FF4CD7" w:rsidRPr="00FF4CD7" w:rsidRDefault="00FF4CD7" w:rsidP="00FF4CD7">
      <w:pPr>
        <w:autoSpaceDE w:val="0"/>
        <w:autoSpaceDN w:val="0"/>
        <w:adjustRightInd w:val="0"/>
        <w:ind w:left="1276" w:hanging="283"/>
        <w:jc w:val="both"/>
        <w:rPr>
          <w:rFonts w:eastAsia="Calibri"/>
          <w:color w:val="000000"/>
          <w:lang w:val="sk-SK"/>
        </w:rPr>
      </w:pPr>
    </w:p>
    <w:p w14:paraId="7AD24F2F" w14:textId="77777777" w:rsidR="00FF4CD7" w:rsidRPr="00FF4CD7" w:rsidRDefault="00FF4CD7" w:rsidP="00FF4CD7">
      <w:pPr>
        <w:autoSpaceDE w:val="0"/>
        <w:autoSpaceDN w:val="0"/>
        <w:adjustRightInd w:val="0"/>
        <w:ind w:left="1276" w:hanging="283"/>
        <w:jc w:val="both"/>
        <w:rPr>
          <w:rFonts w:eastAsia="Calibri"/>
          <w:color w:val="000000"/>
          <w:lang w:val="sk-SK"/>
        </w:rPr>
      </w:pPr>
      <w:r w:rsidRPr="00FF4CD7">
        <w:rPr>
          <w:rFonts w:eastAsia="Calibri"/>
          <w:color w:val="000000"/>
          <w:lang w:val="sk-SK"/>
        </w:rPr>
        <w:t xml:space="preserve">c) uviesť informáciu o právnych predpisoch, v ktorých sú uvádzané právne akty Európskej únie už prebrané, spolu s uvedením rozsahu ich prebrania, príp. potreby prijatia ďalších úprav. </w:t>
      </w:r>
    </w:p>
    <w:p w14:paraId="7134C4B8" w14:textId="77777777" w:rsidR="00FF4CD7" w:rsidRPr="00FF4CD7" w:rsidRDefault="00FF4CD7" w:rsidP="00FF4CD7">
      <w:pPr>
        <w:autoSpaceDE w:val="0"/>
        <w:autoSpaceDN w:val="0"/>
        <w:adjustRightInd w:val="0"/>
        <w:ind w:firstLine="993"/>
        <w:jc w:val="both"/>
        <w:rPr>
          <w:rFonts w:eastAsia="Calibri"/>
          <w:i/>
          <w:color w:val="000000"/>
          <w:lang w:val="sk-SK"/>
        </w:rPr>
      </w:pPr>
    </w:p>
    <w:p w14:paraId="106BB06C" w14:textId="77777777" w:rsidR="00FF4CD7" w:rsidRPr="00FF4CD7" w:rsidRDefault="00FF4CD7" w:rsidP="00FF4CD7">
      <w:pPr>
        <w:autoSpaceDE w:val="0"/>
        <w:autoSpaceDN w:val="0"/>
        <w:adjustRightInd w:val="0"/>
        <w:ind w:firstLine="1276"/>
        <w:jc w:val="both"/>
        <w:rPr>
          <w:rFonts w:eastAsia="Calibri"/>
          <w:i/>
          <w:color w:val="000000"/>
          <w:lang w:val="sk-SK"/>
        </w:rPr>
      </w:pPr>
      <w:r w:rsidRPr="00FF4CD7">
        <w:rPr>
          <w:rFonts w:eastAsia="Calibri"/>
          <w:i/>
          <w:color w:val="000000"/>
          <w:lang w:val="sk-SK"/>
        </w:rPr>
        <w:t>Bezpredmetné.</w:t>
      </w:r>
    </w:p>
    <w:p w14:paraId="0E5BD02A" w14:textId="77777777" w:rsidR="00FF4CD7" w:rsidRPr="00FF4CD7" w:rsidRDefault="00FF4CD7" w:rsidP="00FF4CD7">
      <w:pPr>
        <w:autoSpaceDE w:val="0"/>
        <w:autoSpaceDN w:val="0"/>
        <w:adjustRightInd w:val="0"/>
        <w:ind w:left="1276"/>
        <w:jc w:val="both"/>
        <w:rPr>
          <w:rFonts w:eastAsia="Calibri"/>
          <w:i/>
          <w:color w:val="000000"/>
          <w:lang w:val="sk-SK"/>
        </w:rPr>
      </w:pPr>
    </w:p>
    <w:p w14:paraId="734DA62F" w14:textId="77777777" w:rsidR="00FF4CD7" w:rsidRPr="00FF4CD7" w:rsidRDefault="00FF4CD7" w:rsidP="00FF4CD7">
      <w:pPr>
        <w:autoSpaceDE w:val="0"/>
        <w:autoSpaceDN w:val="0"/>
        <w:adjustRightInd w:val="0"/>
        <w:rPr>
          <w:rFonts w:eastAsia="Calibri"/>
          <w:color w:val="000000"/>
          <w:lang w:val="sk-SK"/>
        </w:rPr>
      </w:pPr>
      <w:r w:rsidRPr="00FF4CD7">
        <w:rPr>
          <w:rFonts w:eastAsia="Calibri"/>
          <w:color w:val="000000"/>
          <w:lang w:val="sk-SK"/>
        </w:rPr>
        <w:t xml:space="preserve">5. </w:t>
      </w:r>
      <w:r w:rsidRPr="00FF4CD7">
        <w:rPr>
          <w:rFonts w:eastAsia="Calibri"/>
          <w:b/>
          <w:bCs/>
          <w:color w:val="000000"/>
          <w:lang w:val="sk-SK"/>
        </w:rPr>
        <w:t>Návrh zákona je zlučiteľný s právom Európskej únie</w:t>
      </w:r>
      <w:r w:rsidRPr="00FF4CD7">
        <w:rPr>
          <w:rFonts w:eastAsia="Calibri"/>
          <w:color w:val="000000"/>
          <w:lang w:val="sk-SK"/>
        </w:rPr>
        <w:t xml:space="preserve">: </w:t>
      </w:r>
    </w:p>
    <w:p w14:paraId="04ED4B7E" w14:textId="77777777" w:rsidR="00FF4CD7" w:rsidRPr="00FF4CD7" w:rsidRDefault="00FF4CD7" w:rsidP="00FF4CD7">
      <w:pPr>
        <w:autoSpaceDE w:val="0"/>
        <w:autoSpaceDN w:val="0"/>
        <w:adjustRightInd w:val="0"/>
        <w:ind w:left="993" w:hanging="426"/>
        <w:rPr>
          <w:rFonts w:eastAsia="Calibri"/>
          <w:color w:val="000000"/>
          <w:lang w:val="sk-SK"/>
        </w:rPr>
      </w:pPr>
      <w:r w:rsidRPr="00FF4CD7">
        <w:rPr>
          <w:rFonts w:eastAsia="Calibri"/>
          <w:color w:val="000000"/>
          <w:lang w:val="sk-SK"/>
        </w:rPr>
        <w:tab/>
      </w:r>
    </w:p>
    <w:p w14:paraId="1E75E257" w14:textId="77777777" w:rsidR="00FF4CD7" w:rsidRPr="00FF4CD7" w:rsidRDefault="00FF4CD7" w:rsidP="00FF4CD7">
      <w:pPr>
        <w:autoSpaceDE w:val="0"/>
        <w:autoSpaceDN w:val="0"/>
        <w:adjustRightInd w:val="0"/>
        <w:ind w:left="993" w:firstLine="141"/>
        <w:rPr>
          <w:rFonts w:eastAsia="Calibri"/>
          <w:i/>
          <w:color w:val="000000"/>
          <w:lang w:val="sk-SK"/>
        </w:rPr>
      </w:pPr>
      <w:r w:rsidRPr="00FF4CD7">
        <w:rPr>
          <w:rFonts w:eastAsia="Calibri"/>
          <w:i/>
          <w:color w:val="000000"/>
          <w:lang w:val="sk-SK"/>
        </w:rPr>
        <w:t>Úplne.</w:t>
      </w:r>
    </w:p>
    <w:p w14:paraId="37D65184" w14:textId="77777777" w:rsidR="002732B1" w:rsidRPr="002732B1" w:rsidRDefault="002732B1" w:rsidP="002732B1">
      <w:pPr>
        <w:jc w:val="both"/>
        <w:rPr>
          <w:rFonts w:eastAsia="Calibri"/>
          <w:sz w:val="22"/>
          <w:szCs w:val="22"/>
        </w:rPr>
      </w:pPr>
    </w:p>
    <w:p w14:paraId="68072C4E" w14:textId="77777777" w:rsidR="00FF4CD7" w:rsidRDefault="00FF4CD7">
      <w:pPr>
        <w:rPr>
          <w:b/>
          <w:szCs w:val="22"/>
          <w:lang w:val="sk-SK"/>
        </w:rPr>
      </w:pPr>
      <w:r>
        <w:rPr>
          <w:b/>
        </w:rPr>
        <w:br w:type="page"/>
      </w:r>
    </w:p>
    <w:p w14:paraId="5F96DB3A" w14:textId="4D05868A" w:rsidR="009E06F1" w:rsidRPr="008E3B09" w:rsidRDefault="009E06F1" w:rsidP="005B2864">
      <w:pPr>
        <w:pStyle w:val="Odsekzoznamu1"/>
        <w:numPr>
          <w:ilvl w:val="0"/>
          <w:numId w:val="1"/>
        </w:numPr>
        <w:spacing w:after="0" w:line="240" w:lineRule="auto"/>
        <w:ind w:left="426" w:hanging="426"/>
        <w:jc w:val="both"/>
        <w:rPr>
          <w:rFonts w:ascii="Times New Roman" w:hAnsi="Times New Roman"/>
          <w:b/>
          <w:sz w:val="24"/>
        </w:rPr>
      </w:pPr>
      <w:r w:rsidRPr="008E3B09">
        <w:rPr>
          <w:rFonts w:ascii="Times New Roman" w:hAnsi="Times New Roman"/>
          <w:b/>
          <w:sz w:val="24"/>
        </w:rPr>
        <w:lastRenderedPageBreak/>
        <w:t xml:space="preserve">Osobitná časť </w:t>
      </w:r>
    </w:p>
    <w:p w14:paraId="289C91B2" w14:textId="3C0AC19A" w:rsidR="00AF2BA2" w:rsidRPr="00E93FBA" w:rsidRDefault="00AF2BA2" w:rsidP="005B2864">
      <w:pPr>
        <w:jc w:val="both"/>
        <w:rPr>
          <w:lang w:val="sk-SK"/>
        </w:rPr>
      </w:pPr>
    </w:p>
    <w:p w14:paraId="272E7572" w14:textId="502900B5" w:rsidR="009E06F1" w:rsidRPr="00E93FBA" w:rsidRDefault="00CF5D7D" w:rsidP="005B2864">
      <w:pPr>
        <w:jc w:val="both"/>
        <w:rPr>
          <w:lang w:val="sk-SK"/>
        </w:rPr>
      </w:pPr>
      <w:r w:rsidRPr="00E93FBA">
        <w:rPr>
          <w:lang w:val="sk-SK"/>
        </w:rPr>
        <w:t>K čl. I</w:t>
      </w:r>
      <w:r w:rsidR="00C251CC" w:rsidRPr="00E93FBA">
        <w:rPr>
          <w:lang w:val="sk-SK"/>
        </w:rPr>
        <w:t xml:space="preserve"> (zákon o e-Governmente)</w:t>
      </w:r>
    </w:p>
    <w:p w14:paraId="500D061B" w14:textId="77777777" w:rsidR="008C2DD4" w:rsidRPr="00E93FBA" w:rsidRDefault="008C2DD4" w:rsidP="005B2864">
      <w:pPr>
        <w:jc w:val="both"/>
        <w:rPr>
          <w:lang w:val="sk-SK"/>
        </w:rPr>
      </w:pPr>
    </w:p>
    <w:p w14:paraId="4240153A" w14:textId="08C59AF8" w:rsidR="00D142FE" w:rsidRPr="00E93FBA" w:rsidRDefault="00CF5D7D" w:rsidP="005B2864">
      <w:pPr>
        <w:jc w:val="both"/>
        <w:rPr>
          <w:lang w:val="sk-SK"/>
        </w:rPr>
      </w:pPr>
      <w:r w:rsidRPr="00E93FBA">
        <w:rPr>
          <w:lang w:val="sk-SK"/>
        </w:rPr>
        <w:t>K</w:t>
      </w:r>
      <w:r w:rsidR="00C251CC" w:rsidRPr="00E93FBA">
        <w:rPr>
          <w:lang w:val="sk-SK"/>
        </w:rPr>
        <w:t> </w:t>
      </w:r>
      <w:r w:rsidRPr="00E93FBA">
        <w:rPr>
          <w:lang w:val="sk-SK"/>
        </w:rPr>
        <w:t>bod</w:t>
      </w:r>
      <w:r w:rsidR="005E0C1D" w:rsidRPr="00E93FBA">
        <w:rPr>
          <w:lang w:val="sk-SK"/>
        </w:rPr>
        <w:t>u</w:t>
      </w:r>
      <w:r w:rsidRPr="00E93FBA">
        <w:rPr>
          <w:lang w:val="sk-SK"/>
        </w:rPr>
        <w:t xml:space="preserve"> 1</w:t>
      </w:r>
      <w:r w:rsidR="005E0C1D" w:rsidRPr="00E93FBA">
        <w:rPr>
          <w:lang w:val="sk-SK"/>
        </w:rPr>
        <w:t xml:space="preserve"> </w:t>
      </w:r>
      <w:r w:rsidR="006F04E4" w:rsidRPr="00E93FBA">
        <w:rPr>
          <w:lang w:val="sk-SK"/>
        </w:rPr>
        <w:t>[</w:t>
      </w:r>
      <w:r w:rsidR="005E0C1D" w:rsidRPr="00E93FBA">
        <w:rPr>
          <w:lang w:val="sk-SK"/>
        </w:rPr>
        <w:t>§ 2 ods. 2</w:t>
      </w:r>
      <w:r w:rsidR="000915E0" w:rsidRPr="00E93FBA">
        <w:rPr>
          <w:lang w:val="sk-SK"/>
        </w:rPr>
        <w:t xml:space="preserve"> písm. g</w:t>
      </w:r>
      <w:r w:rsidR="006F04E4" w:rsidRPr="00E93FBA">
        <w:rPr>
          <w:lang w:val="sk-SK"/>
        </w:rPr>
        <w:t>)]</w:t>
      </w:r>
      <w:r w:rsidR="00965810" w:rsidRPr="00E93FBA">
        <w:rPr>
          <w:lang w:val="sk-SK"/>
        </w:rPr>
        <w:t>:</w:t>
      </w:r>
      <w:r w:rsidR="006F04E4" w:rsidRPr="00E93FBA">
        <w:rPr>
          <w:lang w:val="sk-SK"/>
        </w:rPr>
        <w:t xml:space="preserve"> </w:t>
      </w:r>
    </w:p>
    <w:p w14:paraId="4EA9E408" w14:textId="7D206E17" w:rsidR="000915E0" w:rsidRPr="00E93FBA" w:rsidRDefault="00CD3A13" w:rsidP="005B2864">
      <w:pPr>
        <w:spacing w:after="240"/>
        <w:jc w:val="both"/>
        <w:rPr>
          <w:lang w:val="sk-SK"/>
        </w:rPr>
      </w:pPr>
      <w:r w:rsidRPr="00E93FBA">
        <w:rPr>
          <w:lang w:val="sk-SK"/>
        </w:rPr>
        <w:t>Navrhuje sa spresniť, že podľa zákona o</w:t>
      </w:r>
      <w:r w:rsidR="00C251CC" w:rsidRPr="00E93FBA">
        <w:rPr>
          <w:lang w:val="sk-SK"/>
        </w:rPr>
        <w:t> </w:t>
      </w:r>
      <w:r w:rsidRPr="00E93FBA">
        <w:rPr>
          <w:lang w:val="sk-SK"/>
        </w:rPr>
        <w:t>e-Governmente sa postupuje okrem vydávania rozhodnutia, ktoré sa doručuje žiadateľovi podľa zákona č. 211/2000 Z. z. o</w:t>
      </w:r>
      <w:r w:rsidR="00C251CC" w:rsidRPr="00E93FBA">
        <w:rPr>
          <w:lang w:val="sk-SK"/>
        </w:rPr>
        <w:t> </w:t>
      </w:r>
      <w:r w:rsidRPr="00E93FBA">
        <w:rPr>
          <w:lang w:val="sk-SK"/>
        </w:rPr>
        <w:t>slobodnom prístupe k</w:t>
      </w:r>
      <w:r w:rsidR="00C251CC" w:rsidRPr="00E93FBA">
        <w:rPr>
          <w:lang w:val="sk-SK"/>
        </w:rPr>
        <w:t> </w:t>
      </w:r>
      <w:r w:rsidRPr="00E93FBA">
        <w:rPr>
          <w:lang w:val="sk-SK"/>
        </w:rPr>
        <w:t>informáciám a</w:t>
      </w:r>
      <w:r w:rsidR="00C251CC" w:rsidRPr="00E93FBA">
        <w:rPr>
          <w:lang w:val="sk-SK"/>
        </w:rPr>
        <w:t> </w:t>
      </w:r>
      <w:r w:rsidRPr="00E93FBA">
        <w:rPr>
          <w:lang w:val="sk-SK"/>
        </w:rPr>
        <w:t>o</w:t>
      </w:r>
      <w:r w:rsidR="00C251CC" w:rsidRPr="00E93FBA">
        <w:rPr>
          <w:lang w:val="sk-SK"/>
        </w:rPr>
        <w:t> </w:t>
      </w:r>
      <w:r w:rsidRPr="00E93FBA">
        <w:rPr>
          <w:lang w:val="sk-SK"/>
        </w:rPr>
        <w:t>zmene a</w:t>
      </w:r>
      <w:r w:rsidR="00C251CC" w:rsidRPr="00E93FBA">
        <w:rPr>
          <w:lang w:val="sk-SK"/>
        </w:rPr>
        <w:t> </w:t>
      </w:r>
      <w:r w:rsidRPr="00E93FBA">
        <w:rPr>
          <w:lang w:val="sk-SK"/>
        </w:rPr>
        <w:t>doplnení niektorých zákonov (zákon o</w:t>
      </w:r>
      <w:r w:rsidR="00C251CC" w:rsidRPr="00E93FBA">
        <w:rPr>
          <w:lang w:val="sk-SK"/>
        </w:rPr>
        <w:t> </w:t>
      </w:r>
      <w:r w:rsidRPr="00E93FBA">
        <w:rPr>
          <w:lang w:val="sk-SK"/>
        </w:rPr>
        <w:t xml:space="preserve">slobode informácií) </w:t>
      </w:r>
      <w:r w:rsidR="008C2DD4" w:rsidRPr="00E93FBA">
        <w:rPr>
          <w:bCs/>
          <w:lang w:val="sk-SK"/>
        </w:rPr>
        <w:t xml:space="preserve">v znení neskorších predpisov </w:t>
      </w:r>
      <w:r w:rsidRPr="00E93FBA">
        <w:rPr>
          <w:lang w:val="sk-SK"/>
        </w:rPr>
        <w:t xml:space="preserve">aj pri postúpení žiadosti inej povinnej osobe, pričom má sa na mysli len samotný úkon postúpenia tejto povinnej osobe </w:t>
      </w:r>
      <w:r w:rsidR="00DE68A0" w:rsidRPr="00E93FBA">
        <w:rPr>
          <w:bCs/>
          <w:lang w:val="sk-SK"/>
        </w:rPr>
        <w:t>podľa</w:t>
      </w:r>
      <w:r w:rsidR="00DE68A0" w:rsidRPr="00E93FBA">
        <w:rPr>
          <w:lang w:val="sk-SK"/>
        </w:rPr>
        <w:t xml:space="preserve"> </w:t>
      </w:r>
      <w:r w:rsidRPr="00E93FBA">
        <w:rPr>
          <w:lang w:val="sk-SK"/>
        </w:rPr>
        <w:t xml:space="preserve">§ 15 ods. 1 </w:t>
      </w:r>
      <w:r w:rsidR="00CB4402" w:rsidRPr="00E93FBA">
        <w:rPr>
          <w:lang w:val="sk-SK"/>
        </w:rPr>
        <w:t>zákona o</w:t>
      </w:r>
      <w:r w:rsidR="00C251CC" w:rsidRPr="00E93FBA">
        <w:rPr>
          <w:lang w:val="sk-SK"/>
        </w:rPr>
        <w:t> </w:t>
      </w:r>
      <w:r w:rsidR="00CB4402" w:rsidRPr="00E93FBA">
        <w:rPr>
          <w:lang w:val="sk-SK"/>
        </w:rPr>
        <w:t>slobode informácií</w:t>
      </w:r>
      <w:r w:rsidRPr="00E93FBA">
        <w:rPr>
          <w:lang w:val="sk-SK"/>
        </w:rPr>
        <w:t>, a</w:t>
      </w:r>
      <w:r w:rsidR="00C251CC" w:rsidRPr="00E93FBA">
        <w:rPr>
          <w:lang w:val="sk-SK"/>
        </w:rPr>
        <w:t> </w:t>
      </w:r>
      <w:r w:rsidRPr="00E93FBA">
        <w:rPr>
          <w:lang w:val="sk-SK"/>
        </w:rPr>
        <w:t>nie oznámenie postúpenia žiadateľovi podľa § 15 ods. 2 zákona o</w:t>
      </w:r>
      <w:r w:rsidR="00C251CC" w:rsidRPr="00E93FBA">
        <w:rPr>
          <w:lang w:val="sk-SK"/>
        </w:rPr>
        <w:t> </w:t>
      </w:r>
      <w:r w:rsidRPr="00E93FBA">
        <w:rPr>
          <w:lang w:val="sk-SK"/>
        </w:rPr>
        <w:t>slobode informácií. Povinná osoba oznámi postúpenie žiadosti spôsobom, ktorý určuje zákon o</w:t>
      </w:r>
      <w:r w:rsidR="00C251CC" w:rsidRPr="00E93FBA">
        <w:rPr>
          <w:lang w:val="sk-SK"/>
        </w:rPr>
        <w:t> </w:t>
      </w:r>
      <w:r w:rsidRPr="00E93FBA">
        <w:rPr>
          <w:lang w:val="sk-SK"/>
        </w:rPr>
        <w:t xml:space="preserve">slobode informácií, tzn. oznámenie nemusí povinne doručovať elektronicky </w:t>
      </w:r>
      <w:r w:rsidR="008C7140" w:rsidRPr="00E93FBA">
        <w:rPr>
          <w:bCs/>
          <w:lang w:val="sk-SK"/>
        </w:rPr>
        <w:t>podľa</w:t>
      </w:r>
      <w:r w:rsidRPr="00E93FBA">
        <w:rPr>
          <w:lang w:val="sk-SK"/>
        </w:rPr>
        <w:t xml:space="preserve"> § 29 zákona o</w:t>
      </w:r>
      <w:r w:rsidR="00C251CC" w:rsidRPr="00E93FBA">
        <w:rPr>
          <w:lang w:val="sk-SK"/>
        </w:rPr>
        <w:t> </w:t>
      </w:r>
      <w:r w:rsidRPr="00E93FBA">
        <w:rPr>
          <w:lang w:val="sk-SK"/>
        </w:rPr>
        <w:t xml:space="preserve">e-Governmente, </w:t>
      </w:r>
      <w:r w:rsidR="001D76C2" w:rsidRPr="00E93FBA">
        <w:rPr>
          <w:bCs/>
          <w:lang w:val="sk-SK"/>
        </w:rPr>
        <w:t>ak</w:t>
      </w:r>
      <w:r w:rsidR="001D76C2" w:rsidRPr="00E93FBA">
        <w:rPr>
          <w:lang w:val="sk-SK"/>
        </w:rPr>
        <w:t xml:space="preserve"> </w:t>
      </w:r>
      <w:r w:rsidRPr="00E93FBA">
        <w:rPr>
          <w:lang w:val="sk-SK"/>
        </w:rPr>
        <w:t>tak neustanoví zákon o</w:t>
      </w:r>
      <w:r w:rsidR="00C251CC" w:rsidRPr="00E93FBA">
        <w:rPr>
          <w:lang w:val="sk-SK"/>
        </w:rPr>
        <w:t> </w:t>
      </w:r>
      <w:r w:rsidRPr="00E93FBA">
        <w:rPr>
          <w:lang w:val="sk-SK"/>
        </w:rPr>
        <w:t>slobode informácií.</w:t>
      </w:r>
    </w:p>
    <w:p w14:paraId="410E564B" w14:textId="54FCFB87" w:rsidR="007023F8" w:rsidRPr="00E93FBA" w:rsidRDefault="000915E0" w:rsidP="005B2864">
      <w:pPr>
        <w:jc w:val="both"/>
        <w:rPr>
          <w:lang w:val="sk-SK"/>
        </w:rPr>
      </w:pPr>
      <w:r w:rsidRPr="00E93FBA">
        <w:rPr>
          <w:lang w:val="sk-SK"/>
        </w:rPr>
        <w:t>K</w:t>
      </w:r>
      <w:r w:rsidR="00C251CC" w:rsidRPr="00E93FBA">
        <w:rPr>
          <w:lang w:val="sk-SK"/>
        </w:rPr>
        <w:t> </w:t>
      </w:r>
      <w:r w:rsidRPr="00E93FBA">
        <w:rPr>
          <w:lang w:val="sk-SK"/>
        </w:rPr>
        <w:t xml:space="preserve">bodu 2 </w:t>
      </w:r>
      <w:r w:rsidR="007023F8" w:rsidRPr="00E93FBA">
        <w:rPr>
          <w:lang w:val="sk-SK"/>
        </w:rPr>
        <w:t>(§ 2 ods. 5):</w:t>
      </w:r>
    </w:p>
    <w:p w14:paraId="2441CC79" w14:textId="45E8FC76" w:rsidR="007023F8" w:rsidRPr="00E93FBA" w:rsidRDefault="003B5D08" w:rsidP="005B2864">
      <w:pPr>
        <w:jc w:val="both"/>
        <w:rPr>
          <w:lang w:val="sk-SK"/>
        </w:rPr>
      </w:pPr>
      <w:r w:rsidRPr="00E93FBA">
        <w:rPr>
          <w:lang w:val="sk-SK"/>
        </w:rPr>
        <w:t xml:space="preserve">Účinná právna úprava, ktorá umožňuje použiť inštitúty zákona o e-Governmente aj na oblasti podľa osobitných predpisov, sa navrhuje len formulačne upraviť, aby ustanovenie </w:t>
      </w:r>
      <w:r w:rsidR="001F28A8" w:rsidRPr="00E93FBA">
        <w:rPr>
          <w:lang w:val="sk-SK"/>
        </w:rPr>
        <w:t xml:space="preserve">explicitne vyjadrovalo túto možnosť aj vo vzťahu len k niektorým inštitútom (napr. elektronickému doručovaniu), alebo konkrétnym prostriedkom (napr. modul procesnej integrácie a integrácie údajov). </w:t>
      </w:r>
    </w:p>
    <w:p w14:paraId="5A7E8A4D" w14:textId="77777777" w:rsidR="007023F8" w:rsidRPr="00E93FBA" w:rsidRDefault="007023F8" w:rsidP="005B2864">
      <w:pPr>
        <w:jc w:val="both"/>
        <w:rPr>
          <w:lang w:val="sk-SK"/>
        </w:rPr>
      </w:pPr>
    </w:p>
    <w:p w14:paraId="66A5BA23" w14:textId="1F5C7A09" w:rsidR="00CB4402" w:rsidRPr="00E93FBA" w:rsidRDefault="007023F8" w:rsidP="005B2864">
      <w:pPr>
        <w:jc w:val="both"/>
        <w:rPr>
          <w:lang w:val="sk-SK"/>
        </w:rPr>
      </w:pPr>
      <w:r w:rsidRPr="00E93FBA">
        <w:rPr>
          <w:lang w:val="sk-SK"/>
        </w:rPr>
        <w:t xml:space="preserve">K bodu 3 </w:t>
      </w:r>
      <w:r w:rsidR="00CB4402" w:rsidRPr="00E93FBA">
        <w:rPr>
          <w:lang w:val="sk-SK"/>
        </w:rPr>
        <w:t>(§ 2 ods. 7)</w:t>
      </w:r>
      <w:r w:rsidR="00965810" w:rsidRPr="00E93FBA">
        <w:rPr>
          <w:lang w:val="sk-SK"/>
        </w:rPr>
        <w:t>:</w:t>
      </w:r>
    </w:p>
    <w:p w14:paraId="02F63448" w14:textId="0B8F0E7C" w:rsidR="00CB4402" w:rsidRPr="00E93FBA" w:rsidRDefault="00CB4402" w:rsidP="005B2864">
      <w:pPr>
        <w:jc w:val="both"/>
        <w:rPr>
          <w:lang w:val="sk-SK"/>
        </w:rPr>
      </w:pPr>
      <w:r w:rsidRPr="00E93FBA">
        <w:rPr>
          <w:lang w:val="sk-SK"/>
        </w:rPr>
        <w:t>Legislatívno-technická úprava, zjedno</w:t>
      </w:r>
      <w:r w:rsidR="00E83765" w:rsidRPr="00E93FBA">
        <w:rPr>
          <w:lang w:val="sk-SK"/>
        </w:rPr>
        <w:t>cujúca spôsob odkazu na štandardy.</w:t>
      </w:r>
    </w:p>
    <w:p w14:paraId="740FB904" w14:textId="05782335" w:rsidR="00E83765" w:rsidRPr="00E93FBA" w:rsidRDefault="00E83765" w:rsidP="005B2864">
      <w:pPr>
        <w:jc w:val="both"/>
        <w:rPr>
          <w:lang w:val="sk-SK"/>
        </w:rPr>
      </w:pPr>
    </w:p>
    <w:p w14:paraId="25B3A56C" w14:textId="62BE0336" w:rsidR="00FF3577" w:rsidRPr="00E93FBA" w:rsidRDefault="00FF3577" w:rsidP="005B2864">
      <w:pPr>
        <w:jc w:val="both"/>
        <w:rPr>
          <w:lang w:val="sk-SK"/>
        </w:rPr>
      </w:pPr>
      <w:r w:rsidRPr="00E93FBA">
        <w:rPr>
          <w:lang w:val="sk-SK"/>
        </w:rPr>
        <w:t>K bodu 4 [§ 3 písm. k)]:</w:t>
      </w:r>
    </w:p>
    <w:p w14:paraId="73315B1C" w14:textId="45F8D469" w:rsidR="00F93668" w:rsidRPr="00E93FBA" w:rsidRDefault="00313A3B" w:rsidP="00313A3B">
      <w:pPr>
        <w:jc w:val="both"/>
        <w:rPr>
          <w:lang w:val="sk-SK"/>
        </w:rPr>
      </w:pPr>
      <w:r w:rsidRPr="00E93FBA">
        <w:rPr>
          <w:lang w:val="sk-SK"/>
        </w:rPr>
        <w:t xml:space="preserve">Navrhuje sa umožniť vytvárať elektronické úradné dokumenty ako dokument bez štruktúrovanej formy. Orgán verejnej moci sa môže rozhodnúť, či bude vytvárať elektronický úradný dokument s použitím elektronického formulára, alebo </w:t>
      </w:r>
      <w:r w:rsidR="00C45C61" w:rsidRPr="00E93FBA">
        <w:rPr>
          <w:lang w:val="sk-SK"/>
        </w:rPr>
        <w:t>„len“ ako elektronický dokument</w:t>
      </w:r>
      <w:r w:rsidRPr="00E93FBA">
        <w:rPr>
          <w:lang w:val="sk-SK"/>
        </w:rPr>
        <w:t xml:space="preserve">. </w:t>
      </w:r>
    </w:p>
    <w:p w14:paraId="666CC6D4" w14:textId="2F366DEF" w:rsidR="00F93668" w:rsidRPr="00E93FBA" w:rsidRDefault="00C45C61" w:rsidP="00313A3B">
      <w:pPr>
        <w:jc w:val="both"/>
        <w:rPr>
          <w:lang w:val="sk-SK"/>
        </w:rPr>
      </w:pPr>
      <w:r w:rsidRPr="00E93FBA">
        <w:rPr>
          <w:lang w:val="sk-SK"/>
        </w:rPr>
        <w:t>Dnes účinný</w:t>
      </w:r>
      <w:r w:rsidR="00313A3B" w:rsidRPr="00E93FBA">
        <w:rPr>
          <w:lang w:val="sk-SK"/>
        </w:rPr>
        <w:t xml:space="preserve"> p</w:t>
      </w:r>
      <w:r w:rsidRPr="00E93FBA">
        <w:rPr>
          <w:lang w:val="sk-SK"/>
        </w:rPr>
        <w:t>ostup (výlučne použitie elektronického formulára) sa</w:t>
      </w:r>
      <w:r w:rsidR="00313A3B" w:rsidRPr="00E93FBA">
        <w:rPr>
          <w:lang w:val="sk-SK"/>
        </w:rPr>
        <w:t xml:space="preserve"> pre veľa </w:t>
      </w:r>
      <w:r w:rsidRPr="00E93FBA">
        <w:rPr>
          <w:lang w:val="sk-SK"/>
        </w:rPr>
        <w:t>agend ukazuje</w:t>
      </w:r>
      <w:r w:rsidR="00313A3B" w:rsidRPr="00E93FBA">
        <w:rPr>
          <w:lang w:val="sk-SK"/>
        </w:rPr>
        <w:t xml:space="preserve"> príliš zložitý a limitujúci. V elektronickom formulári je mimoriadne slabá možnosť aj základnej grafickej úpravy textu</w:t>
      </w:r>
      <w:r w:rsidRPr="00E93FBA">
        <w:rPr>
          <w:lang w:val="sk-SK"/>
        </w:rPr>
        <w:t>,</w:t>
      </w:r>
      <w:r w:rsidR="00313A3B" w:rsidRPr="00E93FBA">
        <w:rPr>
          <w:lang w:val="sk-SK"/>
        </w:rPr>
        <w:t xml:space="preserve"> </w:t>
      </w:r>
      <w:r w:rsidRPr="00E93FBA">
        <w:rPr>
          <w:lang w:val="sk-SK"/>
        </w:rPr>
        <w:t>p</w:t>
      </w:r>
      <w:r w:rsidR="00313A3B" w:rsidRPr="00E93FBA">
        <w:rPr>
          <w:lang w:val="sk-SK"/>
        </w:rPr>
        <w:t xml:space="preserve">ráca s elektronickými formulármi vyžaduje špeciálne softvérové vybavenie, čo je oproti práci s generickým textom, pre ktorého spracovanie existuje množstvo aplikácií, nákladné a zdĺhavé. Pre väčšinu konaní nie je v súčasnosti predpokladateľné automatizované spracúvanie </w:t>
      </w:r>
      <w:r w:rsidRPr="00E93FBA">
        <w:rPr>
          <w:lang w:val="sk-SK"/>
        </w:rPr>
        <w:t>elektronického úradného dokumentu</w:t>
      </w:r>
      <w:r w:rsidR="00313A3B" w:rsidRPr="00E93FBA">
        <w:rPr>
          <w:lang w:val="sk-SK"/>
        </w:rPr>
        <w:t xml:space="preserve"> jeho adresátom, čím sa zmysel povinného použitia štruktúrovanej formy </w:t>
      </w:r>
      <w:r w:rsidRPr="00E93FBA">
        <w:rPr>
          <w:lang w:val="sk-SK"/>
        </w:rPr>
        <w:t>znižuje</w:t>
      </w:r>
      <w:r w:rsidR="00313A3B" w:rsidRPr="00E93FBA">
        <w:rPr>
          <w:lang w:val="sk-SK"/>
        </w:rPr>
        <w:t>. V dôsledku toho s</w:t>
      </w:r>
      <w:r w:rsidRPr="00E93FBA">
        <w:rPr>
          <w:lang w:val="sk-SK"/>
        </w:rPr>
        <w:t>a</w:t>
      </w:r>
      <w:r w:rsidR="00313A3B" w:rsidRPr="00E93FBA">
        <w:rPr>
          <w:lang w:val="sk-SK"/>
        </w:rPr>
        <w:t xml:space="preserve"> u mnohých </w:t>
      </w:r>
      <w:r w:rsidRPr="00E93FBA">
        <w:rPr>
          <w:lang w:val="sk-SK"/>
        </w:rPr>
        <w:t>orgánov verejnej moci</w:t>
      </w:r>
      <w:r w:rsidR="00313A3B" w:rsidRPr="00E93FBA">
        <w:rPr>
          <w:lang w:val="sk-SK"/>
        </w:rPr>
        <w:t xml:space="preserve"> identifikoval</w:t>
      </w:r>
      <w:r w:rsidRPr="00E93FBA">
        <w:rPr>
          <w:lang w:val="sk-SK"/>
        </w:rPr>
        <w:t>a</w:t>
      </w:r>
      <w:r w:rsidR="00313A3B" w:rsidRPr="00E93FBA">
        <w:rPr>
          <w:lang w:val="sk-SK"/>
        </w:rPr>
        <w:t xml:space="preserve"> prax, kedy elektronické </w:t>
      </w:r>
      <w:r w:rsidRPr="00E93FBA">
        <w:rPr>
          <w:lang w:val="sk-SK"/>
        </w:rPr>
        <w:t>úradné dokumenty</w:t>
      </w:r>
      <w:r w:rsidR="00313A3B" w:rsidRPr="00E93FBA">
        <w:rPr>
          <w:lang w:val="sk-SK"/>
        </w:rPr>
        <w:t xml:space="preserve"> boli vydávané v</w:t>
      </w:r>
      <w:r w:rsidRPr="00E93FBA">
        <w:rPr>
          <w:lang w:val="sk-SK"/>
        </w:rPr>
        <w:t> listinnej podobe</w:t>
      </w:r>
      <w:r w:rsidR="00313A3B" w:rsidRPr="00E93FBA">
        <w:rPr>
          <w:lang w:val="sk-SK"/>
        </w:rPr>
        <w:t xml:space="preserve"> alebo podstatné náležitosti (napr. výrok, popis situácie, odôvodnenie) neboli uvedené v el</w:t>
      </w:r>
      <w:r w:rsidRPr="00E93FBA">
        <w:rPr>
          <w:lang w:val="sk-SK"/>
        </w:rPr>
        <w:t>ektronickom</w:t>
      </w:r>
      <w:r w:rsidR="00313A3B" w:rsidRPr="00E93FBA">
        <w:rPr>
          <w:lang w:val="sk-SK"/>
        </w:rPr>
        <w:t xml:space="preserve"> formulári, ale de-facto v prílohe. </w:t>
      </w:r>
    </w:p>
    <w:p w14:paraId="2012046D" w14:textId="26DE60C7" w:rsidR="00313A3B" w:rsidRPr="00E93FBA" w:rsidRDefault="00313A3B" w:rsidP="003C7E44">
      <w:pPr>
        <w:jc w:val="both"/>
        <w:rPr>
          <w:lang w:val="sk-SK"/>
        </w:rPr>
      </w:pPr>
      <w:r w:rsidRPr="00E93FBA">
        <w:rPr>
          <w:lang w:val="sk-SK"/>
        </w:rPr>
        <w:t xml:space="preserve">Formáty </w:t>
      </w:r>
      <w:r w:rsidR="00F93668" w:rsidRPr="00E93FBA">
        <w:rPr>
          <w:lang w:val="sk-SK"/>
        </w:rPr>
        <w:t>elektronických</w:t>
      </w:r>
      <w:r w:rsidRPr="00E93FBA">
        <w:rPr>
          <w:lang w:val="sk-SK"/>
        </w:rPr>
        <w:t xml:space="preserve"> dokumentov, aj ich podpisov, sú už v súčasnosti dostatočne upravené v štandardoch </w:t>
      </w:r>
      <w:r w:rsidR="0096382D" w:rsidRPr="00E93FBA">
        <w:rPr>
          <w:lang w:val="sk-SK"/>
        </w:rPr>
        <w:t>pre informačné technológie verejnej správy</w:t>
      </w:r>
      <w:r w:rsidRPr="00E93FBA">
        <w:rPr>
          <w:lang w:val="sk-SK"/>
        </w:rPr>
        <w:t>. Práca s tým</w:t>
      </w:r>
      <w:r w:rsidR="00B25802" w:rsidRPr="00E93FBA">
        <w:rPr>
          <w:lang w:val="sk-SK"/>
        </w:rPr>
        <w:t>i</w:t>
      </w:r>
      <w:r w:rsidRPr="00E93FBA">
        <w:rPr>
          <w:lang w:val="sk-SK"/>
        </w:rPr>
        <w:t>to formátm</w:t>
      </w:r>
      <w:r w:rsidR="00B25802" w:rsidRPr="00E93FBA">
        <w:rPr>
          <w:lang w:val="sk-SK"/>
        </w:rPr>
        <w:t>i</w:t>
      </w:r>
      <w:r w:rsidRPr="00E93FBA">
        <w:rPr>
          <w:lang w:val="sk-SK"/>
        </w:rPr>
        <w:t xml:space="preserve"> je pre používateľov jednoduchá, čo je </w:t>
      </w:r>
      <w:r w:rsidR="00B25802" w:rsidRPr="00E93FBA">
        <w:rPr>
          <w:lang w:val="sk-SK"/>
        </w:rPr>
        <w:t>ich</w:t>
      </w:r>
      <w:r w:rsidRPr="00E93FBA">
        <w:rPr>
          <w:lang w:val="sk-SK"/>
        </w:rPr>
        <w:t xml:space="preserve"> zásadnou výhodou. </w:t>
      </w:r>
    </w:p>
    <w:p w14:paraId="255FA886" w14:textId="5B8C5D3A" w:rsidR="00FF3577" w:rsidRPr="00E93FBA" w:rsidRDefault="001B571C" w:rsidP="005B2864">
      <w:pPr>
        <w:jc w:val="both"/>
        <w:rPr>
          <w:lang w:val="sk-SK"/>
        </w:rPr>
      </w:pPr>
      <w:r w:rsidRPr="00E93FBA">
        <w:rPr>
          <w:lang w:val="sk-SK"/>
        </w:rPr>
        <w:t>Keďže ide o zásadnú zmenu, navrhuje sa v prípadoch, kedy elektronický úradný dokument nie je vytváraný s použitím elektronického formulára, ponechať povinnosť</w:t>
      </w:r>
      <w:r w:rsidR="00D67E98" w:rsidRPr="00E93FBA">
        <w:rPr>
          <w:lang w:val="sk-SK"/>
        </w:rPr>
        <w:t xml:space="preserve"> zasielať spolu s ním základné údaje o ňom, a to v štruktúrovanej podobe. Tieto údaje už nebudú elektronickým úradným dokumentom.</w:t>
      </w:r>
    </w:p>
    <w:p w14:paraId="7F3E75DB" w14:textId="77777777" w:rsidR="00FF3577" w:rsidRPr="00E93FBA" w:rsidRDefault="00FF3577" w:rsidP="005B2864">
      <w:pPr>
        <w:jc w:val="both"/>
        <w:rPr>
          <w:lang w:val="sk-SK"/>
        </w:rPr>
      </w:pPr>
    </w:p>
    <w:p w14:paraId="1CC788C1" w14:textId="31FAB23F" w:rsidR="003C79F4" w:rsidRPr="00E93FBA" w:rsidRDefault="003C79F4" w:rsidP="005B2864">
      <w:pPr>
        <w:jc w:val="both"/>
        <w:rPr>
          <w:lang w:val="sk-SK"/>
        </w:rPr>
      </w:pPr>
      <w:r w:rsidRPr="00E93FBA">
        <w:rPr>
          <w:lang w:val="sk-SK"/>
        </w:rPr>
        <w:t>K bodu 5 [§ 3 písm. n)]:</w:t>
      </w:r>
    </w:p>
    <w:p w14:paraId="01984A5B" w14:textId="668ECEF1" w:rsidR="003C79F4" w:rsidRPr="00E93FBA" w:rsidRDefault="003C79F4" w:rsidP="005B2864">
      <w:pPr>
        <w:jc w:val="both"/>
        <w:rPr>
          <w:lang w:val="sk-SK"/>
        </w:rPr>
      </w:pPr>
      <w:r w:rsidRPr="00E93FBA">
        <w:rPr>
          <w:lang w:val="sk-SK"/>
        </w:rPr>
        <w:lastRenderedPageBreak/>
        <w:t>S cieľom zosúladiť úpravu organizačných zložiek zapisujúcich sa do registra právnických osôb, podnikateľov a orgánov verejnej moci</w:t>
      </w:r>
      <w:r w:rsidR="00622659" w:rsidRPr="00E93FBA">
        <w:rPr>
          <w:lang w:val="sk-SK"/>
        </w:rPr>
        <w:t xml:space="preserve"> so zákonom o e-Governmente sa navrhuje používať rovnaké definičné vymedzenie tejto skupiny subjektov.</w:t>
      </w:r>
    </w:p>
    <w:p w14:paraId="42C44EF3" w14:textId="77777777" w:rsidR="003C79F4" w:rsidRPr="00E93FBA" w:rsidRDefault="003C79F4" w:rsidP="005B2864">
      <w:pPr>
        <w:jc w:val="both"/>
        <w:rPr>
          <w:lang w:val="sk-SK"/>
        </w:rPr>
      </w:pPr>
    </w:p>
    <w:p w14:paraId="0C6CE189" w14:textId="72EF4B39" w:rsidR="00D142FE" w:rsidRPr="00E93FBA" w:rsidRDefault="00E83765" w:rsidP="005B2864">
      <w:pPr>
        <w:jc w:val="both"/>
        <w:rPr>
          <w:lang w:val="sk-SK"/>
        </w:rPr>
      </w:pPr>
      <w:r w:rsidRPr="00E93FBA">
        <w:rPr>
          <w:lang w:val="sk-SK"/>
        </w:rPr>
        <w:t>K</w:t>
      </w:r>
      <w:r w:rsidR="00C251CC" w:rsidRPr="00E93FBA">
        <w:rPr>
          <w:lang w:val="sk-SK"/>
        </w:rPr>
        <w:t> </w:t>
      </w:r>
      <w:r w:rsidRPr="00E93FBA">
        <w:rPr>
          <w:lang w:val="sk-SK"/>
        </w:rPr>
        <w:t>bod</w:t>
      </w:r>
      <w:r w:rsidR="00A81468" w:rsidRPr="00E93FBA">
        <w:rPr>
          <w:lang w:val="sk-SK"/>
        </w:rPr>
        <w:t>om</w:t>
      </w:r>
      <w:r w:rsidRPr="00E93FBA">
        <w:rPr>
          <w:lang w:val="sk-SK"/>
        </w:rPr>
        <w:t xml:space="preserve"> </w:t>
      </w:r>
      <w:r w:rsidR="00CB5C55" w:rsidRPr="00E93FBA">
        <w:rPr>
          <w:lang w:val="sk-SK"/>
        </w:rPr>
        <w:t>6</w:t>
      </w:r>
      <w:r w:rsidR="00A81468" w:rsidRPr="00E93FBA">
        <w:rPr>
          <w:lang w:val="sk-SK"/>
        </w:rPr>
        <w:t xml:space="preserve"> a </w:t>
      </w:r>
      <w:r w:rsidR="00CB5C55" w:rsidRPr="00E93FBA">
        <w:rPr>
          <w:lang w:val="sk-SK"/>
        </w:rPr>
        <w:t xml:space="preserve">7 </w:t>
      </w:r>
      <w:r w:rsidR="000915E0" w:rsidRPr="00E93FBA">
        <w:rPr>
          <w:lang w:val="sk-SK"/>
        </w:rPr>
        <w:t xml:space="preserve">(§ </w:t>
      </w:r>
      <w:r w:rsidRPr="00E93FBA">
        <w:rPr>
          <w:lang w:val="sk-SK"/>
        </w:rPr>
        <w:t>5</w:t>
      </w:r>
      <w:r w:rsidR="00A81468" w:rsidRPr="00E93FBA">
        <w:rPr>
          <w:lang w:val="sk-SK"/>
        </w:rPr>
        <w:t xml:space="preserve"> ods. 1 a </w:t>
      </w:r>
      <w:r w:rsidRPr="00E93FBA">
        <w:rPr>
          <w:lang w:val="sk-SK"/>
        </w:rPr>
        <w:t>4</w:t>
      </w:r>
      <w:r w:rsidR="000915E0" w:rsidRPr="00E93FBA">
        <w:rPr>
          <w:lang w:val="sk-SK"/>
        </w:rPr>
        <w:t>)</w:t>
      </w:r>
      <w:r w:rsidR="00965810" w:rsidRPr="00E93FBA">
        <w:rPr>
          <w:lang w:val="sk-SK"/>
        </w:rPr>
        <w:t>:</w:t>
      </w:r>
    </w:p>
    <w:p w14:paraId="2C96DB89" w14:textId="00A35FCF" w:rsidR="00A81468" w:rsidRPr="00E93FBA" w:rsidRDefault="00A81468" w:rsidP="00AF500C">
      <w:pPr>
        <w:jc w:val="both"/>
        <w:rPr>
          <w:lang w:val="sk-SK"/>
        </w:rPr>
      </w:pPr>
      <w:r w:rsidRPr="00E93FBA">
        <w:rPr>
          <w:lang w:val="sk-SK"/>
        </w:rPr>
        <w:t xml:space="preserve">Koncept asistovaného výkonu verejnej moci nenašiel predpokladané uplatnenie v zásadnej časti predpokladaných činností, a to v asistovanej komunikácii s orgánmi verejnej moci. Za jeden z hlavných dôvodov sa dá označiť zložitosť tohto konceptu a súvisiaceho zdieľania zodpovednosti za takto realizované podania. Súčasne stále platí zásada, podľa ktorej občan vo všeobecnosti môže podať podanie aj v listinnej podobe a zároveň dostupnosť elektronických prostriedkov komunikácie nie je v praxi problémom, čo ďalej oslabuje nevyhnutnosť zachovania tohto inštitútu. Preto sa navrhuje koncept asistovaného výkonu verejnej moci časti „pomoci pri komunikácii smerom k štátu“ zrušiť. </w:t>
      </w:r>
    </w:p>
    <w:p w14:paraId="7D6C0C98" w14:textId="63A48983" w:rsidR="000915E0" w:rsidRPr="00E93FBA" w:rsidRDefault="00A81468" w:rsidP="00AF500C">
      <w:pPr>
        <w:jc w:val="both"/>
        <w:rPr>
          <w:lang w:val="sk-SK"/>
        </w:rPr>
      </w:pPr>
      <w:r w:rsidRPr="00E93FBA">
        <w:rPr>
          <w:lang w:val="sk-SK"/>
        </w:rPr>
        <w:t>Naopak, ostatné činnosti, t.j. vykonávanie zaručenej konverzie a sprístupňovanie informácií a odpisov z registrov verejnej správy v súčasnosti stále zmysel majú a počíta sa s ich zachovaním</w:t>
      </w:r>
      <w:r w:rsidR="000915E0" w:rsidRPr="00E93FBA">
        <w:rPr>
          <w:lang w:val="sk-SK"/>
        </w:rPr>
        <w:t>.</w:t>
      </w:r>
    </w:p>
    <w:p w14:paraId="7C377CBD" w14:textId="6774B801" w:rsidR="000915E0" w:rsidRPr="00E93FBA" w:rsidRDefault="000915E0" w:rsidP="005B2864">
      <w:pPr>
        <w:jc w:val="both"/>
        <w:rPr>
          <w:lang w:val="sk-SK"/>
        </w:rPr>
      </w:pPr>
    </w:p>
    <w:p w14:paraId="0B99261E" w14:textId="6125BE98" w:rsidR="005B2864" w:rsidRPr="00E93FBA" w:rsidRDefault="00F12633" w:rsidP="005B2864">
      <w:pPr>
        <w:jc w:val="both"/>
        <w:rPr>
          <w:lang w:val="sk-SK"/>
        </w:rPr>
      </w:pPr>
      <w:r w:rsidRPr="00E93FBA">
        <w:rPr>
          <w:lang w:val="sk-SK"/>
        </w:rPr>
        <w:t>K</w:t>
      </w:r>
      <w:r w:rsidR="00C251CC" w:rsidRPr="00E93FBA">
        <w:rPr>
          <w:lang w:val="sk-SK"/>
        </w:rPr>
        <w:t> </w:t>
      </w:r>
      <w:r w:rsidRPr="00E93FBA">
        <w:rPr>
          <w:lang w:val="sk-SK"/>
        </w:rPr>
        <w:t xml:space="preserve">bodu </w:t>
      </w:r>
      <w:r w:rsidR="00CB5C55" w:rsidRPr="00E93FBA">
        <w:rPr>
          <w:lang w:val="sk-SK"/>
        </w:rPr>
        <w:t>8</w:t>
      </w:r>
      <w:r w:rsidR="005B2864" w:rsidRPr="00E93FBA">
        <w:rPr>
          <w:lang w:val="sk-SK"/>
        </w:rPr>
        <w:t xml:space="preserve"> (§ </w:t>
      </w:r>
      <w:r w:rsidR="00965810" w:rsidRPr="00E93FBA">
        <w:rPr>
          <w:lang w:val="sk-SK"/>
        </w:rPr>
        <w:t xml:space="preserve">5 ods. </w:t>
      </w:r>
      <w:r w:rsidR="005C4C9D" w:rsidRPr="00E93FBA">
        <w:rPr>
          <w:lang w:val="sk-SK"/>
        </w:rPr>
        <w:t>4</w:t>
      </w:r>
      <w:r w:rsidR="005B2864" w:rsidRPr="00E93FBA">
        <w:rPr>
          <w:lang w:val="sk-SK"/>
        </w:rPr>
        <w:t>):</w:t>
      </w:r>
    </w:p>
    <w:p w14:paraId="37B8C6EE" w14:textId="59649867" w:rsidR="005B2864" w:rsidRPr="00E93FBA" w:rsidRDefault="00965810" w:rsidP="005B2864">
      <w:pPr>
        <w:jc w:val="both"/>
        <w:rPr>
          <w:lang w:val="sk-SK"/>
        </w:rPr>
      </w:pPr>
      <w:r w:rsidRPr="00E93FBA">
        <w:rPr>
          <w:lang w:val="sk-SK"/>
        </w:rPr>
        <w:t>Legislatívno-technická úprava</w:t>
      </w:r>
      <w:r w:rsidR="005B2864" w:rsidRPr="00E93FBA">
        <w:rPr>
          <w:lang w:val="sk-SK"/>
        </w:rPr>
        <w:t>.</w:t>
      </w:r>
    </w:p>
    <w:p w14:paraId="6EE951DC" w14:textId="48E63964" w:rsidR="00A843F2" w:rsidRPr="00E93FBA" w:rsidRDefault="00A843F2" w:rsidP="005B2864">
      <w:pPr>
        <w:jc w:val="both"/>
        <w:rPr>
          <w:lang w:val="sk-SK"/>
        </w:rPr>
      </w:pPr>
    </w:p>
    <w:p w14:paraId="43348BEB" w14:textId="26AFE689" w:rsidR="00A843F2" w:rsidRPr="00E93FBA" w:rsidRDefault="00F12633" w:rsidP="005B2864">
      <w:pPr>
        <w:jc w:val="both"/>
        <w:rPr>
          <w:lang w:val="sk-SK"/>
        </w:rPr>
      </w:pPr>
      <w:r w:rsidRPr="00E93FBA">
        <w:rPr>
          <w:lang w:val="sk-SK"/>
        </w:rPr>
        <w:t>K</w:t>
      </w:r>
      <w:r w:rsidR="00C251CC" w:rsidRPr="00E93FBA">
        <w:rPr>
          <w:lang w:val="sk-SK"/>
        </w:rPr>
        <w:t> </w:t>
      </w:r>
      <w:r w:rsidRPr="00E93FBA">
        <w:rPr>
          <w:lang w:val="sk-SK"/>
        </w:rPr>
        <w:t>bod</w:t>
      </w:r>
      <w:r w:rsidR="0089432F" w:rsidRPr="00E93FBA">
        <w:rPr>
          <w:lang w:val="sk-SK"/>
        </w:rPr>
        <w:t>om</w:t>
      </w:r>
      <w:r w:rsidRPr="00E93FBA">
        <w:rPr>
          <w:lang w:val="sk-SK"/>
        </w:rPr>
        <w:t xml:space="preserve"> </w:t>
      </w:r>
      <w:r w:rsidR="00CB5C55" w:rsidRPr="00E93FBA">
        <w:rPr>
          <w:lang w:val="sk-SK"/>
        </w:rPr>
        <w:t>9</w:t>
      </w:r>
      <w:r w:rsidR="0089432F" w:rsidRPr="00E93FBA">
        <w:rPr>
          <w:lang w:val="sk-SK"/>
        </w:rPr>
        <w:t xml:space="preserve"> a</w:t>
      </w:r>
      <w:r w:rsidR="00BB5384" w:rsidRPr="00E93FBA">
        <w:rPr>
          <w:lang w:val="sk-SK"/>
        </w:rPr>
        <w:t>ž</w:t>
      </w:r>
      <w:r w:rsidR="00C251CC" w:rsidRPr="00E93FBA">
        <w:rPr>
          <w:lang w:val="sk-SK"/>
        </w:rPr>
        <w:t> </w:t>
      </w:r>
      <w:r w:rsidR="00CB5C55" w:rsidRPr="00E93FBA">
        <w:rPr>
          <w:lang w:val="sk-SK"/>
        </w:rPr>
        <w:t xml:space="preserve">12 </w:t>
      </w:r>
      <w:r w:rsidR="00A843F2" w:rsidRPr="00E93FBA">
        <w:rPr>
          <w:lang w:val="sk-SK"/>
        </w:rPr>
        <w:t xml:space="preserve">(§ </w:t>
      </w:r>
      <w:r w:rsidR="00965810" w:rsidRPr="00E93FBA">
        <w:rPr>
          <w:lang w:val="sk-SK"/>
        </w:rPr>
        <w:t xml:space="preserve">5 ods. </w:t>
      </w:r>
      <w:r w:rsidR="0080775E" w:rsidRPr="00E93FBA">
        <w:rPr>
          <w:lang w:val="sk-SK"/>
        </w:rPr>
        <w:t xml:space="preserve">5 a </w:t>
      </w:r>
      <w:r w:rsidR="00965810" w:rsidRPr="00E93FBA">
        <w:rPr>
          <w:lang w:val="sk-SK"/>
        </w:rPr>
        <w:t>6</w:t>
      </w:r>
      <w:r w:rsidR="00A843F2" w:rsidRPr="00E93FBA">
        <w:rPr>
          <w:lang w:val="sk-SK"/>
        </w:rPr>
        <w:t>):</w:t>
      </w:r>
    </w:p>
    <w:p w14:paraId="10A90646" w14:textId="27E8E60B" w:rsidR="00A843F2" w:rsidRPr="00E93FBA" w:rsidRDefault="00965810" w:rsidP="00A843F2">
      <w:pPr>
        <w:spacing w:line="276" w:lineRule="auto"/>
        <w:jc w:val="both"/>
        <w:rPr>
          <w:lang w:val="sk-SK"/>
        </w:rPr>
      </w:pPr>
      <w:r w:rsidRPr="00E93FBA">
        <w:rPr>
          <w:lang w:val="sk-SK"/>
        </w:rPr>
        <w:t xml:space="preserve">Legislatívno-technická úprava </w:t>
      </w:r>
      <w:r w:rsidR="0089432F" w:rsidRPr="00E93FBA">
        <w:rPr>
          <w:lang w:val="sk-SK"/>
        </w:rPr>
        <w:t>súvisiaca</w:t>
      </w:r>
      <w:r w:rsidRPr="00E93FBA">
        <w:rPr>
          <w:lang w:val="sk-SK"/>
        </w:rPr>
        <w:t xml:space="preserve"> s</w:t>
      </w:r>
      <w:r w:rsidR="00C251CC" w:rsidRPr="00E93FBA">
        <w:rPr>
          <w:lang w:val="sk-SK"/>
        </w:rPr>
        <w:t> </w:t>
      </w:r>
      <w:r w:rsidRPr="00E93FBA">
        <w:rPr>
          <w:lang w:val="sk-SK"/>
        </w:rPr>
        <w:t>vypustením inštitútu IOM</w:t>
      </w:r>
      <w:r w:rsidR="00A843F2" w:rsidRPr="00E93FBA">
        <w:rPr>
          <w:lang w:val="sk-SK"/>
        </w:rPr>
        <w:t>.</w:t>
      </w:r>
    </w:p>
    <w:p w14:paraId="19284A5B" w14:textId="77777777" w:rsidR="0011749C" w:rsidRPr="00E93FBA" w:rsidRDefault="0011749C" w:rsidP="005B2864">
      <w:pPr>
        <w:jc w:val="both"/>
        <w:rPr>
          <w:lang w:val="sk-SK"/>
        </w:rPr>
      </w:pPr>
    </w:p>
    <w:p w14:paraId="21E2FFDE" w14:textId="452BE9D7" w:rsidR="00CD3A13" w:rsidRPr="00E93FBA" w:rsidRDefault="00F12633" w:rsidP="005B2864">
      <w:pPr>
        <w:jc w:val="both"/>
        <w:rPr>
          <w:lang w:val="sk-SK"/>
        </w:rPr>
      </w:pPr>
      <w:r w:rsidRPr="00E93FBA">
        <w:rPr>
          <w:lang w:val="sk-SK"/>
        </w:rPr>
        <w:t>K</w:t>
      </w:r>
      <w:r w:rsidR="00C251CC" w:rsidRPr="00E93FBA">
        <w:rPr>
          <w:lang w:val="sk-SK"/>
        </w:rPr>
        <w:t> </w:t>
      </w:r>
      <w:r w:rsidRPr="00E93FBA">
        <w:rPr>
          <w:lang w:val="sk-SK"/>
        </w:rPr>
        <w:t xml:space="preserve">bodu </w:t>
      </w:r>
      <w:r w:rsidR="00712B14" w:rsidRPr="00E93FBA">
        <w:rPr>
          <w:lang w:val="sk-SK"/>
        </w:rPr>
        <w:t>1</w:t>
      </w:r>
      <w:r w:rsidR="00CB5C55" w:rsidRPr="00E93FBA">
        <w:rPr>
          <w:lang w:val="sk-SK"/>
        </w:rPr>
        <w:t>3</w:t>
      </w:r>
      <w:r w:rsidR="00CD3A13" w:rsidRPr="00E93FBA">
        <w:rPr>
          <w:lang w:val="sk-SK"/>
        </w:rPr>
        <w:t xml:space="preserve"> (§ 5 ods. </w:t>
      </w:r>
      <w:r w:rsidR="00EC77F3" w:rsidRPr="00E93FBA">
        <w:rPr>
          <w:lang w:val="sk-SK"/>
        </w:rPr>
        <w:t>7</w:t>
      </w:r>
      <w:r w:rsidR="00CD3A13" w:rsidRPr="00E93FBA">
        <w:rPr>
          <w:lang w:val="sk-SK"/>
        </w:rPr>
        <w:t>):</w:t>
      </w:r>
    </w:p>
    <w:p w14:paraId="1B3087FC" w14:textId="154F8338" w:rsidR="00D81B35" w:rsidRPr="00E93FBA" w:rsidRDefault="00D81B35" w:rsidP="00D81B35">
      <w:pPr>
        <w:jc w:val="both"/>
        <w:rPr>
          <w:lang w:val="sk-SK"/>
        </w:rPr>
      </w:pPr>
      <w:r w:rsidRPr="00E93FBA">
        <w:rPr>
          <w:lang w:val="sk-SK"/>
        </w:rPr>
        <w:t xml:space="preserve">Povinnosť </w:t>
      </w:r>
      <w:r w:rsidR="00EE062B" w:rsidRPr="00E93FBA">
        <w:rPr>
          <w:lang w:val="sk-SK"/>
        </w:rPr>
        <w:t xml:space="preserve">vyhotovovať potvrdenie o odoslaní elektronického podania </w:t>
      </w:r>
      <w:r w:rsidRPr="00E93FBA">
        <w:rPr>
          <w:lang w:val="sk-SK"/>
        </w:rPr>
        <w:t>definovaná</w:t>
      </w:r>
      <w:r w:rsidR="00EE062B" w:rsidRPr="00E93FBA">
        <w:rPr>
          <w:lang w:val="sk-SK"/>
        </w:rPr>
        <w:t xml:space="preserve"> v § 5 ods.</w:t>
      </w:r>
      <w:r w:rsidRPr="00E93FBA">
        <w:rPr>
          <w:lang w:val="sk-SK"/>
        </w:rPr>
        <w:t xml:space="preserve"> </w:t>
      </w:r>
      <w:r w:rsidR="00D50B86" w:rsidRPr="00E93FBA">
        <w:rPr>
          <w:lang w:val="sk-SK"/>
        </w:rPr>
        <w:t xml:space="preserve">7 </w:t>
      </w:r>
      <w:r w:rsidR="001D76C2" w:rsidRPr="00E93FBA">
        <w:rPr>
          <w:lang w:val="sk-SK"/>
        </w:rPr>
        <w:t xml:space="preserve">návrhu zákona </w:t>
      </w:r>
      <w:r w:rsidRPr="00E93FBA">
        <w:rPr>
          <w:lang w:val="sk-SK"/>
        </w:rPr>
        <w:t xml:space="preserve">sa rozširuje aj na správcu špecializovaného portálu. Ide o legislatívnu zmenu, ktorá sa už dnes v praxi realizuje </w:t>
      </w:r>
      <w:r w:rsidR="00EE062B" w:rsidRPr="00E93FBA">
        <w:rPr>
          <w:lang w:val="sk-SK"/>
        </w:rPr>
        <w:t>na základe dohody so správcom ústredného portálu verejnej správy</w:t>
      </w:r>
      <w:r w:rsidRPr="00E93FBA">
        <w:rPr>
          <w:lang w:val="sk-SK"/>
        </w:rPr>
        <w:t>.</w:t>
      </w:r>
    </w:p>
    <w:p w14:paraId="6BC29965" w14:textId="4F81324B" w:rsidR="005E4778" w:rsidRPr="00E93FBA" w:rsidRDefault="00DC526A" w:rsidP="00CD3A13">
      <w:pPr>
        <w:rPr>
          <w:lang w:val="sk-SK"/>
        </w:rPr>
      </w:pPr>
      <w:r w:rsidRPr="00E93FBA">
        <w:rPr>
          <w:lang w:val="sk-SK"/>
        </w:rPr>
        <w:t xml:space="preserve"> </w:t>
      </w:r>
    </w:p>
    <w:p w14:paraId="5DB2C609" w14:textId="40B6AF4D" w:rsidR="007E21C6" w:rsidRPr="00E93FBA" w:rsidRDefault="007E21C6" w:rsidP="007E21C6">
      <w:pPr>
        <w:jc w:val="both"/>
        <w:rPr>
          <w:lang w:val="sk-SK"/>
        </w:rPr>
      </w:pPr>
      <w:r w:rsidRPr="00E93FBA">
        <w:rPr>
          <w:lang w:val="sk-SK"/>
        </w:rPr>
        <w:t>K</w:t>
      </w:r>
      <w:r w:rsidR="00C251CC" w:rsidRPr="00E93FBA">
        <w:rPr>
          <w:lang w:val="sk-SK"/>
        </w:rPr>
        <w:t> </w:t>
      </w:r>
      <w:r w:rsidRPr="00E93FBA">
        <w:rPr>
          <w:lang w:val="sk-SK"/>
        </w:rPr>
        <w:t xml:space="preserve">bodu </w:t>
      </w:r>
      <w:r w:rsidR="00712B14" w:rsidRPr="00E93FBA">
        <w:rPr>
          <w:lang w:val="sk-SK"/>
        </w:rPr>
        <w:t>1</w:t>
      </w:r>
      <w:r w:rsidR="00D4614F" w:rsidRPr="00E93FBA">
        <w:rPr>
          <w:lang w:val="sk-SK"/>
        </w:rPr>
        <w:t>4</w:t>
      </w:r>
      <w:r w:rsidRPr="00E93FBA">
        <w:rPr>
          <w:lang w:val="sk-SK"/>
        </w:rPr>
        <w:t xml:space="preserve"> (§ 6 ods. 3):</w:t>
      </w:r>
    </w:p>
    <w:p w14:paraId="36DCE1E7" w14:textId="2E6427EE" w:rsidR="007E21C6" w:rsidRPr="00E93FBA" w:rsidRDefault="007E21C6" w:rsidP="007E21C6">
      <w:pPr>
        <w:rPr>
          <w:lang w:val="sk-SK"/>
        </w:rPr>
      </w:pPr>
      <w:r w:rsidRPr="00E93FBA">
        <w:rPr>
          <w:lang w:val="sk-SK"/>
        </w:rPr>
        <w:t>Legislatívno-technická úprava, zjednocujúca spôsob odkazu na štandardy.</w:t>
      </w:r>
    </w:p>
    <w:p w14:paraId="35D773CD" w14:textId="77777777" w:rsidR="007E21C6" w:rsidRPr="00E93FBA" w:rsidRDefault="007E21C6" w:rsidP="00CD3A13">
      <w:pPr>
        <w:rPr>
          <w:lang w:val="sk-SK"/>
        </w:rPr>
      </w:pPr>
    </w:p>
    <w:p w14:paraId="3116CEDB" w14:textId="3B7000C7" w:rsidR="005E4778" w:rsidRPr="00E93FBA" w:rsidRDefault="00F12633" w:rsidP="00CD3A13">
      <w:pPr>
        <w:rPr>
          <w:lang w:val="sk-SK"/>
        </w:rPr>
      </w:pPr>
      <w:r w:rsidRPr="00E93FBA">
        <w:rPr>
          <w:lang w:val="sk-SK"/>
        </w:rPr>
        <w:t>K</w:t>
      </w:r>
      <w:r w:rsidR="00C251CC" w:rsidRPr="00E93FBA">
        <w:rPr>
          <w:lang w:val="sk-SK"/>
        </w:rPr>
        <w:t> </w:t>
      </w:r>
      <w:r w:rsidRPr="00E93FBA">
        <w:rPr>
          <w:lang w:val="sk-SK"/>
        </w:rPr>
        <w:t>bodu</w:t>
      </w:r>
      <w:r w:rsidR="00703737" w:rsidRPr="00E93FBA">
        <w:rPr>
          <w:lang w:val="sk-SK"/>
        </w:rPr>
        <w:t xml:space="preserve"> </w:t>
      </w:r>
      <w:r w:rsidR="00712B14" w:rsidRPr="00E93FBA">
        <w:rPr>
          <w:lang w:val="sk-SK"/>
        </w:rPr>
        <w:t>1</w:t>
      </w:r>
      <w:r w:rsidR="00D4614F" w:rsidRPr="00E93FBA">
        <w:rPr>
          <w:lang w:val="sk-SK"/>
        </w:rPr>
        <w:t>5</w:t>
      </w:r>
      <w:r w:rsidR="00712B14" w:rsidRPr="00E93FBA">
        <w:rPr>
          <w:lang w:val="sk-SK"/>
        </w:rPr>
        <w:t xml:space="preserve"> </w:t>
      </w:r>
      <w:r w:rsidR="005E4778" w:rsidRPr="00E93FBA">
        <w:rPr>
          <w:lang w:val="sk-SK"/>
        </w:rPr>
        <w:t>(§ 7</w:t>
      </w:r>
      <w:r w:rsidR="00703737" w:rsidRPr="00E93FBA">
        <w:rPr>
          <w:lang w:val="sk-SK"/>
        </w:rPr>
        <w:t xml:space="preserve"> a</w:t>
      </w:r>
      <w:r w:rsidR="00712B14" w:rsidRPr="00E93FBA">
        <w:rPr>
          <w:lang w:val="sk-SK"/>
        </w:rPr>
        <w:t>ž</w:t>
      </w:r>
      <w:r w:rsidR="00C251CC" w:rsidRPr="00E93FBA">
        <w:rPr>
          <w:lang w:val="sk-SK"/>
        </w:rPr>
        <w:t> </w:t>
      </w:r>
      <w:r w:rsidR="00712B14" w:rsidRPr="00E93FBA">
        <w:rPr>
          <w:lang w:val="sk-SK"/>
        </w:rPr>
        <w:t>9</w:t>
      </w:r>
      <w:r w:rsidR="005E4778" w:rsidRPr="00E93FBA">
        <w:rPr>
          <w:lang w:val="sk-SK"/>
        </w:rPr>
        <w:t>):</w:t>
      </w:r>
    </w:p>
    <w:p w14:paraId="38387910" w14:textId="28623C9D" w:rsidR="00EE7815" w:rsidRPr="00E93FBA" w:rsidRDefault="00712B14" w:rsidP="00CA72C1">
      <w:pPr>
        <w:jc w:val="both"/>
        <w:rPr>
          <w:lang w:val="sk-SK"/>
        </w:rPr>
      </w:pPr>
      <w:r w:rsidRPr="00E93FBA">
        <w:rPr>
          <w:lang w:val="sk-SK"/>
        </w:rPr>
        <w:t>Úprava spočívajúca v zrušení inštitútu IOM z dôvodov uvedených vyššie</w:t>
      </w:r>
      <w:r w:rsidR="00C404C6" w:rsidRPr="00E93FBA">
        <w:rPr>
          <w:lang w:val="sk-SK"/>
        </w:rPr>
        <w:t>.</w:t>
      </w:r>
    </w:p>
    <w:p w14:paraId="0EDCA18A" w14:textId="77777777" w:rsidR="007F0CD9" w:rsidRPr="00E93FBA" w:rsidRDefault="007F0CD9" w:rsidP="000F7927">
      <w:pPr>
        <w:jc w:val="both"/>
        <w:rPr>
          <w:lang w:val="sk-SK"/>
        </w:rPr>
      </w:pPr>
    </w:p>
    <w:p w14:paraId="7FC66118" w14:textId="52DAAA08" w:rsidR="003F1010" w:rsidRPr="00E93FBA" w:rsidRDefault="003F1010" w:rsidP="000F7927">
      <w:pPr>
        <w:jc w:val="both"/>
        <w:rPr>
          <w:lang w:val="sk-SK"/>
        </w:rPr>
      </w:pPr>
      <w:r w:rsidRPr="00E93FBA">
        <w:rPr>
          <w:lang w:val="sk-SK"/>
        </w:rPr>
        <w:t>K</w:t>
      </w:r>
      <w:r w:rsidR="00C251CC" w:rsidRPr="00E93FBA">
        <w:rPr>
          <w:lang w:val="sk-SK"/>
        </w:rPr>
        <w:t> </w:t>
      </w:r>
      <w:r w:rsidRPr="00E93FBA">
        <w:rPr>
          <w:lang w:val="sk-SK"/>
        </w:rPr>
        <w:t xml:space="preserve">bodu </w:t>
      </w:r>
      <w:r w:rsidR="00BB5384" w:rsidRPr="00E93FBA">
        <w:rPr>
          <w:lang w:val="sk-SK"/>
        </w:rPr>
        <w:t>1</w:t>
      </w:r>
      <w:r w:rsidR="00D4614F" w:rsidRPr="00E93FBA">
        <w:rPr>
          <w:lang w:val="sk-SK"/>
        </w:rPr>
        <w:t>6</w:t>
      </w:r>
      <w:r w:rsidRPr="00E93FBA">
        <w:rPr>
          <w:lang w:val="sk-SK"/>
        </w:rPr>
        <w:t xml:space="preserve"> (§ 9a ods. 2):</w:t>
      </w:r>
    </w:p>
    <w:p w14:paraId="451C1204" w14:textId="5EAC8674" w:rsidR="003F1010" w:rsidRPr="00E93FBA" w:rsidRDefault="003F1010" w:rsidP="000F7927">
      <w:pPr>
        <w:jc w:val="both"/>
        <w:rPr>
          <w:lang w:val="sk-SK"/>
        </w:rPr>
      </w:pPr>
      <w:r w:rsidRPr="00E93FBA">
        <w:rPr>
          <w:lang w:val="sk-SK"/>
        </w:rPr>
        <w:t xml:space="preserve">Reagujúc na požiadavku praxe sa navrhuje, aby </w:t>
      </w:r>
      <w:r w:rsidR="00985C2B" w:rsidRPr="00E93FBA">
        <w:rPr>
          <w:lang w:val="sk-SK"/>
        </w:rPr>
        <w:t>oprávnenie na prístup do elektronickej schránky obce bolo zo zákona</w:t>
      </w:r>
      <w:r w:rsidR="00846B6F" w:rsidRPr="00E93FBA">
        <w:rPr>
          <w:lang w:val="sk-SK"/>
        </w:rPr>
        <w:t xml:space="preserve"> o e-Governmente</w:t>
      </w:r>
      <w:r w:rsidR="00985C2B" w:rsidRPr="00E93FBA">
        <w:rPr>
          <w:lang w:val="sk-SK"/>
        </w:rPr>
        <w:t xml:space="preserve"> zakladané účinnosťou dohody o</w:t>
      </w:r>
      <w:r w:rsidR="00C251CC" w:rsidRPr="00E93FBA">
        <w:rPr>
          <w:lang w:val="sk-SK"/>
        </w:rPr>
        <w:t> </w:t>
      </w:r>
      <w:r w:rsidR="00F17820" w:rsidRPr="00E93FBA">
        <w:rPr>
          <w:lang w:val="sk-SK"/>
        </w:rPr>
        <w:t>používaní informačného systému dátového centra obcí (ďalej len „</w:t>
      </w:r>
      <w:r w:rsidR="00985C2B" w:rsidRPr="00E93FBA">
        <w:rPr>
          <w:lang w:val="sk-SK"/>
        </w:rPr>
        <w:t>IS DCOM</w:t>
      </w:r>
      <w:r w:rsidR="00F17820" w:rsidRPr="00E93FBA">
        <w:rPr>
          <w:lang w:val="sk-SK"/>
        </w:rPr>
        <w:t>“)</w:t>
      </w:r>
      <w:r w:rsidR="00985C2B" w:rsidRPr="00E93FBA">
        <w:rPr>
          <w:lang w:val="sk-SK"/>
        </w:rPr>
        <w:t xml:space="preserve"> zo strany obce</w:t>
      </w:r>
      <w:r w:rsidR="00CA72C1" w:rsidRPr="00E93FBA">
        <w:rPr>
          <w:lang w:val="sk-SK"/>
        </w:rPr>
        <w:t xml:space="preserve">. </w:t>
      </w:r>
      <w:r w:rsidR="00573ECE" w:rsidRPr="00E93FBA">
        <w:rPr>
          <w:lang w:val="sk-SK"/>
        </w:rPr>
        <w:t xml:space="preserve">Vzhľadom na to, že na riadne plnenie povinnosti správcu dátového centra, ktorý </w:t>
      </w:r>
      <w:r w:rsidR="005707A4" w:rsidRPr="00E93FBA">
        <w:rPr>
          <w:lang w:val="sk-SK"/>
        </w:rPr>
        <w:t>podľa</w:t>
      </w:r>
      <w:r w:rsidR="00573ECE" w:rsidRPr="00E93FBA">
        <w:rPr>
          <w:lang w:val="sk-SK"/>
        </w:rPr>
        <w:t xml:space="preserve"> § 9a ods. 1 zákona o</w:t>
      </w:r>
      <w:r w:rsidR="00C251CC" w:rsidRPr="00E93FBA">
        <w:rPr>
          <w:lang w:val="sk-SK"/>
        </w:rPr>
        <w:t> </w:t>
      </w:r>
      <w:r w:rsidR="00573ECE" w:rsidRPr="00E93FBA">
        <w:rPr>
          <w:lang w:val="sk-SK"/>
        </w:rPr>
        <w:t>e-Governmente obciam, ktoré sú pripojené k</w:t>
      </w:r>
      <w:r w:rsidR="00C251CC" w:rsidRPr="00E93FBA">
        <w:rPr>
          <w:lang w:val="sk-SK"/>
        </w:rPr>
        <w:t> </w:t>
      </w:r>
      <w:r w:rsidR="00573ECE" w:rsidRPr="00E93FBA">
        <w:rPr>
          <w:lang w:val="sk-SK"/>
        </w:rPr>
        <w:t>informačnému systému dátového centra technické a</w:t>
      </w:r>
      <w:r w:rsidR="00C251CC" w:rsidRPr="00E93FBA">
        <w:rPr>
          <w:lang w:val="sk-SK"/>
        </w:rPr>
        <w:t> </w:t>
      </w:r>
      <w:r w:rsidR="00573ECE" w:rsidRPr="00E93FBA">
        <w:rPr>
          <w:lang w:val="sk-SK"/>
        </w:rPr>
        <w:t>programové prostriedky na výkon verejnej moci elektronicky, na prevádzkovanie informačných systémov verejnej správy</w:t>
      </w:r>
      <w:r w:rsidR="00573ECE" w:rsidRPr="00E93FBA">
        <w:rPr>
          <w:vertAlign w:val="superscript"/>
          <w:lang w:val="sk-SK"/>
        </w:rPr>
        <w:t xml:space="preserve"> </w:t>
      </w:r>
      <w:r w:rsidR="00573ECE" w:rsidRPr="00E93FBA">
        <w:rPr>
          <w:lang w:val="sk-SK"/>
        </w:rPr>
        <w:t>v</w:t>
      </w:r>
      <w:r w:rsidR="00C251CC" w:rsidRPr="00E93FBA">
        <w:rPr>
          <w:lang w:val="sk-SK"/>
        </w:rPr>
        <w:t> </w:t>
      </w:r>
      <w:r w:rsidR="00573ECE" w:rsidRPr="00E93FBA">
        <w:rPr>
          <w:lang w:val="sk-SK"/>
        </w:rPr>
        <w:t>ich správe a</w:t>
      </w:r>
      <w:r w:rsidR="00C251CC" w:rsidRPr="00E93FBA">
        <w:rPr>
          <w:lang w:val="sk-SK"/>
        </w:rPr>
        <w:t> </w:t>
      </w:r>
      <w:r w:rsidR="00573ECE" w:rsidRPr="00E93FBA">
        <w:rPr>
          <w:lang w:val="sk-SK"/>
        </w:rPr>
        <w:t>na zabezpečenie základných činností v</w:t>
      </w:r>
      <w:r w:rsidR="00C251CC" w:rsidRPr="00E93FBA">
        <w:rPr>
          <w:lang w:val="sk-SK"/>
        </w:rPr>
        <w:t> </w:t>
      </w:r>
      <w:r w:rsidR="00573ECE" w:rsidRPr="00E93FBA">
        <w:rPr>
          <w:lang w:val="sk-SK"/>
        </w:rPr>
        <w:t>oblasti elektronického výkonu vnútorných agend a</w:t>
      </w:r>
      <w:r w:rsidR="00C251CC" w:rsidRPr="00E93FBA">
        <w:rPr>
          <w:lang w:val="sk-SK"/>
        </w:rPr>
        <w:t> </w:t>
      </w:r>
      <w:r w:rsidR="00573ECE" w:rsidRPr="00E93FBA">
        <w:rPr>
          <w:lang w:val="sk-SK"/>
        </w:rPr>
        <w:t>prevádzku ostatných informačných systémov, ktoré obec používa, je nevyhnutné, aby mal správca udelený prístup a</w:t>
      </w:r>
      <w:r w:rsidR="00C251CC" w:rsidRPr="00E93FBA">
        <w:rPr>
          <w:lang w:val="sk-SK"/>
        </w:rPr>
        <w:t> </w:t>
      </w:r>
      <w:r w:rsidR="00573ECE" w:rsidRPr="00E93FBA">
        <w:rPr>
          <w:lang w:val="sk-SK"/>
        </w:rPr>
        <w:t>oprávnenie pre disponovanie s</w:t>
      </w:r>
      <w:r w:rsidR="00C251CC" w:rsidRPr="00E93FBA">
        <w:rPr>
          <w:lang w:val="sk-SK"/>
        </w:rPr>
        <w:t> </w:t>
      </w:r>
      <w:r w:rsidR="00573ECE" w:rsidRPr="00E93FBA">
        <w:rPr>
          <w:lang w:val="sk-SK"/>
        </w:rPr>
        <w:t>elektronickou schránkou obcí, navrhuje sa zefektívniť a</w:t>
      </w:r>
      <w:r w:rsidR="00C251CC" w:rsidRPr="00E93FBA">
        <w:rPr>
          <w:lang w:val="sk-SK"/>
        </w:rPr>
        <w:t> </w:t>
      </w:r>
      <w:r w:rsidR="00573ECE" w:rsidRPr="00E93FBA">
        <w:rPr>
          <w:lang w:val="sk-SK"/>
        </w:rPr>
        <w:t>urýchliť proces udelenia prístupu a</w:t>
      </w:r>
      <w:r w:rsidR="00C251CC" w:rsidRPr="00E93FBA">
        <w:rPr>
          <w:lang w:val="sk-SK"/>
        </w:rPr>
        <w:t> </w:t>
      </w:r>
      <w:r w:rsidR="00573ECE" w:rsidRPr="00E93FBA">
        <w:rPr>
          <w:lang w:val="sk-SK"/>
        </w:rPr>
        <w:t>oprávnenia na disponovanie, a</w:t>
      </w:r>
      <w:r w:rsidR="00C251CC" w:rsidRPr="00E93FBA">
        <w:rPr>
          <w:lang w:val="sk-SK"/>
        </w:rPr>
        <w:t> </w:t>
      </w:r>
      <w:r w:rsidR="00573ECE" w:rsidRPr="00E93FBA">
        <w:rPr>
          <w:lang w:val="sk-SK"/>
        </w:rPr>
        <w:t>to tak, že správca zasiela správcovi modulu elektronických schránok v</w:t>
      </w:r>
      <w:r w:rsidR="00C251CC" w:rsidRPr="00E93FBA">
        <w:rPr>
          <w:lang w:val="sk-SK"/>
        </w:rPr>
        <w:t> </w:t>
      </w:r>
      <w:r w:rsidR="00573ECE" w:rsidRPr="00E93FBA">
        <w:rPr>
          <w:lang w:val="sk-SK"/>
        </w:rPr>
        <w:t>dohodnutom intervale a</w:t>
      </w:r>
      <w:r w:rsidR="00C251CC" w:rsidRPr="00E93FBA">
        <w:rPr>
          <w:lang w:val="sk-SK"/>
        </w:rPr>
        <w:t> </w:t>
      </w:r>
      <w:r w:rsidR="00573ECE" w:rsidRPr="00E93FBA">
        <w:rPr>
          <w:lang w:val="sk-SK"/>
        </w:rPr>
        <w:t>dohodnutým spôsobom zoznam obcí, s</w:t>
      </w:r>
      <w:r w:rsidR="00C251CC" w:rsidRPr="00E93FBA">
        <w:rPr>
          <w:lang w:val="sk-SK"/>
        </w:rPr>
        <w:t> </w:t>
      </w:r>
      <w:r w:rsidR="00573ECE" w:rsidRPr="00E93FBA">
        <w:rPr>
          <w:lang w:val="sk-SK"/>
        </w:rPr>
        <w:t>ktorými má uzavretú zmluvu o</w:t>
      </w:r>
      <w:r w:rsidR="00C251CC" w:rsidRPr="00E93FBA">
        <w:rPr>
          <w:lang w:val="sk-SK"/>
        </w:rPr>
        <w:t> </w:t>
      </w:r>
      <w:r w:rsidR="00573ECE" w:rsidRPr="00E93FBA">
        <w:rPr>
          <w:lang w:val="sk-SK"/>
        </w:rPr>
        <w:t>pripojení k</w:t>
      </w:r>
      <w:r w:rsidR="00C251CC" w:rsidRPr="00E93FBA">
        <w:rPr>
          <w:lang w:val="sk-SK"/>
        </w:rPr>
        <w:t> </w:t>
      </w:r>
      <w:r w:rsidR="00573ECE" w:rsidRPr="00E93FBA">
        <w:rPr>
          <w:lang w:val="sk-SK"/>
        </w:rPr>
        <w:t>IS DCOM. Súhlas obce s</w:t>
      </w:r>
      <w:r w:rsidR="00C251CC" w:rsidRPr="00E93FBA">
        <w:rPr>
          <w:lang w:val="sk-SK"/>
        </w:rPr>
        <w:t> </w:t>
      </w:r>
      <w:r w:rsidR="00573ECE" w:rsidRPr="00E93FBA">
        <w:rPr>
          <w:lang w:val="sk-SK"/>
        </w:rPr>
        <w:t>udelením oprávnenia na prístup a</w:t>
      </w:r>
      <w:r w:rsidR="00C251CC" w:rsidRPr="00E93FBA">
        <w:rPr>
          <w:lang w:val="sk-SK"/>
        </w:rPr>
        <w:t> </w:t>
      </w:r>
      <w:r w:rsidR="00573ECE" w:rsidRPr="00E93FBA">
        <w:rPr>
          <w:lang w:val="sk-SK"/>
        </w:rPr>
        <w:t>disponovanie s</w:t>
      </w:r>
      <w:r w:rsidR="00C251CC" w:rsidRPr="00E93FBA">
        <w:rPr>
          <w:lang w:val="sk-SK"/>
        </w:rPr>
        <w:t> </w:t>
      </w:r>
      <w:r w:rsidR="00573ECE" w:rsidRPr="00E93FBA">
        <w:rPr>
          <w:lang w:val="sk-SK"/>
        </w:rPr>
        <w:t>elektronickou schránkou musí byť súčasťou zmluvy o</w:t>
      </w:r>
      <w:r w:rsidR="00C251CC" w:rsidRPr="00E93FBA">
        <w:rPr>
          <w:lang w:val="sk-SK"/>
        </w:rPr>
        <w:t> </w:t>
      </w:r>
      <w:r w:rsidR="00573ECE" w:rsidRPr="00E93FBA">
        <w:rPr>
          <w:lang w:val="sk-SK"/>
        </w:rPr>
        <w:t>pripojení k</w:t>
      </w:r>
      <w:r w:rsidR="00C251CC" w:rsidRPr="00E93FBA">
        <w:rPr>
          <w:lang w:val="sk-SK"/>
        </w:rPr>
        <w:t> </w:t>
      </w:r>
      <w:r w:rsidR="00573ECE" w:rsidRPr="00E93FBA">
        <w:rPr>
          <w:lang w:val="sk-SK"/>
        </w:rPr>
        <w:t>IS DCOM a</w:t>
      </w:r>
      <w:r w:rsidR="00C251CC" w:rsidRPr="00E93FBA">
        <w:rPr>
          <w:lang w:val="sk-SK"/>
        </w:rPr>
        <w:t> </w:t>
      </w:r>
      <w:r w:rsidR="00573ECE" w:rsidRPr="00E93FBA">
        <w:rPr>
          <w:lang w:val="sk-SK"/>
        </w:rPr>
        <w:t xml:space="preserve">správca je povinný ho na požiadanie správcu modulu elektronických schránok </w:t>
      </w:r>
      <w:r w:rsidR="00573ECE" w:rsidRPr="00E93FBA">
        <w:rPr>
          <w:lang w:val="sk-SK"/>
        </w:rPr>
        <w:lastRenderedPageBreak/>
        <w:t>preukázať. Uvedené riešenie zároveň musí byť súčasťou zmluvy medzi správcom modulu elektronických schránok a</w:t>
      </w:r>
      <w:r w:rsidR="00C251CC" w:rsidRPr="00E93FBA">
        <w:rPr>
          <w:lang w:val="sk-SK"/>
        </w:rPr>
        <w:t> </w:t>
      </w:r>
      <w:r w:rsidR="00573ECE" w:rsidRPr="00E93FBA">
        <w:rPr>
          <w:lang w:val="sk-SK"/>
        </w:rPr>
        <w:t xml:space="preserve">správcom dátového centra. </w:t>
      </w:r>
      <w:r w:rsidR="00CA72C1" w:rsidRPr="00E93FBA">
        <w:rPr>
          <w:lang w:val="sk-SK"/>
        </w:rPr>
        <w:t xml:space="preserve">Dôvodom je </w:t>
      </w:r>
      <w:r w:rsidR="00EB0F1C" w:rsidRPr="00E93FBA">
        <w:rPr>
          <w:lang w:val="sk-SK"/>
        </w:rPr>
        <w:t>snaha odbremeniť dátové centrum od administratívy pri preukazovaní oprávnení na prístup do elektronickej schránky obce, pričom obci sa naďalej zachováva možnosť upraviť toto oprávnenie v</w:t>
      </w:r>
      <w:r w:rsidR="00C251CC" w:rsidRPr="00E93FBA">
        <w:rPr>
          <w:lang w:val="sk-SK"/>
        </w:rPr>
        <w:t> </w:t>
      </w:r>
      <w:r w:rsidR="00EB0F1C" w:rsidRPr="00E93FBA">
        <w:rPr>
          <w:lang w:val="sk-SK"/>
        </w:rPr>
        <w:t>dohode s</w:t>
      </w:r>
      <w:r w:rsidR="00C251CC" w:rsidRPr="00E93FBA">
        <w:rPr>
          <w:lang w:val="sk-SK"/>
        </w:rPr>
        <w:t> </w:t>
      </w:r>
      <w:r w:rsidR="00EB0F1C" w:rsidRPr="00E93FBA">
        <w:rPr>
          <w:lang w:val="sk-SK"/>
        </w:rPr>
        <w:t xml:space="preserve">dátovým centrom odlišne. </w:t>
      </w:r>
    </w:p>
    <w:p w14:paraId="54795AC4" w14:textId="77777777" w:rsidR="00091541" w:rsidRPr="00E93FBA" w:rsidRDefault="00091541" w:rsidP="000F7927">
      <w:pPr>
        <w:jc w:val="both"/>
        <w:rPr>
          <w:lang w:val="sk-SK"/>
        </w:rPr>
      </w:pPr>
    </w:p>
    <w:p w14:paraId="4D8DA23C" w14:textId="29B9E9A5" w:rsidR="00091541" w:rsidRPr="00E93FBA" w:rsidRDefault="00091541" w:rsidP="00091541">
      <w:pPr>
        <w:jc w:val="both"/>
        <w:rPr>
          <w:lang w:val="sk-SK"/>
        </w:rPr>
      </w:pPr>
      <w:r w:rsidRPr="00E93FBA">
        <w:rPr>
          <w:lang w:val="sk-SK"/>
        </w:rPr>
        <w:t>K bodu 1</w:t>
      </w:r>
      <w:r w:rsidR="00D4614F" w:rsidRPr="00E93FBA">
        <w:rPr>
          <w:lang w:val="sk-SK"/>
        </w:rPr>
        <w:t>7</w:t>
      </w:r>
      <w:r w:rsidRPr="00E93FBA">
        <w:rPr>
          <w:lang w:val="sk-SK"/>
        </w:rPr>
        <w:t xml:space="preserve"> (§ 10 ods. 2):</w:t>
      </w:r>
    </w:p>
    <w:p w14:paraId="706DE91F" w14:textId="2A12C714" w:rsidR="00091541" w:rsidRPr="00E93FBA" w:rsidRDefault="0055040F" w:rsidP="000F7927">
      <w:pPr>
        <w:jc w:val="both"/>
        <w:rPr>
          <w:lang w:val="sk-SK"/>
        </w:rPr>
      </w:pPr>
      <w:r w:rsidRPr="00E93FBA">
        <w:rPr>
          <w:lang w:val="sk-SK"/>
        </w:rPr>
        <w:t>V nadväznosti na zmenu v § 2 ods. 5 sa navrhuje upraviť</w:t>
      </w:r>
      <w:r w:rsidRPr="00D85AFD">
        <w:rPr>
          <w:lang w:val="sk-SK"/>
        </w:rPr>
        <w:t xml:space="preserve">, </w:t>
      </w:r>
      <w:r w:rsidRPr="00E93FBA">
        <w:rPr>
          <w:lang w:val="sk-SK"/>
        </w:rPr>
        <w:t>aby ustanovenie explicitne vyjadrovalo možnosť použiť modul procesnej integrácie a integrácie údajov vybranými subjektami aj mimo výkonu verejnej moci.</w:t>
      </w:r>
    </w:p>
    <w:p w14:paraId="6ECE1C4B" w14:textId="76304933" w:rsidR="0055040F" w:rsidRPr="00E93FBA" w:rsidRDefault="0055040F" w:rsidP="000F7927">
      <w:pPr>
        <w:jc w:val="both"/>
        <w:rPr>
          <w:lang w:val="sk-SK"/>
        </w:rPr>
      </w:pPr>
      <w:r w:rsidRPr="00E93FBA">
        <w:rPr>
          <w:lang w:val="sk-SK"/>
        </w:rPr>
        <w:t>Zákon o e-Governmente sa primárne v zmysle jeho § 2 ods. 1 vzťahuje na výkon verejnej moci elektronicky v rozsahu právomocí orgánu verejnej moci podľa osobitných predpisov. Už existujúca platná a účinná právna úprava obsiahnutá v osobitných predpisoch však umožňuje niektorým ďalším subjektom získavanie dát prostredníctvom IS CSRÚ. Navrhovanou právnou úpravou sa zosúlaďuje právna úprava obsiahnutá v zákone o e-Governmente s právnou úpravou obsiahnutou v osobitných predpisoch a zároveň sa vytvára možnosť poskytovania a konzumovania dát prostredníctvom IS CSRÚ aj pre ďalšie vybrané subjekty mimo orgánov verejnej moci, avšak kontrolovateľným spôsobom, iba pre prípady, keď tak bude ustanovovať osobitný zákon vzťahujúci sa na činnosť takýchto ďalších subjektov, a to všetko aj v záujme úspešnej realizácie národných projektov obsiahnutých v Dátovom programe. Zároveň sa umožní rozšírenie rozsahu dát poskytovaných do modulu procesnej integrácie a integrácie údajov o ďalšie významné kľúčové dáta, zaujímavé aj pre analytické jednotky v rámci využívania modulu Konsolidovanej analytickej vrstvy, a tiež pre dotknuté fyzické a právnické osoby v rámci konceptu Mojich údajov.</w:t>
      </w:r>
    </w:p>
    <w:p w14:paraId="101D99ED" w14:textId="77777777" w:rsidR="003F1010" w:rsidRPr="00E93FBA" w:rsidRDefault="003F1010" w:rsidP="000F7927">
      <w:pPr>
        <w:jc w:val="both"/>
        <w:rPr>
          <w:lang w:val="sk-SK"/>
        </w:rPr>
      </w:pPr>
    </w:p>
    <w:p w14:paraId="5BD68294" w14:textId="5C4538A1" w:rsidR="00165942" w:rsidRPr="00E93FBA" w:rsidRDefault="00165942" w:rsidP="000F7927">
      <w:pPr>
        <w:jc w:val="both"/>
        <w:rPr>
          <w:lang w:val="sk-SK"/>
        </w:rPr>
      </w:pPr>
      <w:r w:rsidRPr="00E93FBA">
        <w:rPr>
          <w:lang w:val="sk-SK"/>
        </w:rPr>
        <w:t>K bodu 1</w:t>
      </w:r>
      <w:r w:rsidR="00D4614F" w:rsidRPr="00E93FBA">
        <w:rPr>
          <w:lang w:val="sk-SK"/>
        </w:rPr>
        <w:t>8</w:t>
      </w:r>
      <w:r w:rsidR="00622CF5" w:rsidRPr="00E93FBA">
        <w:rPr>
          <w:lang w:val="sk-SK"/>
        </w:rPr>
        <w:t xml:space="preserve"> </w:t>
      </w:r>
      <w:r w:rsidRPr="00E93FBA">
        <w:rPr>
          <w:lang w:val="sk-SK"/>
        </w:rPr>
        <w:t>(§ 10 ods. 5):</w:t>
      </w:r>
    </w:p>
    <w:p w14:paraId="096475CF" w14:textId="66E6F496" w:rsidR="00165942" w:rsidRPr="00E93FBA" w:rsidRDefault="00165942" w:rsidP="000F7927">
      <w:pPr>
        <w:jc w:val="both"/>
        <w:rPr>
          <w:lang w:val="sk-SK"/>
        </w:rPr>
      </w:pPr>
      <w:r w:rsidRPr="00E93FBA">
        <w:rPr>
          <w:lang w:val="sk-SK"/>
        </w:rPr>
        <w:t>Legislatívno-technická úprava</w:t>
      </w:r>
      <w:r w:rsidR="009E07A5" w:rsidRPr="00E93FBA">
        <w:rPr>
          <w:lang w:val="sk-SK"/>
        </w:rPr>
        <w:t>.</w:t>
      </w:r>
    </w:p>
    <w:p w14:paraId="01325C78" w14:textId="77777777" w:rsidR="00165942" w:rsidRPr="00E93FBA" w:rsidRDefault="00165942" w:rsidP="000F7927">
      <w:pPr>
        <w:jc w:val="both"/>
        <w:rPr>
          <w:lang w:val="sk-SK"/>
        </w:rPr>
      </w:pPr>
    </w:p>
    <w:p w14:paraId="4F1B7A6D" w14:textId="669A6296" w:rsidR="2EBEA3E6" w:rsidRPr="00E93FBA" w:rsidRDefault="2EBEA3E6" w:rsidP="2EBEA3E6">
      <w:pPr>
        <w:jc w:val="both"/>
        <w:rPr>
          <w:lang w:val="sk-SK"/>
        </w:rPr>
      </w:pPr>
      <w:r w:rsidRPr="00E93FBA">
        <w:rPr>
          <w:lang w:val="sk-SK"/>
        </w:rPr>
        <w:t xml:space="preserve">K bodu </w:t>
      </w:r>
      <w:r w:rsidR="00D4614F" w:rsidRPr="00E93FBA">
        <w:rPr>
          <w:lang w:val="sk-SK"/>
        </w:rPr>
        <w:t>19</w:t>
      </w:r>
      <w:r w:rsidRPr="00E93FBA">
        <w:rPr>
          <w:lang w:val="sk-SK"/>
        </w:rPr>
        <w:t xml:space="preserve"> (§ 10 ods. 8):</w:t>
      </w:r>
    </w:p>
    <w:p w14:paraId="4D068B8C" w14:textId="5A508665" w:rsidR="2EBEA3E6" w:rsidRPr="00E93FBA" w:rsidRDefault="2EBEA3E6" w:rsidP="2EBEA3E6">
      <w:pPr>
        <w:jc w:val="both"/>
        <w:rPr>
          <w:lang w:val="sk-SK"/>
        </w:rPr>
      </w:pPr>
      <w:r w:rsidRPr="00E93FBA">
        <w:rPr>
          <w:lang w:val="sk-SK"/>
        </w:rPr>
        <w:t>Navrhuje sa zosúladenie pojmov vo vzťahu k životnému cyklu elektronických formulárov z pohľadu štandardov podľa vyhlášky č. 78/2020 Z. z. o štandardoch pre informačné technológie verejnej správy</w:t>
      </w:r>
      <w:r w:rsidR="00D079B6">
        <w:rPr>
          <w:lang w:val="sk-SK"/>
        </w:rPr>
        <w:t xml:space="preserve"> v znení vyhlášky č. 546/2021 Z. z</w:t>
      </w:r>
      <w:r w:rsidRPr="00E93FBA">
        <w:rPr>
          <w:lang w:val="sk-SK"/>
        </w:rPr>
        <w:t>. Zároveň ide o zjednodušenie textácie ustanovenia, pri zachovaní jeho vecného obsahu.</w:t>
      </w:r>
    </w:p>
    <w:p w14:paraId="00500222" w14:textId="4D49DF69" w:rsidR="2EBEA3E6" w:rsidRPr="00E93FBA" w:rsidRDefault="2EBEA3E6" w:rsidP="2EBEA3E6">
      <w:pPr>
        <w:jc w:val="both"/>
        <w:rPr>
          <w:lang w:val="sk-SK"/>
        </w:rPr>
      </w:pPr>
    </w:p>
    <w:p w14:paraId="27B23787" w14:textId="6E47E058" w:rsidR="00CD3A13" w:rsidRPr="00E93FBA" w:rsidRDefault="00F12633" w:rsidP="00CD3A13">
      <w:pPr>
        <w:rPr>
          <w:lang w:val="sk-SK"/>
        </w:rPr>
      </w:pPr>
      <w:r w:rsidRPr="00E93FBA">
        <w:rPr>
          <w:lang w:val="sk-SK"/>
        </w:rPr>
        <w:t>K</w:t>
      </w:r>
      <w:r w:rsidR="00C251CC" w:rsidRPr="00E93FBA">
        <w:rPr>
          <w:lang w:val="sk-SK"/>
        </w:rPr>
        <w:t> </w:t>
      </w:r>
      <w:r w:rsidRPr="00E93FBA">
        <w:rPr>
          <w:lang w:val="sk-SK"/>
        </w:rPr>
        <w:t xml:space="preserve">bodu </w:t>
      </w:r>
      <w:r w:rsidR="00D4614F" w:rsidRPr="00E93FBA">
        <w:rPr>
          <w:lang w:val="sk-SK"/>
        </w:rPr>
        <w:t xml:space="preserve">20 </w:t>
      </w:r>
      <w:r w:rsidR="00CD3A13" w:rsidRPr="00E93FBA">
        <w:rPr>
          <w:lang w:val="sk-SK"/>
        </w:rPr>
        <w:t>(§ 10a):</w:t>
      </w:r>
    </w:p>
    <w:p w14:paraId="079EDC46" w14:textId="56244550" w:rsidR="00CD3A13" w:rsidRPr="00E93FBA" w:rsidRDefault="00CD3A13" w:rsidP="00CD3A13">
      <w:pPr>
        <w:jc w:val="both"/>
        <w:rPr>
          <w:lang w:val="sk-SK"/>
        </w:rPr>
      </w:pPr>
      <w:r w:rsidRPr="00E93FBA">
        <w:rPr>
          <w:lang w:val="sk-SK"/>
        </w:rPr>
        <w:t>Právna úprava vládneho cloudu z</w:t>
      </w:r>
      <w:r w:rsidR="00C251CC" w:rsidRPr="00E93FBA">
        <w:rPr>
          <w:lang w:val="sk-SK"/>
        </w:rPr>
        <w:t> </w:t>
      </w:r>
      <w:r w:rsidRPr="00E93FBA">
        <w:rPr>
          <w:lang w:val="sk-SK"/>
        </w:rPr>
        <w:t>hľadiska svojho obsahu a</w:t>
      </w:r>
      <w:r w:rsidR="00C251CC" w:rsidRPr="00E93FBA">
        <w:rPr>
          <w:lang w:val="sk-SK"/>
        </w:rPr>
        <w:t> </w:t>
      </w:r>
      <w:r w:rsidRPr="00E93FBA">
        <w:rPr>
          <w:lang w:val="sk-SK"/>
        </w:rPr>
        <w:t>účelu súvisí so správou informačných technológií verejnej správy a</w:t>
      </w:r>
      <w:r w:rsidR="00C251CC" w:rsidRPr="00E93FBA">
        <w:rPr>
          <w:lang w:val="sk-SK"/>
        </w:rPr>
        <w:t> </w:t>
      </w:r>
      <w:r w:rsidRPr="00E93FBA">
        <w:rPr>
          <w:lang w:val="sk-SK"/>
        </w:rPr>
        <w:t>s</w:t>
      </w:r>
      <w:r w:rsidR="00C251CC" w:rsidRPr="00E93FBA">
        <w:rPr>
          <w:lang w:val="sk-SK"/>
        </w:rPr>
        <w:t> </w:t>
      </w:r>
      <w:r w:rsidRPr="00E93FBA">
        <w:rPr>
          <w:lang w:val="sk-SK"/>
        </w:rPr>
        <w:t>povinnosťami orgánov riadenia a</w:t>
      </w:r>
      <w:r w:rsidR="00C251CC" w:rsidRPr="00E93FBA">
        <w:rPr>
          <w:lang w:val="sk-SK"/>
        </w:rPr>
        <w:t> </w:t>
      </w:r>
      <w:r w:rsidRPr="00E93FBA">
        <w:rPr>
          <w:lang w:val="sk-SK"/>
        </w:rPr>
        <w:t>orgánu vedenia (</w:t>
      </w:r>
      <w:r w:rsidR="00D079B6">
        <w:rPr>
          <w:rStyle w:val="Zstupntext"/>
          <w:color w:val="000000"/>
          <w:lang w:val="sk-SK"/>
        </w:rPr>
        <w:t>ministerstvo investícií</w:t>
      </w:r>
      <w:r w:rsidRPr="00E93FBA">
        <w:rPr>
          <w:lang w:val="sk-SK"/>
        </w:rPr>
        <w:t>), preto sa navrhuje jej presun do zákona č. 95/2019 Z. z. o</w:t>
      </w:r>
      <w:r w:rsidR="00C251CC" w:rsidRPr="00E93FBA">
        <w:rPr>
          <w:lang w:val="sk-SK"/>
        </w:rPr>
        <w:t> </w:t>
      </w:r>
      <w:r w:rsidRPr="00E93FBA">
        <w:rPr>
          <w:lang w:val="sk-SK"/>
        </w:rPr>
        <w:t>informačných technológiách verejnej správy</w:t>
      </w:r>
      <w:r w:rsidR="00EE518C" w:rsidRPr="00E93FBA">
        <w:rPr>
          <w:bCs/>
          <w:lang w:val="sk-SK"/>
        </w:rPr>
        <w:t xml:space="preserve"> a o zmene a doplnení niektorých zákonov v znení neskorších predpisov</w:t>
      </w:r>
      <w:r w:rsidRPr="00E93FBA">
        <w:rPr>
          <w:bCs/>
          <w:lang w:val="sk-SK"/>
        </w:rPr>
        <w:t>.</w:t>
      </w:r>
      <w:r w:rsidRPr="00E93FBA">
        <w:rPr>
          <w:lang w:val="sk-SK"/>
        </w:rPr>
        <w:t xml:space="preserve"> Nakoľko tento zákon upravuje okrem všeobecných štandardov informačných technológií verejnej správy, ako aj štandardy cloud computingu a</w:t>
      </w:r>
      <w:r w:rsidR="00C251CC" w:rsidRPr="00E93FBA">
        <w:rPr>
          <w:lang w:val="sk-SK"/>
        </w:rPr>
        <w:t> </w:t>
      </w:r>
      <w:r w:rsidRPr="00E93FBA">
        <w:rPr>
          <w:lang w:val="sk-SK"/>
        </w:rPr>
        <w:t>využívania cloudových služieb, právna úprava pravidiel využívania vládnych cloudových služieb a</w:t>
      </w:r>
      <w:r w:rsidR="00C251CC" w:rsidRPr="00E93FBA">
        <w:rPr>
          <w:lang w:val="sk-SK"/>
        </w:rPr>
        <w:t> </w:t>
      </w:r>
      <w:r w:rsidRPr="00E93FBA">
        <w:rPr>
          <w:lang w:val="sk-SK"/>
        </w:rPr>
        <w:t>vedenia evidencie vládnych cloudových služieb je vhodnejšia v</w:t>
      </w:r>
      <w:r w:rsidR="00C251CC" w:rsidRPr="00E93FBA">
        <w:rPr>
          <w:lang w:val="sk-SK"/>
        </w:rPr>
        <w:t> </w:t>
      </w:r>
      <w:r w:rsidRPr="00E93FBA">
        <w:rPr>
          <w:lang w:val="sk-SK"/>
        </w:rPr>
        <w:t xml:space="preserve">rámci legislatívy informačných technológií verejnej správy. </w:t>
      </w:r>
    </w:p>
    <w:p w14:paraId="57A61BCD" w14:textId="7AD56420" w:rsidR="00CD3A13" w:rsidRPr="00E93FBA" w:rsidRDefault="00CD3A13" w:rsidP="00CD3A13">
      <w:pPr>
        <w:rPr>
          <w:lang w:val="sk-SK"/>
        </w:rPr>
      </w:pPr>
    </w:p>
    <w:p w14:paraId="676F0F1E" w14:textId="224D4E7C" w:rsidR="00CD3A13" w:rsidRPr="00E93FBA" w:rsidRDefault="00F12633" w:rsidP="00CD3A13">
      <w:pPr>
        <w:rPr>
          <w:lang w:val="sk-SK"/>
        </w:rPr>
      </w:pPr>
      <w:r w:rsidRPr="00E93FBA">
        <w:rPr>
          <w:lang w:val="sk-SK"/>
        </w:rPr>
        <w:t>K</w:t>
      </w:r>
      <w:r w:rsidR="00C251CC" w:rsidRPr="00E93FBA">
        <w:rPr>
          <w:lang w:val="sk-SK"/>
        </w:rPr>
        <w:t> </w:t>
      </w:r>
      <w:r w:rsidRPr="00E93FBA">
        <w:rPr>
          <w:lang w:val="sk-SK"/>
        </w:rPr>
        <w:t xml:space="preserve">bodu </w:t>
      </w:r>
      <w:r w:rsidR="00D4614F" w:rsidRPr="00E93FBA">
        <w:rPr>
          <w:lang w:val="sk-SK"/>
        </w:rPr>
        <w:t xml:space="preserve">21 </w:t>
      </w:r>
      <w:r w:rsidR="00CD3A13" w:rsidRPr="00E93FBA">
        <w:rPr>
          <w:lang w:val="sk-SK"/>
        </w:rPr>
        <w:t xml:space="preserve">(§ 11 ods. 1): </w:t>
      </w:r>
    </w:p>
    <w:p w14:paraId="5DA934D6" w14:textId="078BEE56" w:rsidR="000D5C6D" w:rsidRPr="00E93FBA" w:rsidRDefault="00091541" w:rsidP="005B2864">
      <w:pPr>
        <w:jc w:val="both"/>
        <w:rPr>
          <w:lang w:val="sk-SK"/>
        </w:rPr>
      </w:pPr>
      <w:r w:rsidRPr="00E93FBA">
        <w:rPr>
          <w:lang w:val="sk-SK"/>
        </w:rPr>
        <w:t>Legislatívno-</w:t>
      </w:r>
      <w:r w:rsidR="00CD3A13" w:rsidRPr="00E93FBA">
        <w:rPr>
          <w:lang w:val="sk-SK"/>
        </w:rPr>
        <w:t xml:space="preserve">technická úprava spresňujúca rozsah </w:t>
      </w:r>
      <w:r w:rsidR="00CA4BE7" w:rsidRPr="00E93FBA">
        <w:rPr>
          <w:lang w:val="sk-SK"/>
        </w:rPr>
        <w:t>právnych postavení</w:t>
      </w:r>
      <w:r w:rsidR="00CD3A13" w:rsidRPr="00E93FBA">
        <w:rPr>
          <w:lang w:val="sk-SK"/>
        </w:rPr>
        <w:t xml:space="preserve">, </w:t>
      </w:r>
      <w:r w:rsidR="00CA4BE7" w:rsidRPr="00E93FBA">
        <w:rPr>
          <w:lang w:val="sk-SK"/>
        </w:rPr>
        <w:t>v</w:t>
      </w:r>
      <w:r w:rsidR="00C251CC" w:rsidRPr="00E93FBA">
        <w:rPr>
          <w:lang w:val="sk-SK"/>
        </w:rPr>
        <w:t> </w:t>
      </w:r>
      <w:r w:rsidR="00CA4BE7" w:rsidRPr="00E93FBA">
        <w:rPr>
          <w:lang w:val="sk-SK"/>
        </w:rPr>
        <w:t xml:space="preserve">ktorých je subjektu </w:t>
      </w:r>
      <w:r w:rsidR="00CD3A13" w:rsidRPr="00E93FBA">
        <w:rPr>
          <w:lang w:val="sk-SK"/>
        </w:rPr>
        <w:t>možné zriadiť elektronickú schránku.</w:t>
      </w:r>
    </w:p>
    <w:p w14:paraId="47FBE657" w14:textId="5EE09561" w:rsidR="00CD3A13" w:rsidRPr="00E93FBA" w:rsidRDefault="00CD3A13" w:rsidP="005B2864">
      <w:pPr>
        <w:jc w:val="both"/>
        <w:rPr>
          <w:lang w:val="sk-SK"/>
        </w:rPr>
      </w:pPr>
    </w:p>
    <w:p w14:paraId="42D94136" w14:textId="1D1C14FE" w:rsidR="001046A2" w:rsidRPr="00E93FBA" w:rsidRDefault="001046A2" w:rsidP="005B2864">
      <w:pPr>
        <w:jc w:val="both"/>
        <w:rPr>
          <w:lang w:val="sk-SK"/>
        </w:rPr>
      </w:pPr>
      <w:r w:rsidRPr="00E93FBA">
        <w:rPr>
          <w:lang w:val="sk-SK"/>
        </w:rPr>
        <w:t xml:space="preserve">K bodu </w:t>
      </w:r>
      <w:r w:rsidR="00D4614F" w:rsidRPr="00E93FBA">
        <w:rPr>
          <w:lang w:val="sk-SK"/>
        </w:rPr>
        <w:t xml:space="preserve">22 </w:t>
      </w:r>
      <w:r w:rsidR="00CF5013" w:rsidRPr="00E93FBA">
        <w:rPr>
          <w:lang w:val="sk-SK"/>
        </w:rPr>
        <w:t>[</w:t>
      </w:r>
      <w:r w:rsidRPr="00E93FBA">
        <w:rPr>
          <w:lang w:val="sk-SK"/>
        </w:rPr>
        <w:t>§ 11 ods. 3</w:t>
      </w:r>
      <w:r w:rsidR="00CF5013" w:rsidRPr="00E93FBA">
        <w:rPr>
          <w:lang w:val="sk-SK"/>
        </w:rPr>
        <w:t xml:space="preserve"> písm. c)]:</w:t>
      </w:r>
    </w:p>
    <w:p w14:paraId="2D3FD313" w14:textId="1E85B233" w:rsidR="001046A2" w:rsidRPr="00E93FBA" w:rsidRDefault="001046A2" w:rsidP="005B2864">
      <w:pPr>
        <w:jc w:val="both"/>
        <w:rPr>
          <w:lang w:val="sk-SK"/>
        </w:rPr>
      </w:pPr>
      <w:r w:rsidRPr="00E93FBA">
        <w:rPr>
          <w:lang w:val="sk-SK"/>
        </w:rPr>
        <w:lastRenderedPageBreak/>
        <w:t>Legislatívno-technická úprava súvisiaca s vypustením inštitútu IOM.</w:t>
      </w:r>
    </w:p>
    <w:p w14:paraId="188E5060" w14:textId="77777777" w:rsidR="001046A2" w:rsidRPr="00E93FBA" w:rsidRDefault="001046A2" w:rsidP="005B2864">
      <w:pPr>
        <w:jc w:val="both"/>
        <w:rPr>
          <w:lang w:val="sk-SK"/>
        </w:rPr>
      </w:pPr>
    </w:p>
    <w:p w14:paraId="68CF904A" w14:textId="595E263E" w:rsidR="00CD3A13" w:rsidRPr="00E93FBA" w:rsidRDefault="00CD3A13" w:rsidP="005B2864">
      <w:pPr>
        <w:jc w:val="both"/>
        <w:rPr>
          <w:lang w:val="sk-SK"/>
        </w:rPr>
      </w:pPr>
      <w:r w:rsidRPr="00E93FBA">
        <w:rPr>
          <w:lang w:val="sk-SK"/>
        </w:rPr>
        <w:t>K</w:t>
      </w:r>
      <w:r w:rsidR="00C251CC" w:rsidRPr="00E93FBA">
        <w:rPr>
          <w:lang w:val="sk-SK"/>
        </w:rPr>
        <w:t> </w:t>
      </w:r>
      <w:r w:rsidR="00F12633" w:rsidRPr="00E93FBA">
        <w:rPr>
          <w:lang w:val="sk-SK"/>
        </w:rPr>
        <w:t xml:space="preserve">bodu </w:t>
      </w:r>
      <w:r w:rsidR="00D4614F" w:rsidRPr="00E93FBA">
        <w:rPr>
          <w:lang w:val="sk-SK"/>
        </w:rPr>
        <w:t xml:space="preserve">23 </w:t>
      </w:r>
      <w:r w:rsidRPr="00E93FBA">
        <w:rPr>
          <w:lang w:val="sk-SK"/>
        </w:rPr>
        <w:t>(§ 12 ods. 2):</w:t>
      </w:r>
    </w:p>
    <w:p w14:paraId="7FB30438" w14:textId="25C22956" w:rsidR="00CD3A13" w:rsidRPr="00E93FBA" w:rsidRDefault="00CD3A13" w:rsidP="00CD3A13">
      <w:pPr>
        <w:jc w:val="both"/>
        <w:rPr>
          <w:lang w:val="sk-SK"/>
        </w:rPr>
      </w:pPr>
      <w:r w:rsidRPr="00E93FBA">
        <w:rPr>
          <w:lang w:val="sk-SK"/>
        </w:rPr>
        <w:t xml:space="preserve">Podľa aktuálnej právnej úpravy je </w:t>
      </w:r>
      <w:r w:rsidR="00C74412">
        <w:rPr>
          <w:lang w:val="sk-SK"/>
        </w:rPr>
        <w:t>orgánu verejnej moci (ďalej len „</w:t>
      </w:r>
      <w:r w:rsidR="00A74F1F" w:rsidRPr="00E93FBA">
        <w:rPr>
          <w:lang w:val="sk-SK"/>
        </w:rPr>
        <w:t>OVM</w:t>
      </w:r>
      <w:r w:rsidR="00C74412">
        <w:rPr>
          <w:lang w:val="sk-SK"/>
        </w:rPr>
        <w:t>“)</w:t>
      </w:r>
      <w:r w:rsidRPr="00E93FBA">
        <w:rPr>
          <w:lang w:val="sk-SK"/>
        </w:rPr>
        <w:t xml:space="preserve"> zriaďovaná elektronická schránka pre každé jeho právne postavenie. To znamená, že okrem schránky v</w:t>
      </w:r>
      <w:r w:rsidR="00C251CC" w:rsidRPr="00E93FBA">
        <w:rPr>
          <w:lang w:val="sk-SK"/>
        </w:rPr>
        <w:t> </w:t>
      </w:r>
      <w:r w:rsidRPr="00E93FBA">
        <w:rPr>
          <w:lang w:val="sk-SK"/>
        </w:rPr>
        <w:t xml:space="preserve">postavení </w:t>
      </w:r>
      <w:r w:rsidR="00A74F1F" w:rsidRPr="00E93FBA">
        <w:rPr>
          <w:lang w:val="sk-SK"/>
        </w:rPr>
        <w:t>OVM</w:t>
      </w:r>
      <w:r w:rsidRPr="00E93FBA">
        <w:rPr>
          <w:lang w:val="sk-SK"/>
        </w:rPr>
        <w:t xml:space="preserve"> by mal mať zároveň zriadenú a</w:t>
      </w:r>
      <w:r w:rsidR="00C251CC" w:rsidRPr="00E93FBA">
        <w:rPr>
          <w:lang w:val="sk-SK"/>
        </w:rPr>
        <w:t> </w:t>
      </w:r>
      <w:r w:rsidRPr="00E93FBA">
        <w:rPr>
          <w:lang w:val="sk-SK"/>
        </w:rPr>
        <w:t>aktivovanú elektronickú schránku v</w:t>
      </w:r>
      <w:r w:rsidR="00C251CC" w:rsidRPr="00E93FBA">
        <w:rPr>
          <w:lang w:val="sk-SK"/>
        </w:rPr>
        <w:t> </w:t>
      </w:r>
      <w:r w:rsidRPr="00E93FBA">
        <w:rPr>
          <w:lang w:val="sk-SK"/>
        </w:rPr>
        <w:t>postavení právnickej osoby, fyzickej osoby – podnikateľa alebo zapísanej organizačnej zložky</w:t>
      </w:r>
      <w:r w:rsidR="00A74F1F" w:rsidRPr="00E93FBA">
        <w:rPr>
          <w:lang w:val="sk-SK"/>
        </w:rPr>
        <w:t>, ak je aj v</w:t>
      </w:r>
      <w:r w:rsidR="00C251CC" w:rsidRPr="00E93FBA">
        <w:rPr>
          <w:lang w:val="sk-SK"/>
        </w:rPr>
        <w:t> </w:t>
      </w:r>
      <w:r w:rsidR="00A74F1F" w:rsidRPr="00E93FBA">
        <w:rPr>
          <w:lang w:val="sk-SK"/>
        </w:rPr>
        <w:t>takom postavení</w:t>
      </w:r>
      <w:r w:rsidRPr="00E93FBA">
        <w:rPr>
          <w:lang w:val="sk-SK"/>
        </w:rPr>
        <w:t xml:space="preserve"> a</w:t>
      </w:r>
      <w:r w:rsidR="00C251CC" w:rsidRPr="00E93FBA">
        <w:rPr>
          <w:lang w:val="sk-SK"/>
        </w:rPr>
        <w:t> </w:t>
      </w:r>
      <w:r w:rsidRPr="00E93FBA">
        <w:rPr>
          <w:lang w:val="sk-SK"/>
        </w:rPr>
        <w:t>odosielateľ elektronickej správy si mohol pri doručovaní vybrať z</w:t>
      </w:r>
      <w:r w:rsidR="00C251CC" w:rsidRPr="00E93FBA">
        <w:rPr>
          <w:lang w:val="sk-SK"/>
        </w:rPr>
        <w:t> </w:t>
      </w:r>
      <w:r w:rsidRPr="00E93FBA">
        <w:rPr>
          <w:lang w:val="sk-SK"/>
        </w:rPr>
        <w:t>viacerých schránok patriacich tomu istému subjektu, t.</w:t>
      </w:r>
      <w:r w:rsidR="00651147" w:rsidRPr="00E93FBA">
        <w:rPr>
          <w:lang w:val="sk-SK"/>
        </w:rPr>
        <w:t xml:space="preserve"> </w:t>
      </w:r>
      <w:r w:rsidRPr="00E93FBA">
        <w:rPr>
          <w:lang w:val="sk-SK"/>
        </w:rPr>
        <w:t>j. podľa toho, či oslovuje subjekt v</w:t>
      </w:r>
      <w:r w:rsidR="00C251CC" w:rsidRPr="00E93FBA">
        <w:rPr>
          <w:lang w:val="sk-SK"/>
        </w:rPr>
        <w:t> </w:t>
      </w:r>
      <w:r w:rsidRPr="00E93FBA">
        <w:rPr>
          <w:lang w:val="sk-SK"/>
        </w:rPr>
        <w:t xml:space="preserve">postavení </w:t>
      </w:r>
      <w:r w:rsidR="00A74F1F" w:rsidRPr="00E93FBA">
        <w:rPr>
          <w:lang w:val="sk-SK"/>
        </w:rPr>
        <w:t>OVM</w:t>
      </w:r>
      <w:r w:rsidRPr="00E93FBA">
        <w:rPr>
          <w:lang w:val="sk-SK"/>
        </w:rPr>
        <w:t xml:space="preserve"> alebo v</w:t>
      </w:r>
      <w:r w:rsidR="00C251CC" w:rsidRPr="00E93FBA">
        <w:rPr>
          <w:lang w:val="sk-SK"/>
        </w:rPr>
        <w:t> </w:t>
      </w:r>
      <w:r w:rsidRPr="00E93FBA">
        <w:rPr>
          <w:lang w:val="sk-SK"/>
        </w:rPr>
        <w:t>postavení inom (napr. OVM ako zamestnávateľ v</w:t>
      </w:r>
      <w:r w:rsidR="00C251CC" w:rsidRPr="00E93FBA">
        <w:rPr>
          <w:lang w:val="sk-SK"/>
        </w:rPr>
        <w:t> </w:t>
      </w:r>
      <w:r w:rsidRPr="00E93FBA">
        <w:rPr>
          <w:lang w:val="sk-SK"/>
        </w:rPr>
        <w:t>pracovnoprávnych vzťahoch a</w:t>
      </w:r>
      <w:r w:rsidR="00C251CC" w:rsidRPr="00E93FBA">
        <w:rPr>
          <w:lang w:val="sk-SK"/>
        </w:rPr>
        <w:t> </w:t>
      </w:r>
      <w:r w:rsidRPr="00E93FBA">
        <w:rPr>
          <w:lang w:val="sk-SK"/>
        </w:rPr>
        <w:t xml:space="preserve">poisteneckých vzťahoch pri komunikácii so Sociálnou poisťovňou alebo zdravotnými poisťovňami). </w:t>
      </w:r>
      <w:r w:rsidR="00A74F1F" w:rsidRPr="00E93FBA">
        <w:rPr>
          <w:lang w:val="sk-SK"/>
        </w:rPr>
        <w:t>OVM</w:t>
      </w:r>
      <w:r w:rsidR="00651147" w:rsidRPr="00E93FBA">
        <w:rPr>
          <w:lang w:val="sk-SK"/>
        </w:rPr>
        <w:t xml:space="preserve"> </w:t>
      </w:r>
      <w:r w:rsidRPr="00E93FBA">
        <w:rPr>
          <w:lang w:val="sk-SK"/>
        </w:rPr>
        <w:t>dnes musí spravovať elektronické správy v</w:t>
      </w:r>
      <w:r w:rsidR="00C251CC" w:rsidRPr="00E93FBA">
        <w:rPr>
          <w:lang w:val="sk-SK"/>
        </w:rPr>
        <w:t> </w:t>
      </w:r>
      <w:r w:rsidRPr="00E93FBA">
        <w:rPr>
          <w:lang w:val="sk-SK"/>
        </w:rPr>
        <w:t>dvoch rôznych schránkach, pričom vytváranie doručenky sa riadi odlišnými pravidlami, v</w:t>
      </w:r>
      <w:r w:rsidR="00C251CC" w:rsidRPr="00E93FBA">
        <w:rPr>
          <w:lang w:val="sk-SK"/>
        </w:rPr>
        <w:t> </w:t>
      </w:r>
      <w:r w:rsidRPr="00E93FBA">
        <w:rPr>
          <w:lang w:val="sk-SK"/>
        </w:rPr>
        <w:t xml:space="preserve">závislosti od typu schránky. </w:t>
      </w:r>
    </w:p>
    <w:p w14:paraId="11B5D387" w14:textId="3D453B2D" w:rsidR="00CD3A13" w:rsidRPr="00E93FBA" w:rsidRDefault="00CD3A13" w:rsidP="00CD3A13">
      <w:pPr>
        <w:jc w:val="both"/>
        <w:rPr>
          <w:lang w:val="sk-SK"/>
        </w:rPr>
      </w:pPr>
      <w:r w:rsidRPr="00E93FBA">
        <w:rPr>
          <w:lang w:val="sk-SK"/>
        </w:rPr>
        <w:t>Nakoľko mnohé OVM považujú toto riešenie za zložité, neefektívne a</w:t>
      </w:r>
      <w:r w:rsidR="00C251CC" w:rsidRPr="00E93FBA">
        <w:rPr>
          <w:lang w:val="sk-SK"/>
        </w:rPr>
        <w:t> </w:t>
      </w:r>
      <w:r w:rsidR="006742EA" w:rsidRPr="00E93FBA">
        <w:rPr>
          <w:lang w:val="sk-SK"/>
        </w:rPr>
        <w:t>časovo náročné, navrhuje</w:t>
      </w:r>
      <w:r w:rsidR="00346A17" w:rsidRPr="00E93FBA">
        <w:rPr>
          <w:lang w:val="sk-SK"/>
        </w:rPr>
        <w:t xml:space="preserve"> sa</w:t>
      </w:r>
      <w:r w:rsidRPr="00E93FBA">
        <w:rPr>
          <w:lang w:val="sk-SK"/>
        </w:rPr>
        <w:t xml:space="preserve"> zmen</w:t>
      </w:r>
      <w:r w:rsidR="00346A17" w:rsidRPr="00E93FBA">
        <w:rPr>
          <w:lang w:val="sk-SK"/>
        </w:rPr>
        <w:t>a</w:t>
      </w:r>
      <w:r w:rsidRPr="00E93FBA">
        <w:rPr>
          <w:lang w:val="sk-SK"/>
        </w:rPr>
        <w:t xml:space="preserve"> v</w:t>
      </w:r>
      <w:r w:rsidR="00C251CC" w:rsidRPr="00E93FBA">
        <w:rPr>
          <w:lang w:val="sk-SK"/>
        </w:rPr>
        <w:t> </w:t>
      </w:r>
      <w:r w:rsidRPr="00E93FBA">
        <w:rPr>
          <w:lang w:val="sk-SK"/>
        </w:rPr>
        <w:t>prístupe pri zriaďovaní schránok subjektom, ktoré sú OVM a</w:t>
      </w:r>
      <w:r w:rsidR="00C251CC" w:rsidRPr="00E93FBA">
        <w:rPr>
          <w:lang w:val="sk-SK"/>
        </w:rPr>
        <w:t> </w:t>
      </w:r>
      <w:r w:rsidRPr="00E93FBA">
        <w:rPr>
          <w:lang w:val="sk-SK"/>
        </w:rPr>
        <w:t>zároveň osobou v</w:t>
      </w:r>
      <w:r w:rsidR="00C251CC" w:rsidRPr="00E93FBA">
        <w:rPr>
          <w:lang w:val="sk-SK"/>
        </w:rPr>
        <w:t> </w:t>
      </w:r>
      <w:r w:rsidRPr="00E93FBA">
        <w:rPr>
          <w:lang w:val="sk-SK"/>
        </w:rPr>
        <w:t>inom právnom postavení. Existujúce schránky OVM zriadené pre tento orgán pre jeho iné právne postavenie budú deaktivované z</w:t>
      </w:r>
      <w:r w:rsidR="00C251CC" w:rsidRPr="00E93FBA">
        <w:rPr>
          <w:lang w:val="sk-SK"/>
        </w:rPr>
        <w:t> </w:t>
      </w:r>
      <w:r w:rsidRPr="00E93FBA">
        <w:rPr>
          <w:lang w:val="sk-SK"/>
        </w:rPr>
        <w:t xml:space="preserve">dôvodu zrušenia ku konkrétnemu dátumu. Táto úprava sa dotkne OVM, ktoré sú zároveň fyzickou osobou </w:t>
      </w:r>
      <w:r w:rsidR="0093426C" w:rsidRPr="00E93FBA">
        <w:rPr>
          <w:lang w:val="sk-SK"/>
        </w:rPr>
        <w:t xml:space="preserve">- </w:t>
      </w:r>
      <w:r w:rsidRPr="00E93FBA">
        <w:rPr>
          <w:lang w:val="sk-SK"/>
        </w:rPr>
        <w:t>podnikateľom, právnickou osobou, prípadne zapísanou organizačnou zložkou bez ohľadu na rozsah činností, ktoré vykonáva v</w:t>
      </w:r>
      <w:r w:rsidR="00C251CC" w:rsidRPr="00E93FBA">
        <w:rPr>
          <w:lang w:val="sk-SK"/>
        </w:rPr>
        <w:t> </w:t>
      </w:r>
      <w:r w:rsidRPr="00E93FBA">
        <w:rPr>
          <w:lang w:val="sk-SK"/>
        </w:rPr>
        <w:t>postavení OVM. Zmena sa nebude týkať elektronickej schránky OVM zriadenej pre jeho právne postavenie fyzickej osoby (napr. notár, exekútor</w:t>
      </w:r>
      <w:r w:rsidR="00651147" w:rsidRPr="00E93FBA">
        <w:rPr>
          <w:lang w:val="sk-SK"/>
        </w:rPr>
        <w:t>)</w:t>
      </w:r>
      <w:r w:rsidRPr="00E93FBA">
        <w:rPr>
          <w:lang w:val="sk-SK"/>
        </w:rPr>
        <w:t>.</w:t>
      </w:r>
    </w:p>
    <w:p w14:paraId="0780AD33" w14:textId="5F6C4261" w:rsidR="00CD3A13" w:rsidRPr="00E93FBA" w:rsidRDefault="00CD3A13" w:rsidP="00CD3A13">
      <w:pPr>
        <w:jc w:val="both"/>
        <w:rPr>
          <w:lang w:val="sk-SK"/>
        </w:rPr>
      </w:pPr>
      <w:r w:rsidRPr="00E93FBA">
        <w:rPr>
          <w:lang w:val="sk-SK"/>
        </w:rPr>
        <w:t>K</w:t>
      </w:r>
      <w:r w:rsidR="00C251CC" w:rsidRPr="00E93FBA">
        <w:rPr>
          <w:lang w:val="sk-SK"/>
        </w:rPr>
        <w:t> </w:t>
      </w:r>
      <w:r w:rsidRPr="00E93FBA">
        <w:rPr>
          <w:lang w:val="sk-SK"/>
        </w:rPr>
        <w:t>deaktivácii elektronických schránok z</w:t>
      </w:r>
      <w:r w:rsidR="00C251CC" w:rsidRPr="00E93FBA">
        <w:rPr>
          <w:lang w:val="sk-SK"/>
        </w:rPr>
        <w:t> </w:t>
      </w:r>
      <w:r w:rsidRPr="00E93FBA">
        <w:rPr>
          <w:lang w:val="sk-SK"/>
        </w:rPr>
        <w:t>dôvodu zrušenia dôjde</w:t>
      </w:r>
      <w:r w:rsidR="00E80370">
        <w:rPr>
          <w:lang w:val="sk-SK"/>
        </w:rPr>
        <w:t xml:space="preserve"> najneskôr</w:t>
      </w:r>
      <w:r w:rsidRPr="00E93FBA">
        <w:rPr>
          <w:lang w:val="sk-SK"/>
        </w:rPr>
        <w:t xml:space="preserve"> 3</w:t>
      </w:r>
      <w:r w:rsidR="00E66822">
        <w:rPr>
          <w:lang w:val="sk-SK"/>
        </w:rPr>
        <w:t>0. septembra</w:t>
      </w:r>
      <w:r w:rsidR="00CF5013" w:rsidRPr="00E93FBA">
        <w:rPr>
          <w:lang w:val="sk-SK"/>
        </w:rPr>
        <w:t xml:space="preserve"> </w:t>
      </w:r>
      <w:r w:rsidRPr="00E93FBA">
        <w:rPr>
          <w:lang w:val="sk-SK"/>
        </w:rPr>
        <w:t>2023, pričom sa navrhuje počas tejto doby ponechať možnosť doručené uložené elektronické správy preposielať, odpovedať na ne alebo ich ukladať na vlastných zariadeniach. Po tomto dátume bude majiteľovi schránky ponechaný prístup do elektronickej schránky, s</w:t>
      </w:r>
      <w:r w:rsidR="00C251CC" w:rsidRPr="00E93FBA">
        <w:rPr>
          <w:lang w:val="sk-SK"/>
        </w:rPr>
        <w:t> </w:t>
      </w:r>
      <w:r w:rsidRPr="00E93FBA">
        <w:rPr>
          <w:lang w:val="sk-SK"/>
        </w:rPr>
        <w:t>obmedzenými oprávneniami, a</w:t>
      </w:r>
      <w:r w:rsidR="00C251CC" w:rsidRPr="00E93FBA">
        <w:rPr>
          <w:lang w:val="sk-SK"/>
        </w:rPr>
        <w:t> </w:t>
      </w:r>
      <w:r w:rsidRPr="00E93FBA">
        <w:rPr>
          <w:lang w:val="sk-SK"/>
        </w:rPr>
        <w:t>to do uplynutia troch rokov odo dňa deaktivácie z</w:t>
      </w:r>
      <w:r w:rsidR="00C251CC" w:rsidRPr="00E93FBA">
        <w:rPr>
          <w:lang w:val="sk-SK"/>
        </w:rPr>
        <w:t> </w:t>
      </w:r>
      <w:r w:rsidRPr="00E93FBA">
        <w:rPr>
          <w:lang w:val="sk-SK"/>
        </w:rPr>
        <w:t>dôvodu zrušenia, rovnako ako je to v</w:t>
      </w:r>
      <w:r w:rsidR="00C251CC" w:rsidRPr="00E93FBA">
        <w:rPr>
          <w:lang w:val="sk-SK"/>
        </w:rPr>
        <w:t> </w:t>
      </w:r>
      <w:r w:rsidRPr="00E93FBA">
        <w:rPr>
          <w:lang w:val="sk-SK"/>
        </w:rPr>
        <w:t>prípade zrušenia elektronickej schránky podľa § 15 písm. a) zákona</w:t>
      </w:r>
      <w:r w:rsidR="00846B6F" w:rsidRPr="00E93FBA">
        <w:rPr>
          <w:lang w:val="sk-SK"/>
        </w:rPr>
        <w:t xml:space="preserve"> o e-Governmente</w:t>
      </w:r>
      <w:r w:rsidRPr="00E93FBA">
        <w:rPr>
          <w:lang w:val="sk-SK"/>
        </w:rPr>
        <w:t>.</w:t>
      </w:r>
    </w:p>
    <w:p w14:paraId="6CA188AE" w14:textId="1325D31D" w:rsidR="00CD3A13" w:rsidRPr="00E93FBA" w:rsidRDefault="00CD3A13" w:rsidP="00C22316">
      <w:pPr>
        <w:jc w:val="both"/>
        <w:rPr>
          <w:lang w:val="sk-SK"/>
        </w:rPr>
      </w:pPr>
      <w:r w:rsidRPr="00E93FBA">
        <w:rPr>
          <w:lang w:val="sk-SK"/>
        </w:rPr>
        <w:t>Uvedená zmena nemá dopad na plnenie úloh vyplývajúcich z</w:t>
      </w:r>
      <w:r w:rsidR="00C251CC" w:rsidRPr="00E93FBA">
        <w:rPr>
          <w:lang w:val="sk-SK"/>
        </w:rPr>
        <w:t> </w:t>
      </w:r>
      <w:r w:rsidRPr="00E93FBA">
        <w:rPr>
          <w:lang w:val="sk-SK"/>
        </w:rPr>
        <w:t xml:space="preserve">rozsahu právomocí </w:t>
      </w:r>
      <w:r w:rsidR="002440FF" w:rsidRPr="00E93FBA">
        <w:rPr>
          <w:lang w:val="sk-SK"/>
        </w:rPr>
        <w:t>OVM</w:t>
      </w:r>
      <w:r w:rsidRPr="00E93FBA">
        <w:rPr>
          <w:lang w:val="sk-SK"/>
        </w:rPr>
        <w:t xml:space="preserve"> </w:t>
      </w:r>
      <w:r w:rsidR="00AA272E" w:rsidRPr="00E93FBA">
        <w:rPr>
          <w:lang w:val="sk-SK"/>
        </w:rPr>
        <w:t>podľa</w:t>
      </w:r>
      <w:r w:rsidRPr="00E93FBA">
        <w:rPr>
          <w:lang w:val="sk-SK"/>
        </w:rPr>
        <w:t xml:space="preserve"> osobitných predpisov a</w:t>
      </w:r>
      <w:r w:rsidR="00C251CC" w:rsidRPr="00E93FBA">
        <w:rPr>
          <w:lang w:val="sk-SK"/>
        </w:rPr>
        <w:t> </w:t>
      </w:r>
      <w:r w:rsidRPr="00E93FBA">
        <w:rPr>
          <w:lang w:val="sk-SK"/>
        </w:rPr>
        <w:t xml:space="preserve">nemá dopad na vybavovanie elektronických podaní. </w:t>
      </w:r>
      <w:r w:rsidR="00C22316">
        <w:rPr>
          <w:lang w:val="sk-SK"/>
        </w:rPr>
        <w:t>P</w:t>
      </w:r>
      <w:r w:rsidR="00C22316" w:rsidRPr="00E93FBA">
        <w:rPr>
          <w:lang w:val="sk-SK"/>
        </w:rPr>
        <w:t>ri prijímaní elektronickej úradnej správy do elektronickej schránky OVM</w:t>
      </w:r>
      <w:r w:rsidR="00C22316">
        <w:rPr>
          <w:lang w:val="sk-SK"/>
        </w:rPr>
        <w:t xml:space="preserve"> sa bude doručenka</w:t>
      </w:r>
      <w:r w:rsidR="00C22316" w:rsidRPr="00E93FBA">
        <w:rPr>
          <w:lang w:val="sk-SK"/>
        </w:rPr>
        <w:t xml:space="preserve"> vytvárať bezo zmeny automatizovane tak, ako doteraz</w:t>
      </w:r>
      <w:r w:rsidR="000E0FCD">
        <w:rPr>
          <w:lang w:val="sk-SK"/>
        </w:rPr>
        <w:t>.</w:t>
      </w:r>
      <w:r w:rsidR="00C22316" w:rsidRPr="00E93FBA" w:rsidDel="00C22316">
        <w:rPr>
          <w:lang w:val="sk-SK"/>
        </w:rPr>
        <w:t xml:space="preserve"> </w:t>
      </w:r>
      <w:r w:rsidR="000E0FCD">
        <w:rPr>
          <w:lang w:val="sk-SK"/>
        </w:rPr>
        <w:t>Tento postup je v súlade s uznesením</w:t>
      </w:r>
      <w:r w:rsidR="000E0FCD" w:rsidRPr="00C22316">
        <w:rPr>
          <w:lang w:val="sk-SK"/>
        </w:rPr>
        <w:t xml:space="preserve"> Ústavného súdu Slovenskej republ</w:t>
      </w:r>
      <w:r w:rsidR="000E0FCD">
        <w:rPr>
          <w:lang w:val="sk-SK"/>
        </w:rPr>
        <w:t>iky č. k. IV. ÚS 589/2020 z 18. novembra 2020, podľa ktorého sa „</w:t>
      </w:r>
      <w:r w:rsidR="000E0FCD" w:rsidRPr="00336DB2">
        <w:rPr>
          <w:i/>
          <w:lang w:val="sk-SK"/>
        </w:rPr>
        <w:t>pri elektronickom doručovaní písomností neberie do úvahy povaha predmetu konania v tom zmysle, či orgán verejnej moci uplatňoval v posudzovanom právnom vzťahu svoje vrchnostenské oprávnenie, teda či je v pozícii subjektu verejnoprávneho alebo súkromnoprávneho vzťahu</w:t>
      </w:r>
      <w:r w:rsidR="000E0FCD">
        <w:rPr>
          <w:lang w:val="sk-SK"/>
        </w:rPr>
        <w:t xml:space="preserve">“. </w:t>
      </w:r>
      <w:r w:rsidRPr="00E93FBA">
        <w:rPr>
          <w:lang w:val="sk-SK"/>
        </w:rPr>
        <w:t xml:space="preserve"> </w:t>
      </w:r>
      <w:r w:rsidR="00C22316">
        <w:rPr>
          <w:lang w:val="sk-SK"/>
        </w:rPr>
        <w:t>.</w:t>
      </w:r>
    </w:p>
    <w:p w14:paraId="65F736DE" w14:textId="6D850227" w:rsidR="00CD3A13" w:rsidRPr="00E93FBA" w:rsidRDefault="00CD3A13" w:rsidP="00CD3A13">
      <w:pPr>
        <w:jc w:val="both"/>
        <w:rPr>
          <w:lang w:val="sk-SK"/>
        </w:rPr>
      </w:pPr>
    </w:p>
    <w:p w14:paraId="628C1669" w14:textId="243E6F5F" w:rsidR="00D4614F" w:rsidRPr="00E93FBA" w:rsidRDefault="00D4614F" w:rsidP="00CD3A13">
      <w:pPr>
        <w:jc w:val="both"/>
        <w:rPr>
          <w:lang w:val="sk-SK"/>
        </w:rPr>
      </w:pPr>
      <w:r w:rsidRPr="00E93FBA">
        <w:rPr>
          <w:lang w:val="sk-SK"/>
        </w:rPr>
        <w:t>K bodu 24 [§ 12 ods. 4 písm. a)]:</w:t>
      </w:r>
    </w:p>
    <w:p w14:paraId="21148DF1" w14:textId="5126BCEE" w:rsidR="00D4614F" w:rsidRPr="00E93FBA" w:rsidRDefault="002A6309" w:rsidP="00CD3A13">
      <w:pPr>
        <w:jc w:val="both"/>
        <w:rPr>
          <w:lang w:val="sk-SK"/>
        </w:rPr>
      </w:pPr>
      <w:r w:rsidRPr="00E93FBA">
        <w:rPr>
          <w:lang w:val="sk-SK"/>
        </w:rPr>
        <w:t xml:space="preserve">V nadväznosti na zosúladenie pojmu zapísaná organizačná zložka so zákonom </w:t>
      </w:r>
      <w:r w:rsidR="00D079B6">
        <w:rPr>
          <w:lang w:val="sk-SK"/>
        </w:rPr>
        <w:t xml:space="preserve">č. 272/2015 Z. z. </w:t>
      </w:r>
      <w:r w:rsidRPr="00E93FBA">
        <w:rPr>
          <w:lang w:val="sk-SK"/>
        </w:rPr>
        <w:t>o registri právnických osôb, podnikateľov a orgánov verejnej moci</w:t>
      </w:r>
      <w:r w:rsidR="00D079B6">
        <w:rPr>
          <w:lang w:val="sk-SK"/>
        </w:rPr>
        <w:t xml:space="preserve"> a o zmene a doplnení niektorých zákonov v znení neskorších predpisov</w:t>
      </w:r>
      <w:r w:rsidRPr="00E93FBA">
        <w:rPr>
          <w:lang w:val="sk-SK"/>
        </w:rPr>
        <w:t xml:space="preserve">, čím dochádza k rozšíreniu tejto skupiny aj na nepodnikateľov, sa navrhuje upraviť pre zapísané organizačné zložky </w:t>
      </w:r>
      <w:r w:rsidR="0001044C" w:rsidRPr="00E93FBA">
        <w:rPr>
          <w:lang w:val="sk-SK"/>
        </w:rPr>
        <w:t>zriaďovanie a aktiváciu elektronických schránok na žiadosť a nie zo zákona.</w:t>
      </w:r>
    </w:p>
    <w:p w14:paraId="61E2D632" w14:textId="77777777" w:rsidR="00D4614F" w:rsidRPr="00E93FBA" w:rsidRDefault="00D4614F" w:rsidP="00CD3A13">
      <w:pPr>
        <w:jc w:val="both"/>
        <w:rPr>
          <w:lang w:val="sk-SK"/>
        </w:rPr>
      </w:pPr>
    </w:p>
    <w:p w14:paraId="104DB4B7" w14:textId="0BEE0DCA" w:rsidR="004A7438" w:rsidRPr="00E93FBA" w:rsidRDefault="004A7438" w:rsidP="00CD3A13">
      <w:pPr>
        <w:jc w:val="both"/>
        <w:rPr>
          <w:lang w:val="sk-SK"/>
        </w:rPr>
      </w:pPr>
      <w:r w:rsidRPr="00E93FBA">
        <w:rPr>
          <w:lang w:val="sk-SK"/>
        </w:rPr>
        <w:t>K</w:t>
      </w:r>
      <w:r w:rsidR="00C251CC" w:rsidRPr="00E93FBA">
        <w:rPr>
          <w:lang w:val="sk-SK"/>
        </w:rPr>
        <w:t> </w:t>
      </w:r>
      <w:r w:rsidRPr="00E93FBA">
        <w:rPr>
          <w:lang w:val="sk-SK"/>
        </w:rPr>
        <w:t xml:space="preserve">bodu </w:t>
      </w:r>
      <w:r w:rsidR="001D7AF2" w:rsidRPr="00E93FBA">
        <w:rPr>
          <w:lang w:val="sk-SK"/>
        </w:rPr>
        <w:t>2</w:t>
      </w:r>
      <w:r w:rsidR="0001044C" w:rsidRPr="00E93FBA">
        <w:rPr>
          <w:lang w:val="sk-SK"/>
        </w:rPr>
        <w:t>5</w:t>
      </w:r>
      <w:r w:rsidR="001D7AF2" w:rsidRPr="00E93FBA">
        <w:rPr>
          <w:lang w:val="sk-SK"/>
        </w:rPr>
        <w:t xml:space="preserve"> </w:t>
      </w:r>
      <w:r w:rsidRPr="00E93FBA">
        <w:rPr>
          <w:lang w:val="sk-SK"/>
        </w:rPr>
        <w:t xml:space="preserve">[§ 12 ods. 4 písm. </w:t>
      </w:r>
      <w:r w:rsidR="001D7AF2" w:rsidRPr="00E93FBA">
        <w:rPr>
          <w:lang w:val="sk-SK"/>
        </w:rPr>
        <w:t>d</w:t>
      </w:r>
      <w:r w:rsidRPr="00E93FBA">
        <w:rPr>
          <w:lang w:val="sk-SK"/>
        </w:rPr>
        <w:t>)]:</w:t>
      </w:r>
    </w:p>
    <w:p w14:paraId="535BBFBF" w14:textId="5B4CA2C6" w:rsidR="004A7438" w:rsidRPr="00E93FBA" w:rsidRDefault="00F81DC6" w:rsidP="00CD3A13">
      <w:pPr>
        <w:jc w:val="both"/>
        <w:rPr>
          <w:lang w:val="sk-SK"/>
        </w:rPr>
      </w:pPr>
      <w:r w:rsidRPr="00E93FBA">
        <w:rPr>
          <w:lang w:val="sk-SK"/>
        </w:rPr>
        <w:t>Navrhovaná úprava vychádza z</w:t>
      </w:r>
      <w:r w:rsidR="00C251CC" w:rsidRPr="00E93FBA">
        <w:rPr>
          <w:lang w:val="sk-SK"/>
        </w:rPr>
        <w:t> </w:t>
      </w:r>
      <w:r w:rsidRPr="00E93FBA">
        <w:rPr>
          <w:lang w:val="sk-SK"/>
        </w:rPr>
        <w:t>požiadaviek praxe</w:t>
      </w:r>
      <w:r w:rsidR="006A616C" w:rsidRPr="00E93FBA">
        <w:rPr>
          <w:lang w:val="sk-SK"/>
        </w:rPr>
        <w:t>, kedy je pre správcu ústredného portálu najvhodnejší postup zriadiť elektronickú schránku cudzincovi s</w:t>
      </w:r>
      <w:r w:rsidR="00C251CC" w:rsidRPr="00E93FBA">
        <w:rPr>
          <w:lang w:val="sk-SK"/>
        </w:rPr>
        <w:t> </w:t>
      </w:r>
      <w:r w:rsidR="006A616C" w:rsidRPr="00E93FBA">
        <w:rPr>
          <w:lang w:val="sk-SK"/>
        </w:rPr>
        <w:t>povoleným pobytom automatizovane, keďže údaje o</w:t>
      </w:r>
      <w:r w:rsidR="00C251CC" w:rsidRPr="00E93FBA">
        <w:rPr>
          <w:lang w:val="sk-SK"/>
        </w:rPr>
        <w:t> </w:t>
      </w:r>
      <w:r w:rsidR="006A616C" w:rsidRPr="00E93FBA">
        <w:rPr>
          <w:lang w:val="sk-SK"/>
        </w:rPr>
        <w:t>ňom, vrátane jednoznačnej identifikácie, má k</w:t>
      </w:r>
      <w:r w:rsidR="00C251CC" w:rsidRPr="00E93FBA">
        <w:rPr>
          <w:lang w:val="sk-SK"/>
        </w:rPr>
        <w:t> </w:t>
      </w:r>
      <w:r w:rsidR="006A616C" w:rsidRPr="00E93FBA">
        <w:rPr>
          <w:lang w:val="sk-SK"/>
        </w:rPr>
        <w:t>dispozícii</w:t>
      </w:r>
      <w:r w:rsidR="003670FC" w:rsidRPr="00E93FBA">
        <w:rPr>
          <w:lang w:val="sk-SK"/>
        </w:rPr>
        <w:t xml:space="preserve">. </w:t>
      </w:r>
      <w:r w:rsidR="003670FC" w:rsidRPr="00E93FBA">
        <w:rPr>
          <w:lang w:val="sk-SK"/>
        </w:rPr>
        <w:lastRenderedPageBreak/>
        <w:t>Režim aktivácie takejto schránky sa nemení a</w:t>
      </w:r>
      <w:r w:rsidR="00C251CC" w:rsidRPr="00E93FBA">
        <w:rPr>
          <w:lang w:val="sk-SK"/>
        </w:rPr>
        <w:t> </w:t>
      </w:r>
      <w:r w:rsidR="003670FC" w:rsidRPr="00E93FBA">
        <w:rPr>
          <w:lang w:val="sk-SK"/>
        </w:rPr>
        <w:t>bude na rozhodnutí jej majiteľa, či si ju aktivuje, alebo nie.</w:t>
      </w:r>
    </w:p>
    <w:p w14:paraId="65B22F40" w14:textId="77777777" w:rsidR="004A7438" w:rsidRPr="00E93FBA" w:rsidRDefault="004A7438" w:rsidP="00CD3A13">
      <w:pPr>
        <w:jc w:val="both"/>
        <w:rPr>
          <w:lang w:val="sk-SK"/>
        </w:rPr>
      </w:pPr>
    </w:p>
    <w:p w14:paraId="7DD0266D" w14:textId="462E80AD" w:rsidR="008D2F65" w:rsidRPr="00E93FBA" w:rsidRDefault="008D2F65" w:rsidP="00CD3A13">
      <w:pPr>
        <w:jc w:val="both"/>
        <w:rPr>
          <w:lang w:val="sk-SK"/>
        </w:rPr>
      </w:pPr>
      <w:r w:rsidRPr="00E93FBA">
        <w:rPr>
          <w:lang w:val="sk-SK"/>
        </w:rPr>
        <w:t>K</w:t>
      </w:r>
      <w:r w:rsidR="00C251CC" w:rsidRPr="00E93FBA">
        <w:rPr>
          <w:lang w:val="sk-SK"/>
        </w:rPr>
        <w:t> </w:t>
      </w:r>
      <w:r w:rsidRPr="00E93FBA">
        <w:rPr>
          <w:lang w:val="sk-SK"/>
        </w:rPr>
        <w:t xml:space="preserve">bodom </w:t>
      </w:r>
      <w:r w:rsidR="00C653C0" w:rsidRPr="00E93FBA">
        <w:rPr>
          <w:lang w:val="sk-SK"/>
        </w:rPr>
        <w:t>2</w:t>
      </w:r>
      <w:r w:rsidR="00FE5989" w:rsidRPr="00E93FBA">
        <w:rPr>
          <w:lang w:val="sk-SK"/>
        </w:rPr>
        <w:t>6</w:t>
      </w:r>
      <w:r w:rsidR="00C653C0" w:rsidRPr="00E93FBA">
        <w:rPr>
          <w:lang w:val="sk-SK"/>
        </w:rPr>
        <w:t xml:space="preserve"> </w:t>
      </w:r>
      <w:r w:rsidRPr="00E93FBA">
        <w:rPr>
          <w:lang w:val="sk-SK"/>
        </w:rPr>
        <w:t>a</w:t>
      </w:r>
      <w:r w:rsidR="00C251CC" w:rsidRPr="00E93FBA">
        <w:rPr>
          <w:lang w:val="sk-SK"/>
        </w:rPr>
        <w:t> </w:t>
      </w:r>
      <w:r w:rsidR="00FE5989" w:rsidRPr="00E93FBA">
        <w:rPr>
          <w:lang w:val="sk-SK"/>
        </w:rPr>
        <w:t xml:space="preserve">27 </w:t>
      </w:r>
      <w:r w:rsidRPr="00E93FBA">
        <w:rPr>
          <w:lang w:val="sk-SK"/>
        </w:rPr>
        <w:t>[§ 12 ods. 4 písm. e) a</w:t>
      </w:r>
      <w:r w:rsidR="00C251CC" w:rsidRPr="00E93FBA">
        <w:rPr>
          <w:lang w:val="sk-SK"/>
        </w:rPr>
        <w:t> </w:t>
      </w:r>
      <w:r w:rsidRPr="00E93FBA">
        <w:rPr>
          <w:lang w:val="sk-SK"/>
        </w:rPr>
        <w:t>ods. 5]:</w:t>
      </w:r>
    </w:p>
    <w:p w14:paraId="2A4EBF26" w14:textId="2523B5CB" w:rsidR="008D2F65" w:rsidRPr="00E93FBA" w:rsidRDefault="008D2F65" w:rsidP="00CD3A13">
      <w:pPr>
        <w:jc w:val="both"/>
        <w:rPr>
          <w:lang w:val="sk-SK"/>
        </w:rPr>
      </w:pPr>
      <w:r w:rsidRPr="00E93FBA">
        <w:rPr>
          <w:lang w:val="sk-SK"/>
        </w:rPr>
        <w:t>Legislatívno-technická úprava</w:t>
      </w:r>
      <w:r w:rsidR="003B7861">
        <w:rPr>
          <w:lang w:val="sk-SK"/>
        </w:rPr>
        <w:t xml:space="preserve"> v nadväznosti na zmeny </w:t>
      </w:r>
      <w:r w:rsidR="00A9697A">
        <w:rPr>
          <w:lang w:val="sk-SK"/>
        </w:rPr>
        <w:t>v zriaďovaní elektronických schránok</w:t>
      </w:r>
      <w:r w:rsidRPr="00E93FBA">
        <w:rPr>
          <w:lang w:val="sk-SK"/>
        </w:rPr>
        <w:t>.</w:t>
      </w:r>
    </w:p>
    <w:p w14:paraId="03112BF5" w14:textId="01E20184" w:rsidR="005A0A33" w:rsidRPr="00E93FBA" w:rsidRDefault="005A0A33" w:rsidP="005A0A33">
      <w:pPr>
        <w:jc w:val="both"/>
        <w:rPr>
          <w:lang w:val="sk-SK"/>
        </w:rPr>
      </w:pPr>
    </w:p>
    <w:p w14:paraId="5660CEC3" w14:textId="010B48DD" w:rsidR="005A0A33" w:rsidRPr="00E93FBA" w:rsidRDefault="00591220" w:rsidP="005A0A33">
      <w:pPr>
        <w:jc w:val="both"/>
        <w:rPr>
          <w:lang w:val="sk-SK"/>
        </w:rPr>
      </w:pPr>
      <w:r w:rsidRPr="00E93FBA">
        <w:rPr>
          <w:lang w:val="sk-SK"/>
        </w:rPr>
        <w:t>K</w:t>
      </w:r>
      <w:r w:rsidR="00C251CC" w:rsidRPr="00E93FBA">
        <w:rPr>
          <w:lang w:val="sk-SK"/>
        </w:rPr>
        <w:t> </w:t>
      </w:r>
      <w:r w:rsidRPr="00E93FBA">
        <w:rPr>
          <w:lang w:val="sk-SK"/>
        </w:rPr>
        <w:t xml:space="preserve">bodu </w:t>
      </w:r>
      <w:r w:rsidR="00BB5384" w:rsidRPr="00E93FBA">
        <w:rPr>
          <w:lang w:val="sk-SK"/>
        </w:rPr>
        <w:t>2</w:t>
      </w:r>
      <w:r w:rsidR="00B7379E" w:rsidRPr="00E93FBA">
        <w:rPr>
          <w:lang w:val="sk-SK"/>
        </w:rPr>
        <w:t>8</w:t>
      </w:r>
      <w:r w:rsidR="00BB5384" w:rsidRPr="00E93FBA">
        <w:rPr>
          <w:lang w:val="sk-SK"/>
        </w:rPr>
        <w:t xml:space="preserve"> </w:t>
      </w:r>
      <w:r w:rsidR="005A0A33" w:rsidRPr="00E93FBA">
        <w:rPr>
          <w:lang w:val="sk-SK"/>
        </w:rPr>
        <w:t>(§ 12 odsek 1</w:t>
      </w:r>
      <w:r w:rsidR="004B1948" w:rsidRPr="00E93FBA">
        <w:rPr>
          <w:lang w:val="sk-SK"/>
        </w:rPr>
        <w:t>0</w:t>
      </w:r>
      <w:r w:rsidR="005A0A33" w:rsidRPr="00E93FBA">
        <w:rPr>
          <w:lang w:val="sk-SK"/>
        </w:rPr>
        <w:t>):</w:t>
      </w:r>
    </w:p>
    <w:p w14:paraId="58A973EE" w14:textId="4F44BD13" w:rsidR="005A0A33" w:rsidRPr="00E93FBA" w:rsidRDefault="00487426" w:rsidP="005A0A33">
      <w:pPr>
        <w:jc w:val="both"/>
        <w:rPr>
          <w:lang w:val="sk-SK"/>
        </w:rPr>
      </w:pPr>
      <w:r w:rsidRPr="00E93FBA">
        <w:rPr>
          <w:lang w:val="sk-SK"/>
        </w:rPr>
        <w:t>Podľa</w:t>
      </w:r>
      <w:r w:rsidR="005A0A33" w:rsidRPr="00E93FBA">
        <w:rPr>
          <w:lang w:val="sk-SK"/>
        </w:rPr>
        <w:t xml:space="preserve"> zákona č. 596/2003 Z. z. o</w:t>
      </w:r>
      <w:r w:rsidR="00C251CC" w:rsidRPr="00E93FBA">
        <w:rPr>
          <w:lang w:val="sk-SK"/>
        </w:rPr>
        <w:t> </w:t>
      </w:r>
      <w:r w:rsidR="005A0A33" w:rsidRPr="00E93FBA">
        <w:rPr>
          <w:lang w:val="sk-SK"/>
        </w:rPr>
        <w:t>štátnej správe v</w:t>
      </w:r>
      <w:r w:rsidR="00C251CC" w:rsidRPr="00E93FBA">
        <w:rPr>
          <w:lang w:val="sk-SK"/>
        </w:rPr>
        <w:t> </w:t>
      </w:r>
      <w:r w:rsidR="005A0A33" w:rsidRPr="00E93FBA">
        <w:rPr>
          <w:lang w:val="sk-SK"/>
        </w:rPr>
        <w:t>školstve a</w:t>
      </w:r>
      <w:r w:rsidR="00C251CC" w:rsidRPr="00E93FBA">
        <w:rPr>
          <w:lang w:val="sk-SK"/>
        </w:rPr>
        <w:t> </w:t>
      </w:r>
      <w:r w:rsidR="005A0A33" w:rsidRPr="00E93FBA">
        <w:rPr>
          <w:lang w:val="sk-SK"/>
        </w:rPr>
        <w:t>školskej samospráve a</w:t>
      </w:r>
      <w:r w:rsidR="00C251CC" w:rsidRPr="00E93FBA">
        <w:rPr>
          <w:lang w:val="sk-SK"/>
        </w:rPr>
        <w:t> </w:t>
      </w:r>
      <w:r w:rsidR="005A0A33" w:rsidRPr="00E93FBA">
        <w:rPr>
          <w:lang w:val="sk-SK"/>
        </w:rPr>
        <w:t>o</w:t>
      </w:r>
      <w:r w:rsidR="00C251CC" w:rsidRPr="00E93FBA">
        <w:rPr>
          <w:lang w:val="sk-SK"/>
        </w:rPr>
        <w:t> </w:t>
      </w:r>
      <w:r w:rsidR="005A0A33" w:rsidRPr="00E93FBA">
        <w:rPr>
          <w:lang w:val="sk-SK"/>
        </w:rPr>
        <w:t>zmene a</w:t>
      </w:r>
      <w:r w:rsidR="00C251CC" w:rsidRPr="00E93FBA">
        <w:rPr>
          <w:lang w:val="sk-SK"/>
        </w:rPr>
        <w:t> </w:t>
      </w:r>
      <w:r w:rsidR="005A0A33" w:rsidRPr="00E93FBA">
        <w:rPr>
          <w:lang w:val="sk-SK"/>
        </w:rPr>
        <w:t xml:space="preserve">doplnení niektorých zákonov </w:t>
      </w:r>
      <w:r w:rsidRPr="00E93FBA">
        <w:rPr>
          <w:lang w:val="sk-SK"/>
        </w:rPr>
        <w:t xml:space="preserve">v znení neskorších predpisov </w:t>
      </w:r>
      <w:r w:rsidR="005A0A33" w:rsidRPr="00E93FBA">
        <w:rPr>
          <w:lang w:val="sk-SK"/>
        </w:rPr>
        <w:t xml:space="preserve">je </w:t>
      </w:r>
      <w:r w:rsidR="000D4233" w:rsidRPr="00E93FBA">
        <w:rPr>
          <w:lang w:val="sk-SK"/>
        </w:rPr>
        <w:t>OVM</w:t>
      </w:r>
      <w:r w:rsidR="005A0A33" w:rsidRPr="00E93FBA">
        <w:rPr>
          <w:lang w:val="sk-SK"/>
        </w:rPr>
        <w:t xml:space="preserve"> riaditeľ školy alebo školského zariadenia. Vzhľadom na rozmanitosť škôl, školských zariadení a</w:t>
      </w:r>
      <w:r w:rsidR="00C251CC" w:rsidRPr="00E93FBA">
        <w:rPr>
          <w:lang w:val="sk-SK"/>
        </w:rPr>
        <w:t> </w:t>
      </w:r>
      <w:r w:rsidR="005A0A33" w:rsidRPr="00E93FBA">
        <w:rPr>
          <w:lang w:val="sk-SK"/>
        </w:rPr>
        <w:t xml:space="preserve">ich vzájomné odlišnosti podľa subjektu </w:t>
      </w:r>
      <w:r w:rsidR="00C251CC" w:rsidRPr="00E93FBA">
        <w:rPr>
          <w:lang w:val="sk-SK"/>
        </w:rPr>
        <w:t>–</w:t>
      </w:r>
      <w:r w:rsidR="005A0A33" w:rsidRPr="00E93FBA">
        <w:rPr>
          <w:lang w:val="sk-SK"/>
        </w:rPr>
        <w:t xml:space="preserve"> zriaďovateľa (napr. rôzne právne postavenie škôl a</w:t>
      </w:r>
      <w:r w:rsidR="00C251CC" w:rsidRPr="00E93FBA">
        <w:rPr>
          <w:lang w:val="sk-SK"/>
        </w:rPr>
        <w:t> </w:t>
      </w:r>
      <w:r w:rsidR="005A0A33" w:rsidRPr="00E93FBA">
        <w:rPr>
          <w:lang w:val="sk-SK"/>
        </w:rPr>
        <w:t>školských zariadení, právna subjektivita, financovanie a</w:t>
      </w:r>
      <w:r w:rsidR="00C251CC" w:rsidRPr="00E93FBA">
        <w:rPr>
          <w:lang w:val="sk-SK"/>
        </w:rPr>
        <w:t> </w:t>
      </w:r>
      <w:r w:rsidR="005A0A33" w:rsidRPr="00E93FBA">
        <w:rPr>
          <w:lang w:val="sk-SK"/>
        </w:rPr>
        <w:t>rozpočet školy), nevyhovujúci stav zdrojových a</w:t>
      </w:r>
      <w:r w:rsidR="00C251CC" w:rsidRPr="00E93FBA">
        <w:rPr>
          <w:lang w:val="sk-SK"/>
        </w:rPr>
        <w:t> </w:t>
      </w:r>
      <w:r w:rsidR="005A0A33" w:rsidRPr="00E93FBA">
        <w:rPr>
          <w:lang w:val="sk-SK"/>
        </w:rPr>
        <w:t>referenčných registrov a</w:t>
      </w:r>
      <w:r w:rsidR="00C251CC" w:rsidRPr="00E93FBA">
        <w:rPr>
          <w:lang w:val="sk-SK"/>
        </w:rPr>
        <w:t> </w:t>
      </w:r>
      <w:r w:rsidR="005A0A33" w:rsidRPr="00E93FBA">
        <w:rPr>
          <w:lang w:val="sk-SK"/>
        </w:rPr>
        <w:t>informácie v</w:t>
      </w:r>
      <w:r w:rsidR="00C251CC" w:rsidRPr="00E93FBA">
        <w:rPr>
          <w:lang w:val="sk-SK"/>
        </w:rPr>
        <w:t> </w:t>
      </w:r>
      <w:r w:rsidR="005A0A33" w:rsidRPr="00E93FBA">
        <w:rPr>
          <w:lang w:val="sk-SK"/>
        </w:rPr>
        <w:t>nich (najmä nedostatočná aktualizácia údajov o</w:t>
      </w:r>
      <w:r w:rsidR="00C251CC" w:rsidRPr="00E93FBA">
        <w:rPr>
          <w:lang w:val="sk-SK"/>
        </w:rPr>
        <w:t> </w:t>
      </w:r>
      <w:r w:rsidR="005A0A33" w:rsidRPr="00E93FBA">
        <w:rPr>
          <w:lang w:val="sk-SK"/>
        </w:rPr>
        <w:t>riaditeľoch škôl a</w:t>
      </w:r>
      <w:r w:rsidR="00C251CC" w:rsidRPr="00E93FBA">
        <w:rPr>
          <w:lang w:val="sk-SK"/>
        </w:rPr>
        <w:t> </w:t>
      </w:r>
      <w:r w:rsidR="005A0A33" w:rsidRPr="00E93FBA">
        <w:rPr>
          <w:lang w:val="sk-SK"/>
        </w:rPr>
        <w:t>školských zariadení) je v</w:t>
      </w:r>
      <w:r w:rsidR="00C251CC" w:rsidRPr="00E93FBA">
        <w:rPr>
          <w:lang w:val="sk-SK"/>
        </w:rPr>
        <w:t> </w:t>
      </w:r>
      <w:r w:rsidR="005A0A33" w:rsidRPr="00E93FBA">
        <w:rPr>
          <w:lang w:val="sk-SK"/>
        </w:rPr>
        <w:t xml:space="preserve">praxi vytváraná schránka </w:t>
      </w:r>
      <w:r w:rsidR="002411B0" w:rsidRPr="00E93FBA">
        <w:rPr>
          <w:lang w:val="sk-SK"/>
        </w:rPr>
        <w:t>OVM</w:t>
      </w:r>
      <w:r w:rsidR="005A0A33" w:rsidRPr="00E93FBA">
        <w:rPr>
          <w:lang w:val="sk-SK"/>
        </w:rPr>
        <w:t xml:space="preserve"> </w:t>
      </w:r>
      <w:r w:rsidR="002411B0" w:rsidRPr="00E93FBA">
        <w:rPr>
          <w:lang w:val="sk-SK"/>
        </w:rPr>
        <w:t>„</w:t>
      </w:r>
      <w:r w:rsidR="005A0A33" w:rsidRPr="00E93FBA">
        <w:rPr>
          <w:lang w:val="sk-SK"/>
        </w:rPr>
        <w:t>na IČO školy a</w:t>
      </w:r>
      <w:r w:rsidR="00C251CC" w:rsidRPr="00E93FBA">
        <w:rPr>
          <w:lang w:val="sk-SK"/>
        </w:rPr>
        <w:t> </w:t>
      </w:r>
      <w:r w:rsidR="005A0A33" w:rsidRPr="00E93FBA">
        <w:rPr>
          <w:lang w:val="sk-SK"/>
        </w:rPr>
        <w:t>školského zariadenia</w:t>
      </w:r>
      <w:r w:rsidR="002411B0" w:rsidRPr="00E93FBA">
        <w:rPr>
          <w:lang w:val="sk-SK"/>
        </w:rPr>
        <w:t>“</w:t>
      </w:r>
      <w:r w:rsidR="005A0A33" w:rsidRPr="00E93FBA">
        <w:rPr>
          <w:lang w:val="sk-SK"/>
        </w:rPr>
        <w:t>, a</w:t>
      </w:r>
      <w:r w:rsidR="00C251CC" w:rsidRPr="00E93FBA">
        <w:rPr>
          <w:lang w:val="sk-SK"/>
        </w:rPr>
        <w:t> </w:t>
      </w:r>
      <w:r w:rsidR="005A0A33" w:rsidRPr="00E93FBA">
        <w:rPr>
          <w:lang w:val="sk-SK"/>
        </w:rPr>
        <w:t>nie ich riaditeľom (nositeľom verejnej moci). Častým dôsledkom nekvalitných, nedostatočných a</w:t>
      </w:r>
      <w:r w:rsidR="00C251CC" w:rsidRPr="00E93FBA">
        <w:rPr>
          <w:lang w:val="sk-SK"/>
        </w:rPr>
        <w:t> </w:t>
      </w:r>
      <w:r w:rsidR="005A0A33" w:rsidRPr="00E93FBA">
        <w:rPr>
          <w:lang w:val="sk-SK"/>
        </w:rPr>
        <w:t>neúplných údajov je napríklad nemožnosť automatizovane aktualizovať prístup do schránky po zmene riaditeľa školy alebo zariadenia, alebo nemožnosť zriadiť schránku vôbec z</w:t>
      </w:r>
      <w:r w:rsidR="00C251CC" w:rsidRPr="00E93FBA">
        <w:rPr>
          <w:lang w:val="sk-SK"/>
        </w:rPr>
        <w:t> </w:t>
      </w:r>
      <w:r w:rsidR="005A0A33" w:rsidRPr="00E93FBA">
        <w:rPr>
          <w:lang w:val="sk-SK"/>
        </w:rPr>
        <w:t>dôvodu neexistencie právnej subjektivity školy alebo zariadenia a</w:t>
      </w:r>
      <w:r w:rsidR="00C251CC" w:rsidRPr="00E93FBA">
        <w:rPr>
          <w:lang w:val="sk-SK"/>
        </w:rPr>
        <w:t> </w:t>
      </w:r>
      <w:r w:rsidR="005A0A33" w:rsidRPr="00E93FBA">
        <w:rPr>
          <w:lang w:val="sk-SK"/>
        </w:rPr>
        <w:t>súčasne z</w:t>
      </w:r>
      <w:r w:rsidR="00C251CC" w:rsidRPr="00E93FBA">
        <w:rPr>
          <w:lang w:val="sk-SK"/>
        </w:rPr>
        <w:t> </w:t>
      </w:r>
      <w:r w:rsidR="005A0A33" w:rsidRPr="00E93FBA">
        <w:rPr>
          <w:lang w:val="sk-SK"/>
        </w:rPr>
        <w:t>dôvodu pasivity jej zriaďovateľa.</w:t>
      </w:r>
    </w:p>
    <w:p w14:paraId="77D161DA" w14:textId="6CE9538F" w:rsidR="005A0A33" w:rsidRPr="00E93FBA" w:rsidRDefault="005A0A33" w:rsidP="005A0A33">
      <w:pPr>
        <w:jc w:val="both"/>
        <w:rPr>
          <w:lang w:val="sk-SK"/>
        </w:rPr>
      </w:pPr>
      <w:r w:rsidRPr="00E93FBA">
        <w:rPr>
          <w:lang w:val="sk-SK"/>
        </w:rPr>
        <w:t>Vzhľadom na snahu zosúladiť právny stav s</w:t>
      </w:r>
      <w:r w:rsidR="00C251CC" w:rsidRPr="00E93FBA">
        <w:rPr>
          <w:lang w:val="sk-SK"/>
        </w:rPr>
        <w:t> </w:t>
      </w:r>
      <w:r w:rsidRPr="00E93FBA">
        <w:rPr>
          <w:lang w:val="sk-SK"/>
        </w:rPr>
        <w:t>implementáciou v</w:t>
      </w:r>
      <w:r w:rsidR="00C251CC" w:rsidRPr="00E93FBA">
        <w:rPr>
          <w:lang w:val="sk-SK"/>
        </w:rPr>
        <w:t> </w:t>
      </w:r>
      <w:r w:rsidRPr="00E93FBA">
        <w:rPr>
          <w:lang w:val="sk-SK"/>
        </w:rPr>
        <w:t>praxi navrhuje</w:t>
      </w:r>
      <w:r w:rsidR="00605689" w:rsidRPr="00E93FBA">
        <w:rPr>
          <w:lang w:val="sk-SK"/>
        </w:rPr>
        <w:t xml:space="preserve"> sa vyššie uvedený príklad zovšeobecniť a</w:t>
      </w:r>
      <w:r w:rsidR="00C251CC" w:rsidRPr="00E93FBA">
        <w:rPr>
          <w:lang w:val="sk-SK"/>
        </w:rPr>
        <w:t> </w:t>
      </w:r>
      <w:r w:rsidRPr="00E93FBA">
        <w:rPr>
          <w:lang w:val="sk-SK"/>
        </w:rPr>
        <w:t>na účely zákona o</w:t>
      </w:r>
      <w:r w:rsidR="00C251CC" w:rsidRPr="00E93FBA">
        <w:rPr>
          <w:lang w:val="sk-SK"/>
        </w:rPr>
        <w:t> </w:t>
      </w:r>
      <w:r w:rsidRPr="00E93FBA">
        <w:rPr>
          <w:lang w:val="sk-SK"/>
        </w:rPr>
        <w:t xml:space="preserve">e-Governmente </w:t>
      </w:r>
      <w:r w:rsidR="004C0DE8" w:rsidRPr="00E93FBA">
        <w:rPr>
          <w:lang w:val="sk-SK"/>
        </w:rPr>
        <w:t xml:space="preserve">používať ako </w:t>
      </w:r>
      <w:r w:rsidRPr="00E93FBA">
        <w:rPr>
          <w:lang w:val="sk-SK"/>
        </w:rPr>
        <w:t xml:space="preserve">elektronické schránky </w:t>
      </w:r>
      <w:r w:rsidR="000D4233" w:rsidRPr="00E93FBA">
        <w:rPr>
          <w:lang w:val="sk-SK"/>
        </w:rPr>
        <w:t>pre postavenie OVM</w:t>
      </w:r>
      <w:r w:rsidR="000F1CCA" w:rsidRPr="00E93FBA">
        <w:rPr>
          <w:lang w:val="sk-SK"/>
        </w:rPr>
        <w:t>, ak ide o</w:t>
      </w:r>
      <w:r w:rsidR="00C251CC" w:rsidRPr="00E93FBA">
        <w:rPr>
          <w:lang w:val="sk-SK"/>
        </w:rPr>
        <w:t> </w:t>
      </w:r>
      <w:r w:rsidR="000F1CCA" w:rsidRPr="00E93FBA">
        <w:rPr>
          <w:lang w:val="sk-SK"/>
        </w:rPr>
        <w:t xml:space="preserve">fyzickú osobu, ktorá zároveň vykonáva </w:t>
      </w:r>
      <w:r w:rsidR="005B0697" w:rsidRPr="00E93FBA">
        <w:rPr>
          <w:lang w:val="sk-SK"/>
        </w:rPr>
        <w:t>funkciu, alebo je zamestnaná, či je v</w:t>
      </w:r>
      <w:r w:rsidR="00C251CC" w:rsidRPr="00E93FBA">
        <w:rPr>
          <w:lang w:val="sk-SK"/>
        </w:rPr>
        <w:t> </w:t>
      </w:r>
      <w:r w:rsidR="005B0697" w:rsidRPr="00E93FBA">
        <w:rPr>
          <w:lang w:val="sk-SK"/>
        </w:rPr>
        <w:t>inom právnom vzťahu k</w:t>
      </w:r>
      <w:r w:rsidR="00C251CC" w:rsidRPr="00E93FBA">
        <w:rPr>
          <w:lang w:val="sk-SK"/>
        </w:rPr>
        <w:t> </w:t>
      </w:r>
      <w:r w:rsidR="005B0697" w:rsidRPr="00E93FBA">
        <w:rPr>
          <w:lang w:val="sk-SK"/>
        </w:rPr>
        <w:t xml:space="preserve">subjektu, ktorý má </w:t>
      </w:r>
      <w:r w:rsidR="00EE415D" w:rsidRPr="00E93FBA">
        <w:rPr>
          <w:lang w:val="sk-SK"/>
        </w:rPr>
        <w:t>aktivovanú</w:t>
      </w:r>
      <w:r w:rsidR="004C0DE8" w:rsidRPr="00E93FBA">
        <w:rPr>
          <w:lang w:val="sk-SK"/>
        </w:rPr>
        <w:t xml:space="preserve">, túto elektronickú schránku. Uvedené sa okrem spomínaných riaditeľov škôl môže vyskytnúť aj pri fyzických osobách v inom postavení než riaditeľ školy, </w:t>
      </w:r>
      <w:r w:rsidR="003566C9" w:rsidRPr="00E93FBA">
        <w:rPr>
          <w:lang w:val="sk-SK"/>
        </w:rPr>
        <w:t>ak v</w:t>
      </w:r>
      <w:r w:rsidR="00C251CC" w:rsidRPr="00E93FBA">
        <w:rPr>
          <w:lang w:val="sk-SK"/>
        </w:rPr>
        <w:t> </w:t>
      </w:r>
      <w:r w:rsidR="003566C9" w:rsidRPr="00E93FBA">
        <w:rPr>
          <w:lang w:val="sk-SK"/>
        </w:rPr>
        <w:t xml:space="preserve">niektorých konaniach sú priamo tieto fyzické osoby </w:t>
      </w:r>
      <w:r w:rsidR="00487268" w:rsidRPr="00E93FBA">
        <w:rPr>
          <w:lang w:val="sk-SK"/>
        </w:rPr>
        <w:t>OVM</w:t>
      </w:r>
      <w:r w:rsidR="003566C9" w:rsidRPr="00E93FBA">
        <w:rPr>
          <w:lang w:val="sk-SK"/>
        </w:rPr>
        <w:t xml:space="preserve"> a</w:t>
      </w:r>
      <w:r w:rsidR="00C251CC" w:rsidRPr="00E93FBA">
        <w:rPr>
          <w:lang w:val="sk-SK"/>
        </w:rPr>
        <w:t> </w:t>
      </w:r>
      <w:r w:rsidR="003566C9" w:rsidRPr="00E93FBA">
        <w:rPr>
          <w:lang w:val="sk-SK"/>
        </w:rPr>
        <w:t>nie “len” osobou, konajúcou v</w:t>
      </w:r>
      <w:r w:rsidR="00C251CC" w:rsidRPr="00E93FBA">
        <w:rPr>
          <w:lang w:val="sk-SK"/>
        </w:rPr>
        <w:t> </w:t>
      </w:r>
      <w:r w:rsidR="003566C9" w:rsidRPr="00E93FBA">
        <w:rPr>
          <w:lang w:val="sk-SK"/>
        </w:rPr>
        <w:t xml:space="preserve">mene </w:t>
      </w:r>
      <w:r w:rsidR="00487268" w:rsidRPr="00E93FBA">
        <w:rPr>
          <w:lang w:val="sk-SK"/>
        </w:rPr>
        <w:t>OVM</w:t>
      </w:r>
      <w:r w:rsidR="003566C9" w:rsidRPr="00E93FBA">
        <w:rPr>
          <w:lang w:val="sk-SK"/>
        </w:rPr>
        <w:t>.</w:t>
      </w:r>
    </w:p>
    <w:p w14:paraId="1B30BA0D" w14:textId="64A2A67D" w:rsidR="005A0A33" w:rsidRPr="00E93FBA" w:rsidRDefault="005A0A33" w:rsidP="005A0A33">
      <w:pPr>
        <w:jc w:val="both"/>
        <w:rPr>
          <w:lang w:val="sk-SK"/>
        </w:rPr>
      </w:pPr>
    </w:p>
    <w:p w14:paraId="66DC621E" w14:textId="780E4240" w:rsidR="00B7379E" w:rsidRPr="00E93FBA" w:rsidRDefault="00B7379E" w:rsidP="00B7379E">
      <w:pPr>
        <w:jc w:val="both"/>
        <w:rPr>
          <w:lang w:val="sk-SK"/>
        </w:rPr>
      </w:pPr>
      <w:r w:rsidRPr="00E93FBA">
        <w:rPr>
          <w:lang w:val="sk-SK"/>
        </w:rPr>
        <w:t>K bodom 29 až 31 (§ 13 ods. 1 a 4):</w:t>
      </w:r>
    </w:p>
    <w:p w14:paraId="2FAD0B04" w14:textId="77777777" w:rsidR="00B7379E" w:rsidRPr="00E93FBA" w:rsidRDefault="00B7379E" w:rsidP="00B7379E">
      <w:pPr>
        <w:jc w:val="both"/>
        <w:rPr>
          <w:lang w:val="sk-SK"/>
        </w:rPr>
      </w:pPr>
      <w:r w:rsidRPr="00E93FBA">
        <w:rPr>
          <w:lang w:val="sk-SK"/>
        </w:rPr>
        <w:t>Legislatívno-technická úprava.</w:t>
      </w:r>
    </w:p>
    <w:p w14:paraId="40DA37FC" w14:textId="79B97506" w:rsidR="005A0A33" w:rsidRPr="00E93FBA" w:rsidRDefault="005A0A33" w:rsidP="005A0A33">
      <w:pPr>
        <w:jc w:val="both"/>
        <w:rPr>
          <w:lang w:val="sk-SK"/>
        </w:rPr>
      </w:pPr>
    </w:p>
    <w:p w14:paraId="5D3F3CFA" w14:textId="3CBE9812" w:rsidR="2EBEA3E6" w:rsidRPr="00E93FBA" w:rsidRDefault="2EBEA3E6" w:rsidP="2EBEA3E6">
      <w:pPr>
        <w:jc w:val="both"/>
        <w:rPr>
          <w:lang w:val="sk-SK"/>
        </w:rPr>
      </w:pPr>
      <w:r w:rsidRPr="00E93FBA">
        <w:rPr>
          <w:lang w:val="sk-SK"/>
        </w:rPr>
        <w:t xml:space="preserve">K bodu </w:t>
      </w:r>
      <w:r w:rsidR="00815D42" w:rsidRPr="00E93FBA">
        <w:rPr>
          <w:lang w:val="sk-SK"/>
        </w:rPr>
        <w:t>3</w:t>
      </w:r>
      <w:r w:rsidR="00A9697A">
        <w:rPr>
          <w:lang w:val="sk-SK"/>
        </w:rPr>
        <w:t>2</w:t>
      </w:r>
      <w:r w:rsidRPr="00E93FBA">
        <w:rPr>
          <w:lang w:val="sk-SK"/>
        </w:rPr>
        <w:t xml:space="preserve"> (§ 13 ods. 7):</w:t>
      </w:r>
    </w:p>
    <w:p w14:paraId="36E13DF0" w14:textId="349E2319" w:rsidR="2EBEA3E6" w:rsidRPr="00E93FBA" w:rsidRDefault="2EBEA3E6" w:rsidP="2EBEA3E6">
      <w:pPr>
        <w:jc w:val="both"/>
        <w:rPr>
          <w:lang w:val="sk-SK"/>
        </w:rPr>
      </w:pPr>
      <w:r w:rsidRPr="00E93FBA">
        <w:rPr>
          <w:lang w:val="sk-SK"/>
        </w:rPr>
        <w:t xml:space="preserve">Navrhuje sa upraviť predmetné ustanovenie tak, aby viac zodpovedalo praktickému výkonu a potrebám správy oprávnení k elektronickej schránke prostredníctvom ústredného portálu. </w:t>
      </w:r>
    </w:p>
    <w:p w14:paraId="3D7F9262" w14:textId="19AA4AEC" w:rsidR="2EBEA3E6" w:rsidRPr="00E93FBA" w:rsidRDefault="2EBEA3E6" w:rsidP="2EBEA3E6">
      <w:pPr>
        <w:jc w:val="both"/>
        <w:rPr>
          <w:lang w:val="sk-SK"/>
        </w:rPr>
      </w:pPr>
    </w:p>
    <w:p w14:paraId="5ACB4DC1" w14:textId="76DCBCE2" w:rsidR="00EB6D51" w:rsidRPr="00E93FBA" w:rsidRDefault="00C32861" w:rsidP="005A0A33">
      <w:pPr>
        <w:jc w:val="both"/>
        <w:rPr>
          <w:lang w:val="sk-SK"/>
        </w:rPr>
      </w:pPr>
      <w:r w:rsidRPr="00E93FBA">
        <w:rPr>
          <w:lang w:val="sk-SK"/>
        </w:rPr>
        <w:t xml:space="preserve">K bodu </w:t>
      </w:r>
      <w:r w:rsidR="001F27EB" w:rsidRPr="00E93FBA">
        <w:rPr>
          <w:lang w:val="sk-SK"/>
        </w:rPr>
        <w:t>3</w:t>
      </w:r>
      <w:r w:rsidR="00A9697A">
        <w:rPr>
          <w:lang w:val="sk-SK"/>
        </w:rPr>
        <w:t>3</w:t>
      </w:r>
      <w:r w:rsidRPr="00E93FBA">
        <w:rPr>
          <w:lang w:val="sk-SK"/>
        </w:rPr>
        <w:t xml:space="preserve"> (§ 14 ods. 1):</w:t>
      </w:r>
    </w:p>
    <w:p w14:paraId="42038A40" w14:textId="43142F7D" w:rsidR="00C32861" w:rsidRPr="00E93FBA" w:rsidRDefault="00C32861" w:rsidP="005A0A33">
      <w:pPr>
        <w:jc w:val="both"/>
        <w:rPr>
          <w:lang w:val="sk-SK"/>
        </w:rPr>
      </w:pPr>
      <w:r w:rsidRPr="00E93FBA">
        <w:rPr>
          <w:lang w:val="sk-SK"/>
        </w:rPr>
        <w:t xml:space="preserve">Na účely minimalizácie priestoru pre špekulatívne konanie pri elektronickom doručovaní sa navrhuje, aby ak už je elektronická úradná správa v elektronickej schránke uložená, nemala deaktivácia </w:t>
      </w:r>
      <w:r w:rsidR="00D9556D" w:rsidRPr="00E93FBA">
        <w:rPr>
          <w:lang w:val="sk-SK"/>
        </w:rPr>
        <w:t xml:space="preserve">elektronickej schránky vplyv na jej doručenie. Inak povedané, ak si adresát deaktivuje elektronickú schránku v čase, kedy v nej má elektronické správy, ktorým plynie úložná lehota, tieto budú najneskôr uplynutím úložnej lehoty doručené, bez ohľadu na </w:t>
      </w:r>
      <w:r w:rsidR="0080301C" w:rsidRPr="00E93FBA">
        <w:rPr>
          <w:lang w:val="sk-SK"/>
        </w:rPr>
        <w:t>de</w:t>
      </w:r>
      <w:r w:rsidR="00D9556D" w:rsidRPr="00E93FBA">
        <w:rPr>
          <w:lang w:val="sk-SK"/>
        </w:rPr>
        <w:t xml:space="preserve">aktiváciu. Prístup do elektronickej schránky </w:t>
      </w:r>
      <w:r w:rsidR="005573D0" w:rsidRPr="00E93FBA">
        <w:rPr>
          <w:lang w:val="sk-SK"/>
        </w:rPr>
        <w:t>deaktiváciou</w:t>
      </w:r>
      <w:r w:rsidR="00D9556D" w:rsidRPr="00E93FBA">
        <w:rPr>
          <w:lang w:val="sk-SK"/>
        </w:rPr>
        <w:t xml:space="preserve"> nezaniká, preto ani možnosť adresáta oboznámiť sa s obsahom správy nebude </w:t>
      </w:r>
      <w:r w:rsidR="005573D0" w:rsidRPr="00E93FBA">
        <w:rPr>
          <w:lang w:val="sk-SK"/>
        </w:rPr>
        <w:t>obmedzená</w:t>
      </w:r>
      <w:r w:rsidR="00D9556D" w:rsidRPr="00E93FBA">
        <w:rPr>
          <w:lang w:val="sk-SK"/>
        </w:rPr>
        <w:t>.</w:t>
      </w:r>
    </w:p>
    <w:p w14:paraId="01021400" w14:textId="77777777" w:rsidR="00EB6D51" w:rsidRPr="00E93FBA" w:rsidRDefault="00EB6D51" w:rsidP="005A0A33">
      <w:pPr>
        <w:jc w:val="both"/>
        <w:rPr>
          <w:lang w:val="sk-SK"/>
        </w:rPr>
      </w:pPr>
    </w:p>
    <w:p w14:paraId="238AEF26" w14:textId="0D471BD9" w:rsidR="00A16628" w:rsidRPr="00E93FBA" w:rsidRDefault="00A16628" w:rsidP="005A0A33">
      <w:pPr>
        <w:jc w:val="both"/>
        <w:rPr>
          <w:lang w:val="sk-SK"/>
        </w:rPr>
      </w:pPr>
      <w:r w:rsidRPr="00E93FBA">
        <w:rPr>
          <w:lang w:val="sk-SK"/>
        </w:rPr>
        <w:t>K</w:t>
      </w:r>
      <w:r w:rsidR="00C251CC" w:rsidRPr="00E93FBA">
        <w:rPr>
          <w:lang w:val="sk-SK"/>
        </w:rPr>
        <w:t> </w:t>
      </w:r>
      <w:r w:rsidRPr="00E93FBA">
        <w:rPr>
          <w:lang w:val="sk-SK"/>
        </w:rPr>
        <w:t xml:space="preserve">bodu </w:t>
      </w:r>
      <w:r w:rsidR="001F27EB" w:rsidRPr="00E93FBA">
        <w:rPr>
          <w:lang w:val="sk-SK"/>
        </w:rPr>
        <w:t>3</w:t>
      </w:r>
      <w:r w:rsidR="00A9697A">
        <w:rPr>
          <w:lang w:val="sk-SK"/>
        </w:rPr>
        <w:t>4</w:t>
      </w:r>
      <w:r w:rsidR="001F27EB" w:rsidRPr="00E93FBA">
        <w:rPr>
          <w:lang w:val="sk-SK"/>
        </w:rPr>
        <w:t xml:space="preserve"> </w:t>
      </w:r>
      <w:r w:rsidR="00EC3DDB" w:rsidRPr="00E93FBA">
        <w:rPr>
          <w:lang w:val="sk-SK"/>
        </w:rPr>
        <w:t>[§ 14 ods. 2 písm. d) a e)]:</w:t>
      </w:r>
    </w:p>
    <w:p w14:paraId="2FF39247" w14:textId="52267CE3" w:rsidR="00EC3DDB" w:rsidRPr="00E93FBA" w:rsidRDefault="00EC3DDB" w:rsidP="00EC3DDB">
      <w:pPr>
        <w:jc w:val="both"/>
        <w:rPr>
          <w:lang w:val="sk-SK"/>
        </w:rPr>
      </w:pPr>
      <w:r w:rsidRPr="00E93FBA">
        <w:rPr>
          <w:lang w:val="sk-SK"/>
        </w:rPr>
        <w:t>Navrhovaná úprava vychádza z</w:t>
      </w:r>
      <w:r w:rsidR="00C251CC" w:rsidRPr="00E93FBA">
        <w:rPr>
          <w:lang w:val="sk-SK"/>
        </w:rPr>
        <w:t> </w:t>
      </w:r>
      <w:r w:rsidRPr="00E93FBA">
        <w:rPr>
          <w:lang w:val="sk-SK"/>
        </w:rPr>
        <w:t xml:space="preserve">požiadaviek praxe, kedy je pre správcu ústredného portálu najvhodnejší postup </w:t>
      </w:r>
      <w:r w:rsidR="00F35D89" w:rsidRPr="00E93FBA">
        <w:rPr>
          <w:lang w:val="sk-SK"/>
        </w:rPr>
        <w:t>deaktivácie</w:t>
      </w:r>
      <w:r w:rsidRPr="00E93FBA">
        <w:rPr>
          <w:lang w:val="sk-SK"/>
        </w:rPr>
        <w:t xml:space="preserve"> elektronick</w:t>
      </w:r>
      <w:r w:rsidR="00F35D89" w:rsidRPr="00E93FBA">
        <w:rPr>
          <w:lang w:val="sk-SK"/>
        </w:rPr>
        <w:t xml:space="preserve">ej </w:t>
      </w:r>
      <w:r w:rsidRPr="00E93FBA">
        <w:rPr>
          <w:lang w:val="sk-SK"/>
        </w:rPr>
        <w:t>schránk</w:t>
      </w:r>
      <w:r w:rsidR="00F35D89" w:rsidRPr="00E93FBA">
        <w:rPr>
          <w:lang w:val="sk-SK"/>
        </w:rPr>
        <w:t xml:space="preserve">y fyzickej osoby </w:t>
      </w:r>
      <w:r w:rsidR="0093426C" w:rsidRPr="00E93FBA">
        <w:rPr>
          <w:lang w:val="sk-SK"/>
        </w:rPr>
        <w:t xml:space="preserve">- </w:t>
      </w:r>
      <w:r w:rsidR="00F35D89" w:rsidRPr="00E93FBA">
        <w:rPr>
          <w:lang w:val="sk-SK"/>
        </w:rPr>
        <w:t xml:space="preserve">podnikateľa </w:t>
      </w:r>
      <w:r w:rsidRPr="00E93FBA">
        <w:rPr>
          <w:lang w:val="sk-SK"/>
        </w:rPr>
        <w:t>automatizovane</w:t>
      </w:r>
      <w:r w:rsidR="00F35D89" w:rsidRPr="00E93FBA">
        <w:rPr>
          <w:lang w:val="sk-SK"/>
        </w:rPr>
        <w:t xml:space="preserve"> a</w:t>
      </w:r>
      <w:r w:rsidR="00C251CC" w:rsidRPr="00E93FBA">
        <w:rPr>
          <w:lang w:val="sk-SK"/>
        </w:rPr>
        <w:t> </w:t>
      </w:r>
      <w:r w:rsidR="00F35D89" w:rsidRPr="00E93FBA">
        <w:rPr>
          <w:lang w:val="sk-SK"/>
        </w:rPr>
        <w:t>v</w:t>
      </w:r>
      <w:r w:rsidR="00C251CC" w:rsidRPr="00E93FBA">
        <w:rPr>
          <w:lang w:val="sk-SK"/>
        </w:rPr>
        <w:t> </w:t>
      </w:r>
      <w:r w:rsidR="00F35D89" w:rsidRPr="00E93FBA">
        <w:rPr>
          <w:lang w:val="sk-SK"/>
        </w:rPr>
        <w:t xml:space="preserve">rovnakom režime, ako pri právnických osobách, či OVM. </w:t>
      </w:r>
      <w:r w:rsidRPr="00E93FBA">
        <w:rPr>
          <w:lang w:val="sk-SK"/>
        </w:rPr>
        <w:t xml:space="preserve">Režim </w:t>
      </w:r>
      <w:r w:rsidR="0084666B" w:rsidRPr="00E93FBA">
        <w:rPr>
          <w:lang w:val="sk-SK"/>
        </w:rPr>
        <w:t>de</w:t>
      </w:r>
      <w:r w:rsidRPr="00E93FBA">
        <w:rPr>
          <w:lang w:val="sk-SK"/>
        </w:rPr>
        <w:t xml:space="preserve">aktivácie </w:t>
      </w:r>
      <w:r w:rsidR="0084666B" w:rsidRPr="00E93FBA">
        <w:rPr>
          <w:lang w:val="sk-SK"/>
        </w:rPr>
        <w:t>v</w:t>
      </w:r>
      <w:r w:rsidR="00C251CC" w:rsidRPr="00E93FBA">
        <w:rPr>
          <w:lang w:val="sk-SK"/>
        </w:rPr>
        <w:t> </w:t>
      </w:r>
      <w:r w:rsidR="0084666B" w:rsidRPr="00E93FBA">
        <w:rPr>
          <w:lang w:val="sk-SK"/>
        </w:rPr>
        <w:t xml:space="preserve">tomto prípade nastúpi pri zániku alebo zrušení oprávnenia na podnikanie (teda zanikne status fyzickej osoby </w:t>
      </w:r>
      <w:r w:rsidR="0093426C" w:rsidRPr="00E93FBA">
        <w:rPr>
          <w:lang w:val="sk-SK"/>
        </w:rPr>
        <w:t xml:space="preserve">- </w:t>
      </w:r>
      <w:r w:rsidR="0084666B" w:rsidRPr="00E93FBA">
        <w:rPr>
          <w:lang w:val="sk-SK"/>
        </w:rPr>
        <w:t xml:space="preserve">podnikateľa), pričom ak osoba vykonáva viac predmetov podnikania, regulovaných viacerými právnymi predpismi, tak </w:t>
      </w:r>
      <w:r w:rsidR="00A40408" w:rsidRPr="00E93FBA">
        <w:rPr>
          <w:lang w:val="sk-SK"/>
        </w:rPr>
        <w:t>deaktivácie</w:t>
      </w:r>
      <w:r w:rsidR="00262BB1" w:rsidRPr="00E93FBA">
        <w:rPr>
          <w:lang w:val="sk-SK"/>
        </w:rPr>
        <w:t xml:space="preserve"> z</w:t>
      </w:r>
      <w:r w:rsidR="00C251CC" w:rsidRPr="00E93FBA">
        <w:rPr>
          <w:lang w:val="sk-SK"/>
        </w:rPr>
        <w:t> </w:t>
      </w:r>
      <w:r w:rsidR="00262BB1" w:rsidRPr="00E93FBA">
        <w:rPr>
          <w:lang w:val="sk-SK"/>
        </w:rPr>
        <w:t xml:space="preserve">tohto dôvodu </w:t>
      </w:r>
      <w:r w:rsidR="00262BB1" w:rsidRPr="00E93FBA">
        <w:rPr>
          <w:lang w:val="sk-SK"/>
        </w:rPr>
        <w:lastRenderedPageBreak/>
        <w:t xml:space="preserve">nastane až zánikom, resp. zrušením posledného takéhoto </w:t>
      </w:r>
      <w:r w:rsidR="00A40408" w:rsidRPr="00E93FBA">
        <w:rPr>
          <w:lang w:val="sk-SK"/>
        </w:rPr>
        <w:t>oprávnenia</w:t>
      </w:r>
      <w:r w:rsidR="00262BB1" w:rsidRPr="00E93FBA">
        <w:rPr>
          <w:lang w:val="sk-SK"/>
        </w:rPr>
        <w:t>. Inak povedané, tento dôvod deaktivácie nebude viazaný na zmeny v</w:t>
      </w:r>
      <w:r w:rsidR="00C251CC" w:rsidRPr="00E93FBA">
        <w:rPr>
          <w:lang w:val="sk-SK"/>
        </w:rPr>
        <w:t> </w:t>
      </w:r>
      <w:r w:rsidR="00A40408" w:rsidRPr="00E93FBA">
        <w:rPr>
          <w:lang w:val="sk-SK"/>
        </w:rPr>
        <w:t xml:space="preserve">predmete </w:t>
      </w:r>
      <w:r w:rsidR="00262BB1" w:rsidRPr="00E93FBA">
        <w:rPr>
          <w:lang w:val="sk-SK"/>
        </w:rPr>
        <w:t>činnosti</w:t>
      </w:r>
      <w:r w:rsidRPr="00E93FBA">
        <w:rPr>
          <w:lang w:val="sk-SK"/>
        </w:rPr>
        <w:t>.</w:t>
      </w:r>
    </w:p>
    <w:p w14:paraId="006174D6" w14:textId="30D8B145" w:rsidR="2EBEA3E6" w:rsidRPr="00E93FBA" w:rsidRDefault="2EBEA3E6" w:rsidP="2EBEA3E6">
      <w:pPr>
        <w:jc w:val="both"/>
        <w:rPr>
          <w:lang w:val="sk-SK"/>
        </w:rPr>
      </w:pPr>
      <w:r w:rsidRPr="00E93FBA">
        <w:rPr>
          <w:lang w:val="sk-SK"/>
        </w:rPr>
        <w:t xml:space="preserve">Na účely reflektovania právnej úpravy zákona č. 231/2019 Z. z. </w:t>
      </w:r>
      <w:r w:rsidR="00D079B6">
        <w:rPr>
          <w:lang w:val="sk-SK"/>
        </w:rPr>
        <w:t xml:space="preserve">o výkone detencie a o zmene a doplnení niektorých zákonov </w:t>
      </w:r>
      <w:r w:rsidRPr="00E93FBA">
        <w:rPr>
          <w:lang w:val="sk-SK"/>
        </w:rPr>
        <w:t xml:space="preserve">v úprave deaktivácie elektronickej schránky v podobných situáciách podľa § 14 ods. 2 písm. e) sa navrhuje doplniť medzi možnosti deaktivácie aj deaktiváciu v prípade výkonu detencie. </w:t>
      </w:r>
    </w:p>
    <w:p w14:paraId="0B30DC9C" w14:textId="27D0A795" w:rsidR="005A0A33" w:rsidRDefault="005A0A33" w:rsidP="005A0A33">
      <w:pPr>
        <w:jc w:val="both"/>
        <w:rPr>
          <w:lang w:val="sk-SK"/>
        </w:rPr>
      </w:pPr>
    </w:p>
    <w:p w14:paraId="0608B91E" w14:textId="7C03FD1D" w:rsidR="00E674AB" w:rsidRDefault="00E674AB" w:rsidP="005A0A33">
      <w:pPr>
        <w:jc w:val="both"/>
        <w:rPr>
          <w:lang w:val="sk-SK"/>
        </w:rPr>
      </w:pPr>
      <w:r>
        <w:rPr>
          <w:lang w:val="sk-SK"/>
        </w:rPr>
        <w:t xml:space="preserve">K </w:t>
      </w:r>
      <w:r w:rsidR="00935E93">
        <w:rPr>
          <w:lang w:val="sk-SK"/>
        </w:rPr>
        <w:t>b</w:t>
      </w:r>
      <w:r>
        <w:rPr>
          <w:lang w:val="sk-SK"/>
        </w:rPr>
        <w:t>odu 3</w:t>
      </w:r>
      <w:r w:rsidR="00A9697A">
        <w:rPr>
          <w:lang w:val="sk-SK"/>
        </w:rPr>
        <w:t>5</w:t>
      </w:r>
      <w:r>
        <w:rPr>
          <w:lang w:val="sk-SK"/>
        </w:rPr>
        <w:t xml:space="preserve"> [§ 14 ods. 3 písm. c)]:</w:t>
      </w:r>
    </w:p>
    <w:p w14:paraId="0B50C60D" w14:textId="2670DDFF" w:rsidR="00E674AB" w:rsidRDefault="00935E93" w:rsidP="005A0A33">
      <w:pPr>
        <w:jc w:val="both"/>
        <w:rPr>
          <w:lang w:val="sk-SK"/>
        </w:rPr>
      </w:pPr>
      <w:r>
        <w:rPr>
          <w:lang w:val="sk-SK"/>
        </w:rPr>
        <w:t xml:space="preserve">V nadväznosti na povinnú deaktiváciu elektronickej schránky fyzickej osoby podnikateľa pri zániku jeho právneho postavenia </w:t>
      </w:r>
      <w:r w:rsidR="00AE0849">
        <w:rPr>
          <w:lang w:val="sk-SK"/>
        </w:rPr>
        <w:t>sa navrhuje umožniť zrušenie deaktivácie na žiadosť, ak dôvody deaktivácie zaniknú – teda v prípade, ak sa opäť stane fyzickou osobou podnikateľom.</w:t>
      </w:r>
    </w:p>
    <w:p w14:paraId="318DE70D" w14:textId="77777777" w:rsidR="00E674AB" w:rsidRPr="00E93FBA" w:rsidRDefault="00E674AB" w:rsidP="005A0A33">
      <w:pPr>
        <w:jc w:val="both"/>
        <w:rPr>
          <w:lang w:val="sk-SK"/>
        </w:rPr>
      </w:pPr>
    </w:p>
    <w:p w14:paraId="0AB9D167" w14:textId="401244F6" w:rsidR="00EB76F1" w:rsidRPr="00E93FBA" w:rsidRDefault="00591220" w:rsidP="005A0A33">
      <w:pPr>
        <w:jc w:val="both"/>
        <w:rPr>
          <w:lang w:val="sk-SK"/>
        </w:rPr>
      </w:pPr>
      <w:r w:rsidRPr="00E93FBA">
        <w:rPr>
          <w:lang w:val="sk-SK"/>
        </w:rPr>
        <w:t>K</w:t>
      </w:r>
      <w:r w:rsidR="00C251CC" w:rsidRPr="00E93FBA">
        <w:rPr>
          <w:lang w:val="sk-SK"/>
        </w:rPr>
        <w:t> </w:t>
      </w:r>
      <w:r w:rsidRPr="00E93FBA">
        <w:rPr>
          <w:lang w:val="sk-SK"/>
        </w:rPr>
        <w:t xml:space="preserve">bodu </w:t>
      </w:r>
      <w:r w:rsidR="00587CD1" w:rsidRPr="00E93FBA">
        <w:rPr>
          <w:lang w:val="sk-SK"/>
        </w:rPr>
        <w:t>3</w:t>
      </w:r>
      <w:r w:rsidR="00A9697A">
        <w:rPr>
          <w:lang w:val="sk-SK"/>
        </w:rPr>
        <w:t>6</w:t>
      </w:r>
      <w:r w:rsidR="00587CD1" w:rsidRPr="00E93FBA">
        <w:rPr>
          <w:lang w:val="sk-SK"/>
        </w:rPr>
        <w:t xml:space="preserve"> </w:t>
      </w:r>
      <w:r w:rsidR="00EB76F1" w:rsidRPr="00E93FBA">
        <w:rPr>
          <w:lang w:val="sk-SK"/>
        </w:rPr>
        <w:t>(§ 17 ods</w:t>
      </w:r>
      <w:r w:rsidR="00BB5384" w:rsidRPr="00E93FBA">
        <w:rPr>
          <w:lang w:val="sk-SK"/>
        </w:rPr>
        <w:t>ek</w:t>
      </w:r>
      <w:r w:rsidR="00EB76F1" w:rsidRPr="00E93FBA">
        <w:rPr>
          <w:lang w:val="sk-SK"/>
        </w:rPr>
        <w:t xml:space="preserve"> </w:t>
      </w:r>
      <w:r w:rsidR="007E61A3" w:rsidRPr="00E93FBA">
        <w:rPr>
          <w:lang w:val="sk-SK"/>
        </w:rPr>
        <w:t>2</w:t>
      </w:r>
      <w:r w:rsidR="00EB76F1" w:rsidRPr="00E93FBA">
        <w:rPr>
          <w:lang w:val="sk-SK"/>
        </w:rPr>
        <w:t>):</w:t>
      </w:r>
    </w:p>
    <w:p w14:paraId="3BEE0ACB" w14:textId="2A96C07C" w:rsidR="00EB76F1" w:rsidRPr="00E93FBA" w:rsidRDefault="00175981" w:rsidP="00EB76F1">
      <w:pPr>
        <w:jc w:val="both"/>
        <w:rPr>
          <w:lang w:val="sk-SK"/>
        </w:rPr>
      </w:pPr>
      <w:r w:rsidRPr="00E93FBA">
        <w:rPr>
          <w:lang w:val="sk-SK"/>
        </w:rPr>
        <w:t xml:space="preserve">Navrhuje sa ustanoviť možnosť pre dva navzájom komunikujúce OVM používať na komunikáciu elektronickú </w:t>
      </w:r>
      <w:r w:rsidR="00B430E3" w:rsidRPr="00E93FBA">
        <w:rPr>
          <w:lang w:val="sk-SK"/>
        </w:rPr>
        <w:t xml:space="preserve">správu doručovanú do elektronickej </w:t>
      </w:r>
      <w:r w:rsidRPr="00E93FBA">
        <w:rPr>
          <w:lang w:val="sk-SK"/>
        </w:rPr>
        <w:t>schránk</w:t>
      </w:r>
      <w:r w:rsidR="00B430E3" w:rsidRPr="00E93FBA">
        <w:rPr>
          <w:lang w:val="sk-SK"/>
        </w:rPr>
        <w:t>y aj</w:t>
      </w:r>
      <w:r w:rsidR="00C51F3C" w:rsidRPr="00E93FBA">
        <w:rPr>
          <w:lang w:val="sk-SK"/>
        </w:rPr>
        <w:t xml:space="preserve"> </w:t>
      </w:r>
      <w:r w:rsidR="00B430E3" w:rsidRPr="00E93FBA">
        <w:rPr>
          <w:lang w:val="sk-SK"/>
        </w:rPr>
        <w:t>ak komunikujú</w:t>
      </w:r>
      <w:r w:rsidR="00497E60" w:rsidRPr="00E93FBA">
        <w:rPr>
          <w:lang w:val="sk-SK"/>
        </w:rPr>
        <w:t xml:space="preserve"> mimo výkonu verejnej moci, ako ho definuje zákon o</w:t>
      </w:r>
      <w:r w:rsidR="00C251CC" w:rsidRPr="00E93FBA">
        <w:rPr>
          <w:lang w:val="sk-SK"/>
        </w:rPr>
        <w:t> </w:t>
      </w:r>
      <w:r w:rsidR="00497E60" w:rsidRPr="00E93FBA">
        <w:rPr>
          <w:lang w:val="sk-SK"/>
        </w:rPr>
        <w:t>e-Governmente. Táto možnosť je v</w:t>
      </w:r>
      <w:r w:rsidR="00C251CC" w:rsidRPr="00E93FBA">
        <w:rPr>
          <w:lang w:val="sk-SK"/>
        </w:rPr>
        <w:t> </w:t>
      </w:r>
      <w:r w:rsidR="00497E60" w:rsidRPr="00E93FBA">
        <w:rPr>
          <w:lang w:val="sk-SK"/>
        </w:rPr>
        <w:t xml:space="preserve">súčasnom znení § 17 ods. 2 </w:t>
      </w:r>
      <w:r w:rsidR="00C51F3C" w:rsidRPr="00E93FBA">
        <w:rPr>
          <w:lang w:val="sk-SK"/>
        </w:rPr>
        <w:t xml:space="preserve">zákona o e-Governmente </w:t>
      </w:r>
      <w:r w:rsidR="00497E60" w:rsidRPr="00E93FBA">
        <w:rPr>
          <w:lang w:val="sk-SK"/>
        </w:rPr>
        <w:t>implicitne obsiahnutá, avšak z</w:t>
      </w:r>
      <w:r w:rsidR="00C251CC" w:rsidRPr="00E93FBA">
        <w:rPr>
          <w:lang w:val="sk-SK"/>
        </w:rPr>
        <w:t> </w:t>
      </w:r>
      <w:r w:rsidR="00497E60" w:rsidRPr="00E93FBA">
        <w:rPr>
          <w:lang w:val="sk-SK"/>
        </w:rPr>
        <w:t xml:space="preserve">dôvodu </w:t>
      </w:r>
      <w:r w:rsidR="007173C2" w:rsidRPr="00E93FBA">
        <w:rPr>
          <w:lang w:val="sk-SK"/>
        </w:rPr>
        <w:t>množiacich sa otázok spojených s</w:t>
      </w:r>
      <w:r w:rsidR="00C251CC" w:rsidRPr="00E93FBA">
        <w:rPr>
          <w:lang w:val="sk-SK"/>
        </w:rPr>
        <w:t> </w:t>
      </w:r>
      <w:r w:rsidR="007173C2" w:rsidRPr="00E93FBA">
        <w:rPr>
          <w:lang w:val="sk-SK"/>
        </w:rPr>
        <w:t xml:space="preserve">výkladom tohto ustanovenia pri používaní elektronickej schránky sa navrhuje vyjadriť túto možnosť explicitne. </w:t>
      </w:r>
      <w:r w:rsidR="00B4057A" w:rsidRPr="00E93FBA">
        <w:rPr>
          <w:lang w:val="sk-SK"/>
        </w:rPr>
        <w:t>Znamená to potvrdenie dnes platného stavu, že aj v</w:t>
      </w:r>
      <w:r w:rsidR="00C251CC" w:rsidRPr="00E93FBA">
        <w:rPr>
          <w:lang w:val="sk-SK"/>
        </w:rPr>
        <w:t> </w:t>
      </w:r>
      <w:r w:rsidR="00B4057A" w:rsidRPr="00E93FBA">
        <w:rPr>
          <w:lang w:val="sk-SK"/>
        </w:rPr>
        <w:t>komunikácii napr. v</w:t>
      </w:r>
      <w:r w:rsidR="00C251CC" w:rsidRPr="00E93FBA">
        <w:rPr>
          <w:lang w:val="sk-SK"/>
        </w:rPr>
        <w:t> </w:t>
      </w:r>
      <w:r w:rsidR="00B4057A" w:rsidRPr="00E93FBA">
        <w:rPr>
          <w:lang w:val="sk-SK"/>
        </w:rPr>
        <w:t>rámci úradného styku môžu</w:t>
      </w:r>
      <w:r w:rsidR="00E973C1" w:rsidRPr="00E93FBA">
        <w:rPr>
          <w:lang w:val="sk-SK"/>
        </w:rPr>
        <w:t xml:space="preserve"> OVM na elektronickú schránku na vzájomnú komunikáciu používať</w:t>
      </w:r>
      <w:r w:rsidR="00EB76F1" w:rsidRPr="00E93FBA">
        <w:rPr>
          <w:lang w:val="sk-SK"/>
        </w:rPr>
        <w:t>.</w:t>
      </w:r>
    </w:p>
    <w:p w14:paraId="1F392B6D" w14:textId="77777777" w:rsidR="00DB78EF" w:rsidRPr="00E93FBA" w:rsidRDefault="00DB78EF" w:rsidP="00EB76F1">
      <w:pPr>
        <w:jc w:val="both"/>
        <w:rPr>
          <w:lang w:val="sk-SK"/>
        </w:rPr>
      </w:pPr>
    </w:p>
    <w:p w14:paraId="79357033" w14:textId="618F3C4E" w:rsidR="00815118" w:rsidRPr="00E93FBA" w:rsidRDefault="00815118" w:rsidP="00EB76F1">
      <w:pPr>
        <w:jc w:val="both"/>
        <w:rPr>
          <w:lang w:val="sk-SK"/>
        </w:rPr>
      </w:pPr>
      <w:r w:rsidRPr="00E93FBA">
        <w:rPr>
          <w:lang w:val="sk-SK"/>
        </w:rPr>
        <w:t>K</w:t>
      </w:r>
      <w:r w:rsidR="00C251CC" w:rsidRPr="00E93FBA">
        <w:rPr>
          <w:lang w:val="sk-SK"/>
        </w:rPr>
        <w:t> </w:t>
      </w:r>
      <w:r w:rsidRPr="00E93FBA">
        <w:rPr>
          <w:lang w:val="sk-SK"/>
        </w:rPr>
        <w:t xml:space="preserve">bodom </w:t>
      </w:r>
      <w:r w:rsidR="00587CD1" w:rsidRPr="00E93FBA">
        <w:rPr>
          <w:lang w:val="sk-SK"/>
        </w:rPr>
        <w:t>3</w:t>
      </w:r>
      <w:r w:rsidR="00A9697A">
        <w:rPr>
          <w:lang w:val="sk-SK"/>
        </w:rPr>
        <w:t>7</w:t>
      </w:r>
      <w:r w:rsidR="00587CD1" w:rsidRPr="00E93FBA">
        <w:rPr>
          <w:lang w:val="sk-SK"/>
        </w:rPr>
        <w:t xml:space="preserve"> </w:t>
      </w:r>
      <w:r w:rsidRPr="00E93FBA">
        <w:rPr>
          <w:lang w:val="sk-SK"/>
        </w:rPr>
        <w:t>a</w:t>
      </w:r>
      <w:r w:rsidR="001815FF" w:rsidRPr="00E93FBA">
        <w:rPr>
          <w:lang w:val="sk-SK"/>
        </w:rPr>
        <w:t>ž</w:t>
      </w:r>
      <w:r w:rsidR="00C251CC" w:rsidRPr="00E93FBA">
        <w:rPr>
          <w:lang w:val="sk-SK"/>
        </w:rPr>
        <w:t> </w:t>
      </w:r>
      <w:r w:rsidR="00587CD1" w:rsidRPr="00E93FBA">
        <w:rPr>
          <w:lang w:val="sk-SK"/>
        </w:rPr>
        <w:t>4</w:t>
      </w:r>
      <w:r w:rsidR="00A9697A">
        <w:rPr>
          <w:lang w:val="sk-SK"/>
        </w:rPr>
        <w:t>0</w:t>
      </w:r>
      <w:r w:rsidR="00587CD1" w:rsidRPr="00E93FBA">
        <w:rPr>
          <w:lang w:val="sk-SK"/>
        </w:rPr>
        <w:t xml:space="preserve"> </w:t>
      </w:r>
      <w:r w:rsidR="009120C3" w:rsidRPr="00E93FBA">
        <w:rPr>
          <w:lang w:val="sk-SK"/>
        </w:rPr>
        <w:t xml:space="preserve">(§ </w:t>
      </w:r>
      <w:r w:rsidR="00FC5D25" w:rsidRPr="00E93FBA">
        <w:rPr>
          <w:lang w:val="sk-SK"/>
        </w:rPr>
        <w:t>19 ods. 4</w:t>
      </w:r>
      <w:r w:rsidR="009120C3" w:rsidRPr="00E93FBA">
        <w:rPr>
          <w:lang w:val="sk-SK"/>
        </w:rPr>
        <w:t>)</w:t>
      </w:r>
      <w:r w:rsidR="00FC5D25" w:rsidRPr="00E93FBA">
        <w:rPr>
          <w:lang w:val="sk-SK"/>
        </w:rPr>
        <w:t>:</w:t>
      </w:r>
    </w:p>
    <w:p w14:paraId="172C43E0" w14:textId="173C81F1" w:rsidR="00FC5D25" w:rsidRPr="00E93FBA" w:rsidRDefault="00A103F4" w:rsidP="00EB76F1">
      <w:pPr>
        <w:jc w:val="both"/>
        <w:rPr>
          <w:lang w:val="sk-SK"/>
        </w:rPr>
      </w:pPr>
      <w:r w:rsidRPr="00E93FBA">
        <w:rPr>
          <w:lang w:val="sk-SK"/>
        </w:rPr>
        <w:t>Legislatívno-technická úprava súvisiaca so zmenami v</w:t>
      </w:r>
      <w:r w:rsidR="00C251CC" w:rsidRPr="00E93FBA">
        <w:rPr>
          <w:lang w:val="sk-SK"/>
        </w:rPr>
        <w:t> </w:t>
      </w:r>
      <w:r w:rsidRPr="00E93FBA">
        <w:rPr>
          <w:lang w:val="sk-SK"/>
        </w:rPr>
        <w:t>autentifikácii.</w:t>
      </w:r>
    </w:p>
    <w:p w14:paraId="5832EEA0" w14:textId="77777777" w:rsidR="00815118" w:rsidRPr="00E93FBA" w:rsidRDefault="00815118" w:rsidP="00EB76F1">
      <w:pPr>
        <w:jc w:val="both"/>
        <w:rPr>
          <w:lang w:val="sk-SK"/>
        </w:rPr>
      </w:pPr>
    </w:p>
    <w:p w14:paraId="2BE86666" w14:textId="4F0978CB" w:rsidR="008B1670" w:rsidRPr="00E93FBA" w:rsidRDefault="007E61A3" w:rsidP="00EB76F1">
      <w:pPr>
        <w:jc w:val="both"/>
        <w:rPr>
          <w:lang w:val="sk-SK"/>
        </w:rPr>
      </w:pPr>
      <w:r w:rsidRPr="00E93FBA">
        <w:rPr>
          <w:lang w:val="sk-SK"/>
        </w:rPr>
        <w:t>K</w:t>
      </w:r>
      <w:r w:rsidR="00C251CC" w:rsidRPr="00E93FBA">
        <w:rPr>
          <w:lang w:val="sk-SK"/>
        </w:rPr>
        <w:t> </w:t>
      </w:r>
      <w:r w:rsidRPr="00E93FBA">
        <w:rPr>
          <w:lang w:val="sk-SK"/>
        </w:rPr>
        <w:t xml:space="preserve">bodu </w:t>
      </w:r>
      <w:r w:rsidR="00587CD1" w:rsidRPr="00E93FBA">
        <w:rPr>
          <w:lang w:val="sk-SK"/>
        </w:rPr>
        <w:t>4</w:t>
      </w:r>
      <w:r w:rsidR="00A9697A">
        <w:rPr>
          <w:lang w:val="sk-SK"/>
        </w:rPr>
        <w:t>1</w:t>
      </w:r>
      <w:r w:rsidR="00587CD1" w:rsidRPr="00E93FBA">
        <w:rPr>
          <w:lang w:val="sk-SK"/>
        </w:rPr>
        <w:t xml:space="preserve"> </w:t>
      </w:r>
      <w:r w:rsidR="00A103F4" w:rsidRPr="00E93FBA">
        <w:rPr>
          <w:lang w:val="sk-SK"/>
        </w:rPr>
        <w:t>(§ 19 ods</w:t>
      </w:r>
      <w:r w:rsidR="001815FF" w:rsidRPr="00E93FBA">
        <w:rPr>
          <w:lang w:val="sk-SK"/>
        </w:rPr>
        <w:t>ek</w:t>
      </w:r>
      <w:r w:rsidR="00A103F4" w:rsidRPr="00E93FBA">
        <w:rPr>
          <w:lang w:val="sk-SK"/>
        </w:rPr>
        <w:t xml:space="preserve"> </w:t>
      </w:r>
      <w:r w:rsidR="00E12AD0" w:rsidRPr="00E93FBA">
        <w:rPr>
          <w:lang w:val="sk-SK"/>
        </w:rPr>
        <w:t>6</w:t>
      </w:r>
      <w:r w:rsidR="00A103F4" w:rsidRPr="00E93FBA">
        <w:rPr>
          <w:lang w:val="sk-SK"/>
        </w:rPr>
        <w:t>):</w:t>
      </w:r>
    </w:p>
    <w:p w14:paraId="2C4DBEB9" w14:textId="4BE7BECF" w:rsidR="007E61A3" w:rsidRPr="00E93FBA" w:rsidRDefault="00A103F4" w:rsidP="00EB76F1">
      <w:pPr>
        <w:jc w:val="both"/>
        <w:rPr>
          <w:lang w:val="sk-SK"/>
        </w:rPr>
      </w:pPr>
      <w:r w:rsidRPr="00E93FBA">
        <w:rPr>
          <w:lang w:val="sk-SK"/>
        </w:rPr>
        <w:t>Na odstránenie výkladových pochybností sa navrhuje</w:t>
      </w:r>
      <w:r w:rsidR="001D49B9" w:rsidRPr="00E93FBA">
        <w:rPr>
          <w:lang w:val="sk-SK"/>
        </w:rPr>
        <w:t xml:space="preserve"> doplniť ustanovenie o</w:t>
      </w:r>
      <w:r w:rsidR="00C251CC" w:rsidRPr="00E93FBA">
        <w:rPr>
          <w:lang w:val="sk-SK"/>
        </w:rPr>
        <w:t> </w:t>
      </w:r>
      <w:r w:rsidR="001D49B9" w:rsidRPr="00E93FBA">
        <w:rPr>
          <w:lang w:val="sk-SK"/>
        </w:rPr>
        <w:t>možnosti zvoliť si úroveň autentifikácie pri prístupe do informačného systému prostredníctvom prístupového miesta o</w:t>
      </w:r>
      <w:r w:rsidR="00C251CC" w:rsidRPr="00E93FBA">
        <w:rPr>
          <w:lang w:val="sk-SK"/>
        </w:rPr>
        <w:t> </w:t>
      </w:r>
      <w:r w:rsidR="001D49B9" w:rsidRPr="00E93FBA">
        <w:rPr>
          <w:lang w:val="sk-SK"/>
        </w:rPr>
        <w:t>možnosť zvoliť si</w:t>
      </w:r>
      <w:r w:rsidR="004D700B" w:rsidRPr="00E93FBA">
        <w:rPr>
          <w:lang w:val="sk-SK"/>
        </w:rPr>
        <w:t xml:space="preserve"> </w:t>
      </w:r>
      <w:r w:rsidR="001D49B9" w:rsidRPr="00E93FBA">
        <w:rPr>
          <w:lang w:val="sk-SK"/>
        </w:rPr>
        <w:t>úroveň autentifikácie aj</w:t>
      </w:r>
      <w:r w:rsidR="004D700B" w:rsidRPr="00E93FBA">
        <w:rPr>
          <w:lang w:val="sk-SK"/>
        </w:rPr>
        <w:t xml:space="preserve"> pri používaní konkrétnej elektronickej služby verejnej správy.</w:t>
      </w:r>
      <w:r w:rsidR="00837AA9" w:rsidRPr="00E93FBA">
        <w:rPr>
          <w:lang w:val="sk-SK"/>
        </w:rPr>
        <w:t xml:space="preserve"> Ide o</w:t>
      </w:r>
      <w:r w:rsidR="00C251CC" w:rsidRPr="00E93FBA">
        <w:rPr>
          <w:lang w:val="sk-SK"/>
        </w:rPr>
        <w:t> </w:t>
      </w:r>
      <w:r w:rsidR="00837AA9" w:rsidRPr="00E93FBA">
        <w:rPr>
          <w:lang w:val="sk-SK"/>
        </w:rPr>
        <w:t>úkon, ktorý už dnes vyplýva zo štandardov a</w:t>
      </w:r>
      <w:r w:rsidR="00C251CC" w:rsidRPr="00E93FBA">
        <w:rPr>
          <w:lang w:val="sk-SK"/>
        </w:rPr>
        <w:t> </w:t>
      </w:r>
      <w:r w:rsidR="00837AA9" w:rsidRPr="00E93FBA">
        <w:rPr>
          <w:lang w:val="sk-SK"/>
        </w:rPr>
        <w:t>jeho explicitné vyjadrenie v</w:t>
      </w:r>
      <w:r w:rsidR="00C51F3C" w:rsidRPr="00E93FBA">
        <w:rPr>
          <w:lang w:val="sk-SK"/>
        </w:rPr>
        <w:t xml:space="preserve"> návrhu </w:t>
      </w:r>
      <w:r w:rsidR="00837AA9" w:rsidRPr="00E93FBA">
        <w:rPr>
          <w:lang w:val="sk-SK"/>
        </w:rPr>
        <w:t>záko</w:t>
      </w:r>
      <w:r w:rsidR="00C51F3C" w:rsidRPr="00E93FBA">
        <w:rPr>
          <w:lang w:val="sk-SK"/>
        </w:rPr>
        <w:t>na</w:t>
      </w:r>
      <w:r w:rsidR="00837AA9" w:rsidRPr="00E93FBA">
        <w:rPr>
          <w:lang w:val="sk-SK"/>
        </w:rPr>
        <w:t xml:space="preserve"> len reflektuje </w:t>
      </w:r>
      <w:r w:rsidR="000B0A9B" w:rsidRPr="00E93FBA">
        <w:rPr>
          <w:lang w:val="sk-SK"/>
        </w:rPr>
        <w:t>túto reguláciu.</w:t>
      </w:r>
    </w:p>
    <w:p w14:paraId="6E0FECE4" w14:textId="77777777" w:rsidR="00A103F4" w:rsidRPr="00E93FBA" w:rsidRDefault="00A103F4" w:rsidP="00EB76F1">
      <w:pPr>
        <w:jc w:val="both"/>
        <w:rPr>
          <w:lang w:val="sk-SK"/>
        </w:rPr>
      </w:pPr>
    </w:p>
    <w:p w14:paraId="36E6E08B" w14:textId="786E88B0" w:rsidR="007E61A3" w:rsidRPr="00E93FBA" w:rsidRDefault="007E61A3" w:rsidP="00EB76F1">
      <w:pPr>
        <w:jc w:val="both"/>
        <w:rPr>
          <w:lang w:val="sk-SK"/>
        </w:rPr>
      </w:pPr>
      <w:r w:rsidRPr="00E93FBA">
        <w:rPr>
          <w:lang w:val="sk-SK"/>
        </w:rPr>
        <w:t>K</w:t>
      </w:r>
      <w:r w:rsidR="00C251CC" w:rsidRPr="00E93FBA">
        <w:rPr>
          <w:lang w:val="sk-SK"/>
        </w:rPr>
        <w:t> </w:t>
      </w:r>
      <w:r w:rsidRPr="00E93FBA">
        <w:rPr>
          <w:lang w:val="sk-SK"/>
        </w:rPr>
        <w:t xml:space="preserve">bodom </w:t>
      </w:r>
      <w:r w:rsidR="00587CD1" w:rsidRPr="00E93FBA">
        <w:rPr>
          <w:lang w:val="sk-SK"/>
        </w:rPr>
        <w:t>4</w:t>
      </w:r>
      <w:r w:rsidR="00A9697A">
        <w:rPr>
          <w:lang w:val="sk-SK"/>
        </w:rPr>
        <w:t>2</w:t>
      </w:r>
      <w:r w:rsidR="00587CD1" w:rsidRPr="00E93FBA">
        <w:rPr>
          <w:lang w:val="sk-SK"/>
        </w:rPr>
        <w:t xml:space="preserve"> </w:t>
      </w:r>
      <w:r w:rsidRPr="00E93FBA">
        <w:rPr>
          <w:lang w:val="sk-SK"/>
        </w:rPr>
        <w:t xml:space="preserve">až </w:t>
      </w:r>
      <w:r w:rsidR="00A9697A">
        <w:rPr>
          <w:lang w:val="sk-SK"/>
        </w:rPr>
        <w:t>49</w:t>
      </w:r>
      <w:r w:rsidR="00587CD1" w:rsidRPr="00E93FBA">
        <w:rPr>
          <w:lang w:val="sk-SK"/>
        </w:rPr>
        <w:t xml:space="preserve"> </w:t>
      </w:r>
      <w:r w:rsidR="00A70CD6" w:rsidRPr="00E93FBA">
        <w:rPr>
          <w:lang w:val="sk-SK"/>
        </w:rPr>
        <w:t>(§ 21 až 22a):</w:t>
      </w:r>
    </w:p>
    <w:p w14:paraId="1E76A632" w14:textId="5DCECF8F" w:rsidR="009A0D10" w:rsidRPr="00E93FBA" w:rsidRDefault="00240A80" w:rsidP="00240A80">
      <w:pPr>
        <w:jc w:val="both"/>
        <w:rPr>
          <w:lang w:val="sk-SK"/>
        </w:rPr>
      </w:pPr>
      <w:r w:rsidRPr="00E93FBA">
        <w:rPr>
          <w:lang w:val="sk-SK"/>
        </w:rPr>
        <w:t>Navrhuje sa otvoriť právnu úpravu pre používanie iných než dnes v</w:t>
      </w:r>
      <w:r w:rsidR="00C251CC" w:rsidRPr="00E93FBA">
        <w:rPr>
          <w:lang w:val="sk-SK"/>
        </w:rPr>
        <w:t> </w:t>
      </w:r>
      <w:r w:rsidRPr="00E93FBA">
        <w:rPr>
          <w:lang w:val="sk-SK"/>
        </w:rPr>
        <w:t xml:space="preserve">zákone </w:t>
      </w:r>
      <w:r w:rsidR="00C51F3C" w:rsidRPr="00E93FBA">
        <w:rPr>
          <w:lang w:val="sk-SK"/>
        </w:rPr>
        <w:t xml:space="preserve">o e-Governmente </w:t>
      </w:r>
      <w:r w:rsidRPr="00E93FBA">
        <w:rPr>
          <w:lang w:val="sk-SK"/>
        </w:rPr>
        <w:t>ustanovených autentifikátorov. Zachováva sa možnosť autentifikácie s</w:t>
      </w:r>
      <w:r w:rsidR="00C251CC" w:rsidRPr="00E93FBA">
        <w:rPr>
          <w:lang w:val="sk-SK"/>
        </w:rPr>
        <w:t> </w:t>
      </w:r>
      <w:r w:rsidRPr="00E93FBA">
        <w:rPr>
          <w:lang w:val="sk-SK"/>
        </w:rPr>
        <w:t>použitím dokladov (eID a</w:t>
      </w:r>
      <w:r w:rsidR="00C251CC" w:rsidRPr="00E93FBA">
        <w:rPr>
          <w:lang w:val="sk-SK"/>
        </w:rPr>
        <w:t> </w:t>
      </w:r>
      <w:r w:rsidRPr="00E93FBA">
        <w:rPr>
          <w:lang w:val="sk-SK"/>
        </w:rPr>
        <w:t>doklad o</w:t>
      </w:r>
      <w:r w:rsidR="00C251CC" w:rsidRPr="00E93FBA">
        <w:rPr>
          <w:lang w:val="sk-SK"/>
        </w:rPr>
        <w:t> </w:t>
      </w:r>
      <w:r w:rsidRPr="00E93FBA">
        <w:rPr>
          <w:lang w:val="sk-SK"/>
        </w:rPr>
        <w:t>pobyte cudzinca), ako aj autentifikačných prostriedkov notifikovaných podľa nariadenia (EÚ) č. 910/2014 a</w:t>
      </w:r>
      <w:r w:rsidR="00C251CC" w:rsidRPr="00E93FBA">
        <w:rPr>
          <w:lang w:val="sk-SK"/>
        </w:rPr>
        <w:t> </w:t>
      </w:r>
      <w:r w:rsidRPr="00E93FBA">
        <w:rPr>
          <w:lang w:val="sk-SK"/>
        </w:rPr>
        <w:t>pre iné autentifikačné prostriedky sa navrhuje zaviesť pravidlo ich súlad</w:t>
      </w:r>
      <w:r w:rsidR="00A4505F" w:rsidRPr="00E93FBA">
        <w:rPr>
          <w:lang w:val="sk-SK"/>
        </w:rPr>
        <w:t>u</w:t>
      </w:r>
      <w:r w:rsidRPr="00E93FBA">
        <w:rPr>
          <w:lang w:val="sk-SK"/>
        </w:rPr>
        <w:t xml:space="preserve"> so štandardmi a</w:t>
      </w:r>
      <w:r w:rsidR="00C251CC" w:rsidRPr="00E93FBA">
        <w:rPr>
          <w:lang w:val="sk-SK"/>
        </w:rPr>
        <w:t> </w:t>
      </w:r>
      <w:r w:rsidRPr="00E93FBA">
        <w:rPr>
          <w:lang w:val="sk-SK"/>
        </w:rPr>
        <w:t>postupmi podľa zákona</w:t>
      </w:r>
      <w:r w:rsidR="00C51F3C" w:rsidRPr="00E93FBA">
        <w:rPr>
          <w:lang w:val="sk-SK"/>
        </w:rPr>
        <w:t xml:space="preserve"> o e-Governmente</w:t>
      </w:r>
      <w:r w:rsidRPr="00E93FBA">
        <w:rPr>
          <w:lang w:val="sk-SK"/>
        </w:rPr>
        <w:t>, evidencia a</w:t>
      </w:r>
      <w:r w:rsidR="00C251CC" w:rsidRPr="00E93FBA">
        <w:rPr>
          <w:lang w:val="sk-SK"/>
        </w:rPr>
        <w:t> </w:t>
      </w:r>
      <w:r w:rsidRPr="00E93FBA">
        <w:rPr>
          <w:lang w:val="sk-SK"/>
        </w:rPr>
        <w:t>následné používanie podľa rozhodnutia orgánu verejnej moci.</w:t>
      </w:r>
    </w:p>
    <w:p w14:paraId="52C40787" w14:textId="5EF2AA15" w:rsidR="00A70CD6" w:rsidRPr="00E93FBA" w:rsidRDefault="00C51F3C" w:rsidP="00EB76F1">
      <w:pPr>
        <w:jc w:val="both"/>
        <w:rPr>
          <w:lang w:val="sk-SK"/>
        </w:rPr>
      </w:pPr>
      <w:r w:rsidRPr="00E93FBA">
        <w:rPr>
          <w:lang w:val="sk-SK"/>
        </w:rPr>
        <w:t>P</w:t>
      </w:r>
      <w:r w:rsidR="00630623" w:rsidRPr="00E93FBA">
        <w:rPr>
          <w:lang w:val="sk-SK"/>
        </w:rPr>
        <w:t>rávna úprava je dvojkoľajná v</w:t>
      </w:r>
      <w:r w:rsidR="00C251CC" w:rsidRPr="00E93FBA">
        <w:rPr>
          <w:lang w:val="sk-SK"/>
        </w:rPr>
        <w:t> </w:t>
      </w:r>
      <w:r w:rsidR="00630623" w:rsidRPr="00E93FBA">
        <w:rPr>
          <w:lang w:val="sk-SK"/>
        </w:rPr>
        <w:t>zmysle, že ustanovuje taxatívny výpočet autentifikátorov, ktoré s</w:t>
      </w:r>
      <w:r w:rsidR="00CC4199" w:rsidRPr="00E93FBA">
        <w:rPr>
          <w:lang w:val="sk-SK"/>
        </w:rPr>
        <w:t>ú podporované všetkými prístupovými bodmi a</w:t>
      </w:r>
      <w:r w:rsidR="00C251CC" w:rsidRPr="00E93FBA">
        <w:rPr>
          <w:lang w:val="sk-SK"/>
        </w:rPr>
        <w:t> </w:t>
      </w:r>
      <w:r w:rsidR="00CC4199" w:rsidRPr="00E93FBA">
        <w:rPr>
          <w:lang w:val="sk-SK"/>
        </w:rPr>
        <w:t xml:space="preserve">bez bližšej špecifikácie umožňuje pre špecializované portály zriadenie aj iných </w:t>
      </w:r>
      <w:r w:rsidR="00E15F27" w:rsidRPr="00E93FBA">
        <w:rPr>
          <w:lang w:val="sk-SK"/>
        </w:rPr>
        <w:t>autentifikačných</w:t>
      </w:r>
      <w:r w:rsidR="00CC4199" w:rsidRPr="00E93FBA">
        <w:rPr>
          <w:lang w:val="sk-SK"/>
        </w:rPr>
        <w:t xml:space="preserve"> </w:t>
      </w:r>
      <w:r w:rsidR="00E15F27" w:rsidRPr="00E93FBA">
        <w:rPr>
          <w:lang w:val="sk-SK"/>
        </w:rPr>
        <w:t>prostriedkov. Vzhľadom na</w:t>
      </w:r>
      <w:r w:rsidR="00A63A9A" w:rsidRPr="00E93FBA">
        <w:rPr>
          <w:lang w:val="sk-SK"/>
        </w:rPr>
        <w:t xml:space="preserve"> technologické možnosti, ako aj z</w:t>
      </w:r>
      <w:r w:rsidR="00C251CC" w:rsidRPr="00E93FBA">
        <w:rPr>
          <w:lang w:val="sk-SK"/>
        </w:rPr>
        <w:t> </w:t>
      </w:r>
      <w:r w:rsidR="00A63A9A" w:rsidRPr="00E93FBA">
        <w:rPr>
          <w:lang w:val="sk-SK"/>
        </w:rPr>
        <w:t>praktického hľadiska sa</w:t>
      </w:r>
      <w:r w:rsidRPr="00E93FBA">
        <w:rPr>
          <w:lang w:val="sk-SK"/>
        </w:rPr>
        <w:t xml:space="preserve"> tento stav</w:t>
      </w:r>
      <w:r w:rsidR="00A63A9A" w:rsidRPr="00E93FBA">
        <w:rPr>
          <w:lang w:val="sk-SK"/>
        </w:rPr>
        <w:t xml:space="preserve"> nejaví vhodný, keďže jednak </w:t>
      </w:r>
      <w:r w:rsidR="001D6130" w:rsidRPr="00E93FBA">
        <w:rPr>
          <w:lang w:val="sk-SK"/>
        </w:rPr>
        <w:t>bez zmeny zákona</w:t>
      </w:r>
      <w:r w:rsidR="0019047B" w:rsidRPr="00E93FBA">
        <w:rPr>
          <w:lang w:val="sk-SK"/>
        </w:rPr>
        <w:t xml:space="preserve"> o e-Governmente</w:t>
      </w:r>
      <w:r w:rsidR="001D6130" w:rsidRPr="00E93FBA">
        <w:rPr>
          <w:lang w:val="sk-SK"/>
        </w:rPr>
        <w:t xml:space="preserve"> </w:t>
      </w:r>
      <w:r w:rsidR="00A63A9A" w:rsidRPr="00E93FBA">
        <w:rPr>
          <w:lang w:val="sk-SK"/>
        </w:rPr>
        <w:t xml:space="preserve">neumožňuje na centrálnej úrovni </w:t>
      </w:r>
      <w:r w:rsidR="001D6130" w:rsidRPr="00E93FBA">
        <w:rPr>
          <w:lang w:val="sk-SK"/>
        </w:rPr>
        <w:t>a</w:t>
      </w:r>
      <w:r w:rsidR="00C251CC" w:rsidRPr="00E93FBA">
        <w:rPr>
          <w:lang w:val="sk-SK"/>
        </w:rPr>
        <w:t> </w:t>
      </w:r>
      <w:r w:rsidR="001D6130" w:rsidRPr="00E93FBA">
        <w:rPr>
          <w:lang w:val="sk-SK"/>
        </w:rPr>
        <w:t>s</w:t>
      </w:r>
      <w:r w:rsidR="00C251CC" w:rsidRPr="00E93FBA">
        <w:rPr>
          <w:lang w:val="sk-SK"/>
        </w:rPr>
        <w:t> </w:t>
      </w:r>
      <w:r w:rsidR="001D6130" w:rsidRPr="00E93FBA">
        <w:rPr>
          <w:lang w:val="sk-SK"/>
        </w:rPr>
        <w:t xml:space="preserve">povinnou podporou </w:t>
      </w:r>
      <w:r w:rsidR="00143823" w:rsidRPr="00E93FBA">
        <w:rPr>
          <w:lang w:val="sk-SK"/>
        </w:rPr>
        <w:t xml:space="preserve">prístupových miest </w:t>
      </w:r>
      <w:r w:rsidR="00A63A9A" w:rsidRPr="00E93FBA">
        <w:rPr>
          <w:lang w:val="sk-SK"/>
        </w:rPr>
        <w:t>použiť</w:t>
      </w:r>
      <w:r w:rsidR="001D6130" w:rsidRPr="00E93FBA">
        <w:rPr>
          <w:lang w:val="sk-SK"/>
        </w:rPr>
        <w:t xml:space="preserve"> akékoľvek autentifikačné riešenie, ktoré by mohlo byť vhodné a</w:t>
      </w:r>
      <w:r w:rsidR="00C251CC" w:rsidRPr="00E93FBA">
        <w:rPr>
          <w:lang w:val="sk-SK"/>
        </w:rPr>
        <w:t> </w:t>
      </w:r>
      <w:r w:rsidR="00143823" w:rsidRPr="00E93FBA">
        <w:rPr>
          <w:lang w:val="sk-SK"/>
        </w:rPr>
        <w:t>tiež z</w:t>
      </w:r>
      <w:r w:rsidR="00C251CC" w:rsidRPr="00E93FBA">
        <w:rPr>
          <w:lang w:val="sk-SK"/>
        </w:rPr>
        <w:t> </w:t>
      </w:r>
      <w:r w:rsidR="00143823" w:rsidRPr="00E93FBA">
        <w:rPr>
          <w:lang w:val="sk-SK"/>
        </w:rPr>
        <w:t>dôvodu, že de facto vyžaduje popis technických podrobností autentifikátorov (mimo dokladov a</w:t>
      </w:r>
      <w:r w:rsidR="00C251CC" w:rsidRPr="00E93FBA">
        <w:rPr>
          <w:lang w:val="sk-SK"/>
        </w:rPr>
        <w:t> </w:t>
      </w:r>
      <w:r w:rsidR="00143823" w:rsidRPr="00E93FBA">
        <w:rPr>
          <w:lang w:val="sk-SK"/>
        </w:rPr>
        <w:t xml:space="preserve">eIDAS schém) vo všeobecne záväzných </w:t>
      </w:r>
      <w:r w:rsidR="009973DB" w:rsidRPr="00E93FBA">
        <w:rPr>
          <w:lang w:val="sk-SK"/>
        </w:rPr>
        <w:t>p</w:t>
      </w:r>
      <w:r w:rsidR="00143823" w:rsidRPr="00E93FBA">
        <w:rPr>
          <w:lang w:val="sk-SK"/>
        </w:rPr>
        <w:t xml:space="preserve">rávnych predpisoch. </w:t>
      </w:r>
      <w:r w:rsidR="009973DB" w:rsidRPr="00E93FBA">
        <w:rPr>
          <w:lang w:val="sk-SK"/>
        </w:rPr>
        <w:t>Z</w:t>
      </w:r>
      <w:r w:rsidR="00C251CC" w:rsidRPr="00E93FBA">
        <w:rPr>
          <w:lang w:val="sk-SK"/>
        </w:rPr>
        <w:t> </w:t>
      </w:r>
      <w:r w:rsidR="009973DB" w:rsidRPr="00E93FBA">
        <w:rPr>
          <w:lang w:val="sk-SK"/>
        </w:rPr>
        <w:t>hľadiska podmienok, ktoré musí každý autentifikačný prostriedok spĺňať pritom platia jednotné pravidlá v</w:t>
      </w:r>
      <w:r w:rsidR="00C251CC" w:rsidRPr="00E93FBA">
        <w:rPr>
          <w:lang w:val="sk-SK"/>
        </w:rPr>
        <w:t> </w:t>
      </w:r>
      <w:r w:rsidR="009973DB" w:rsidRPr="00E93FBA">
        <w:rPr>
          <w:lang w:val="sk-SK"/>
        </w:rPr>
        <w:t>oblasti regulácie informačných technológií verejnej správy a</w:t>
      </w:r>
      <w:r w:rsidR="00C251CC" w:rsidRPr="00E93FBA">
        <w:rPr>
          <w:lang w:val="sk-SK"/>
        </w:rPr>
        <w:t> </w:t>
      </w:r>
      <w:r w:rsidR="009973DB" w:rsidRPr="00E93FBA">
        <w:rPr>
          <w:lang w:val="sk-SK"/>
        </w:rPr>
        <w:t>tiež štandardov, preto pomenúvanie konkrétnych možných riešení sa javí ako nadbytočné a</w:t>
      </w:r>
      <w:r w:rsidR="00C251CC" w:rsidRPr="00E93FBA">
        <w:rPr>
          <w:lang w:val="sk-SK"/>
        </w:rPr>
        <w:t> </w:t>
      </w:r>
      <w:r w:rsidR="009973DB" w:rsidRPr="00E93FBA">
        <w:rPr>
          <w:lang w:val="sk-SK"/>
        </w:rPr>
        <w:t xml:space="preserve">zväzujúce – osobitne, ak </w:t>
      </w:r>
      <w:r w:rsidR="009973DB" w:rsidRPr="00E93FBA">
        <w:rPr>
          <w:lang w:val="sk-SK"/>
        </w:rPr>
        <w:lastRenderedPageBreak/>
        <w:t>podstatným nie je pomenovanie riešenia, ale fakt, či a</w:t>
      </w:r>
      <w:r w:rsidR="00C251CC" w:rsidRPr="00E93FBA">
        <w:rPr>
          <w:lang w:val="sk-SK"/>
        </w:rPr>
        <w:t> </w:t>
      </w:r>
      <w:r w:rsidR="009973DB" w:rsidRPr="00E93FBA">
        <w:rPr>
          <w:lang w:val="sk-SK"/>
        </w:rPr>
        <w:t>v</w:t>
      </w:r>
      <w:r w:rsidR="00C251CC" w:rsidRPr="00E93FBA">
        <w:rPr>
          <w:lang w:val="sk-SK"/>
        </w:rPr>
        <w:t> </w:t>
      </w:r>
      <w:r w:rsidR="009973DB" w:rsidRPr="00E93FBA">
        <w:rPr>
          <w:lang w:val="sk-SK"/>
        </w:rPr>
        <w:t>akom rozsahu spĺňa podmienky štandardov.</w:t>
      </w:r>
    </w:p>
    <w:p w14:paraId="23A2C429" w14:textId="361F39EC" w:rsidR="000543E7" w:rsidRPr="00E93FBA" w:rsidRDefault="000543E7" w:rsidP="00EB76F1">
      <w:pPr>
        <w:jc w:val="both"/>
        <w:rPr>
          <w:lang w:val="sk-SK"/>
        </w:rPr>
      </w:pPr>
      <w:r w:rsidRPr="00E93FBA">
        <w:rPr>
          <w:lang w:val="sk-SK"/>
        </w:rPr>
        <w:t xml:space="preserve">Preto sa </w:t>
      </w:r>
      <w:r w:rsidR="0019047B" w:rsidRPr="00E93FBA">
        <w:rPr>
          <w:lang w:val="sk-SK"/>
        </w:rPr>
        <w:t xml:space="preserve">pristúpilo </w:t>
      </w:r>
      <w:r w:rsidRPr="00E93FBA">
        <w:rPr>
          <w:lang w:val="sk-SK"/>
        </w:rPr>
        <w:t>k</w:t>
      </w:r>
      <w:r w:rsidR="00C251CC" w:rsidRPr="00E93FBA">
        <w:rPr>
          <w:lang w:val="sk-SK"/>
        </w:rPr>
        <w:t> </w:t>
      </w:r>
      <w:r w:rsidRPr="00E93FBA">
        <w:rPr>
          <w:lang w:val="sk-SK"/>
        </w:rPr>
        <w:t>autentifikačným prostriedkom obdobne, ako k</w:t>
      </w:r>
      <w:r w:rsidR="00C251CC" w:rsidRPr="00E93FBA">
        <w:rPr>
          <w:lang w:val="sk-SK"/>
        </w:rPr>
        <w:t> </w:t>
      </w:r>
      <w:r w:rsidRPr="00E93FBA">
        <w:rPr>
          <w:lang w:val="sk-SK"/>
        </w:rPr>
        <w:t>vládnym cloudovým službám, t.j. zaviesť jednoduchý proces evidovania, spojený s</w:t>
      </w:r>
      <w:r w:rsidR="00C251CC" w:rsidRPr="00E93FBA">
        <w:rPr>
          <w:lang w:val="sk-SK"/>
        </w:rPr>
        <w:t> </w:t>
      </w:r>
      <w:r w:rsidRPr="00E93FBA">
        <w:rPr>
          <w:lang w:val="sk-SK"/>
        </w:rPr>
        <w:t>preukázaním splnenia podmienok vyžadovaných pre informačné technológie verejnej správy</w:t>
      </w:r>
      <w:r w:rsidR="00332E1B" w:rsidRPr="00E93FBA">
        <w:rPr>
          <w:lang w:val="sk-SK"/>
        </w:rPr>
        <w:t>. Takto evidované autentifikačné prostriedky bude možné použiť podľa potreby OVM na špecializovanom portáli, resp. p</w:t>
      </w:r>
      <w:r w:rsidR="00F60330" w:rsidRPr="00E93FBA">
        <w:rPr>
          <w:lang w:val="sk-SK"/>
        </w:rPr>
        <w:t>o splnení zákonných podmienok na centrálne riešenie aj na ústrednom portáli.</w:t>
      </w:r>
    </w:p>
    <w:p w14:paraId="20025AFF" w14:textId="77777777" w:rsidR="004D1C96" w:rsidRPr="00E93FBA" w:rsidRDefault="00F60330" w:rsidP="00EB76F1">
      <w:pPr>
        <w:jc w:val="both"/>
        <w:rPr>
          <w:lang w:val="sk-SK"/>
        </w:rPr>
      </w:pPr>
      <w:r w:rsidRPr="00E93FBA">
        <w:rPr>
          <w:lang w:val="sk-SK"/>
        </w:rPr>
        <w:t>Napriek tomu, že z</w:t>
      </w:r>
      <w:r w:rsidR="00C251CC" w:rsidRPr="00E93FBA">
        <w:rPr>
          <w:lang w:val="sk-SK"/>
        </w:rPr>
        <w:t> </w:t>
      </w:r>
      <w:r w:rsidRPr="00E93FBA">
        <w:rPr>
          <w:lang w:val="sk-SK"/>
        </w:rPr>
        <w:t>pohľadu materiálnej regulácie sa nič</w:t>
      </w:r>
      <w:r w:rsidR="00B36B9C" w:rsidRPr="00E93FBA">
        <w:rPr>
          <w:lang w:val="sk-SK"/>
        </w:rPr>
        <w:t xml:space="preserve"> zásadné</w:t>
      </w:r>
      <w:r w:rsidRPr="00E93FBA">
        <w:rPr>
          <w:lang w:val="sk-SK"/>
        </w:rPr>
        <w:t xml:space="preserve"> nemení a</w:t>
      </w:r>
      <w:r w:rsidR="00C251CC" w:rsidRPr="00E93FBA">
        <w:rPr>
          <w:lang w:val="sk-SK"/>
        </w:rPr>
        <w:t> </w:t>
      </w:r>
      <w:r w:rsidRPr="00E93FBA">
        <w:rPr>
          <w:lang w:val="sk-SK"/>
        </w:rPr>
        <w:t>podmienky na autentifikačné prostriedky v</w:t>
      </w:r>
      <w:r w:rsidR="00C251CC" w:rsidRPr="00E93FBA">
        <w:rPr>
          <w:lang w:val="sk-SK"/>
        </w:rPr>
        <w:t> </w:t>
      </w:r>
      <w:r w:rsidRPr="00E93FBA">
        <w:rPr>
          <w:lang w:val="sk-SK"/>
        </w:rPr>
        <w:t xml:space="preserve">informačných technológiách verejnej správy zostávajú rovnaké, umožní táto zmena </w:t>
      </w:r>
      <w:r w:rsidR="00B61DA9" w:rsidRPr="00E93FBA">
        <w:rPr>
          <w:lang w:val="sk-SK"/>
        </w:rPr>
        <w:t>nielen rozvoj a</w:t>
      </w:r>
      <w:r w:rsidR="00C251CC" w:rsidRPr="00E93FBA">
        <w:rPr>
          <w:lang w:val="sk-SK"/>
        </w:rPr>
        <w:t> </w:t>
      </w:r>
      <w:r w:rsidR="00B61DA9" w:rsidRPr="00E93FBA">
        <w:rPr>
          <w:lang w:val="sk-SK"/>
        </w:rPr>
        <w:t xml:space="preserve">konkurenciu autentifikačných prostriedkov, ale aj používanie riešení tretích strán, mimo OVM. </w:t>
      </w:r>
    </w:p>
    <w:p w14:paraId="72E13B02" w14:textId="17D9B446" w:rsidR="00F60330" w:rsidRPr="00E93FBA" w:rsidRDefault="00DD416C" w:rsidP="00EB76F1">
      <w:pPr>
        <w:jc w:val="both"/>
        <w:rPr>
          <w:lang w:val="sk-SK"/>
        </w:rPr>
      </w:pPr>
      <w:r w:rsidRPr="00E93FBA">
        <w:rPr>
          <w:lang w:val="sk-SK"/>
        </w:rPr>
        <w:t xml:space="preserve">Nemení sa ani spôsob </w:t>
      </w:r>
      <w:r w:rsidR="003015F6" w:rsidRPr="00E93FBA">
        <w:rPr>
          <w:lang w:val="sk-SK"/>
        </w:rPr>
        <w:t xml:space="preserve">zabezpečenia autentifikácie s použitím úradného autentifikátora a prostriedku podľa nariadenia eIDAS. Orgán verejnej moci, ktorému § 21 ods. 6 ukladá povinnosť zabezpečiť </w:t>
      </w:r>
      <w:r w:rsidR="004D1C96" w:rsidRPr="00E93FBA">
        <w:rPr>
          <w:lang w:val="sk-SK"/>
        </w:rPr>
        <w:t xml:space="preserve">autentifikáciu s použitím týchto autentifikačných prostriedkov bude môcť naďalej splniť túto povinnosť aj tým, že </w:t>
      </w:r>
      <w:r w:rsidR="00AB5402" w:rsidRPr="00E93FBA">
        <w:rPr>
          <w:lang w:val="sk-SK"/>
        </w:rPr>
        <w:t>využije existujúce funkcionality autentifikačného modulu (</w:t>
      </w:r>
      <w:r w:rsidR="00FF2E23" w:rsidRPr="00E93FBA">
        <w:rPr>
          <w:lang w:val="sk-SK"/>
        </w:rPr>
        <w:t>nevyžaduje</w:t>
      </w:r>
      <w:r w:rsidR="00AB5402" w:rsidRPr="00E93FBA">
        <w:rPr>
          <w:lang w:val="sk-SK"/>
        </w:rPr>
        <w:t xml:space="preserve"> sa teda</w:t>
      </w:r>
      <w:r w:rsidR="00FF2E23" w:rsidRPr="00E93FBA">
        <w:rPr>
          <w:lang w:val="sk-SK"/>
        </w:rPr>
        <w:t>, aby orgány verejnej moci budovali na tento účel vlastné riešenia).</w:t>
      </w:r>
    </w:p>
    <w:p w14:paraId="260EDC90" w14:textId="77777777" w:rsidR="007E61A3" w:rsidRPr="00E93FBA" w:rsidRDefault="007E61A3" w:rsidP="00EB76F1">
      <w:pPr>
        <w:jc w:val="both"/>
        <w:rPr>
          <w:lang w:val="sk-SK"/>
        </w:rPr>
      </w:pPr>
    </w:p>
    <w:p w14:paraId="5B0FA694" w14:textId="437ED028" w:rsidR="008B1670" w:rsidRPr="00E93FBA" w:rsidRDefault="008B1670" w:rsidP="00EB76F1">
      <w:pPr>
        <w:jc w:val="both"/>
        <w:rPr>
          <w:lang w:val="sk-SK"/>
        </w:rPr>
      </w:pPr>
      <w:r w:rsidRPr="00E93FBA">
        <w:rPr>
          <w:lang w:val="sk-SK"/>
        </w:rPr>
        <w:t>K</w:t>
      </w:r>
      <w:r w:rsidR="00C251CC" w:rsidRPr="00E93FBA">
        <w:rPr>
          <w:lang w:val="sk-SK"/>
        </w:rPr>
        <w:t> </w:t>
      </w:r>
      <w:r w:rsidRPr="00E93FBA">
        <w:rPr>
          <w:lang w:val="sk-SK"/>
        </w:rPr>
        <w:t xml:space="preserve">bodu </w:t>
      </w:r>
      <w:r w:rsidR="0030710F" w:rsidRPr="00E93FBA">
        <w:rPr>
          <w:lang w:val="sk-SK"/>
        </w:rPr>
        <w:t>5</w:t>
      </w:r>
      <w:r w:rsidR="00A9697A">
        <w:rPr>
          <w:lang w:val="sk-SK"/>
        </w:rPr>
        <w:t>0</w:t>
      </w:r>
      <w:r w:rsidR="0030710F" w:rsidRPr="00E93FBA">
        <w:rPr>
          <w:lang w:val="sk-SK"/>
        </w:rPr>
        <w:t xml:space="preserve"> </w:t>
      </w:r>
      <w:r w:rsidR="007E61A3" w:rsidRPr="00E93FBA">
        <w:rPr>
          <w:lang w:val="sk-SK"/>
        </w:rPr>
        <w:t xml:space="preserve">[§ </w:t>
      </w:r>
      <w:r w:rsidRPr="00E93FBA">
        <w:rPr>
          <w:lang w:val="sk-SK"/>
        </w:rPr>
        <w:t>23 ods. 1 písm. a</w:t>
      </w:r>
      <w:r w:rsidR="007E61A3" w:rsidRPr="00E93FBA">
        <w:rPr>
          <w:lang w:val="sk-SK"/>
        </w:rPr>
        <w:t>)]:</w:t>
      </w:r>
    </w:p>
    <w:p w14:paraId="424DE9A5" w14:textId="64B26208" w:rsidR="0003618F" w:rsidRPr="00D85AFD" w:rsidRDefault="00DB182C" w:rsidP="00D85AFD">
      <w:pPr>
        <w:jc w:val="both"/>
        <w:rPr>
          <w:lang w:val="sk-SK"/>
        </w:rPr>
      </w:pPr>
      <w:r w:rsidRPr="00E93FBA">
        <w:rPr>
          <w:lang w:val="sk-SK"/>
        </w:rPr>
        <w:t xml:space="preserve">Navrhuje sa </w:t>
      </w:r>
      <w:r w:rsidR="004D76AD" w:rsidRPr="00E93FBA">
        <w:rPr>
          <w:lang w:val="sk-SK"/>
        </w:rPr>
        <w:t>zjednodušiť podmienky tzv.</w:t>
      </w:r>
      <w:r w:rsidRPr="00E93FBA">
        <w:rPr>
          <w:lang w:val="sk-SK"/>
        </w:rPr>
        <w:t xml:space="preserve"> </w:t>
      </w:r>
      <w:r w:rsidR="00F71867" w:rsidRPr="00E93FBA">
        <w:rPr>
          <w:lang w:val="sk-SK"/>
        </w:rPr>
        <w:t>„</w:t>
      </w:r>
      <w:r w:rsidRPr="00E93FBA">
        <w:rPr>
          <w:lang w:val="sk-SK"/>
        </w:rPr>
        <w:t>autorizácie klikom</w:t>
      </w:r>
      <w:r w:rsidR="00F71867" w:rsidRPr="00E93FBA">
        <w:rPr>
          <w:lang w:val="sk-SK"/>
        </w:rPr>
        <w:t>“</w:t>
      </w:r>
      <w:r w:rsidRPr="00E93FBA">
        <w:rPr>
          <w:lang w:val="sk-SK"/>
        </w:rPr>
        <w:t xml:space="preserve"> </w:t>
      </w:r>
      <w:r w:rsidR="004D76AD" w:rsidRPr="00E93FBA">
        <w:rPr>
          <w:lang w:val="sk-SK"/>
        </w:rPr>
        <w:t xml:space="preserve">a ponechať v zákone </w:t>
      </w:r>
      <w:r w:rsidR="00A4505F" w:rsidRPr="00E93FBA">
        <w:rPr>
          <w:lang w:val="sk-SK"/>
        </w:rPr>
        <w:t xml:space="preserve">e-Governmente </w:t>
      </w:r>
      <w:r w:rsidR="004D76AD" w:rsidRPr="00E93FBA">
        <w:rPr>
          <w:lang w:val="sk-SK"/>
        </w:rPr>
        <w:t>len dve základné podmienky – musí ísť o riešenie prístupového miesta a zároveň musí byť podmienené autentifikáciou na úrovni „pokročilá“. Ostatné podmienky dnes účinnej úpravy budú navrhnuté do štandardov pre informačné technológie verejnej správy, keďže ide o podmienky na úrovni technického riešenia, ktorých miesto je práve v štandardoch a nie v</w:t>
      </w:r>
      <w:r w:rsidR="00A4505F" w:rsidRPr="00E93FBA">
        <w:rPr>
          <w:lang w:val="sk-SK"/>
        </w:rPr>
        <w:t> </w:t>
      </w:r>
      <w:r w:rsidR="004D76AD" w:rsidRPr="00E93FBA">
        <w:rPr>
          <w:lang w:val="sk-SK"/>
        </w:rPr>
        <w:t>zákone</w:t>
      </w:r>
      <w:r w:rsidR="00A4505F" w:rsidRPr="00E93FBA">
        <w:rPr>
          <w:lang w:val="sk-SK"/>
        </w:rPr>
        <w:t xml:space="preserve"> e- Governmente</w:t>
      </w:r>
      <w:r w:rsidRPr="00E93FBA">
        <w:rPr>
          <w:lang w:val="sk-SK"/>
        </w:rPr>
        <w:t>.</w:t>
      </w:r>
      <w:r w:rsidR="0003618F" w:rsidRPr="00E93FBA">
        <w:rPr>
          <w:lang w:val="sk-SK"/>
        </w:rPr>
        <w:t xml:space="preserve"> </w:t>
      </w:r>
      <w:r w:rsidR="0003618F" w:rsidRPr="00D85AFD">
        <w:rPr>
          <w:lang w:val="sk-SK"/>
        </w:rPr>
        <w:t xml:space="preserve">Navrhovaná úprava nie je úpravou vyvolanou projektom Slovensko v mobile. Navyše, Slovensko v mobile je súčasťou </w:t>
      </w:r>
      <w:r w:rsidR="00CC60FE" w:rsidRPr="00E93FBA">
        <w:rPr>
          <w:lang w:val="sk-SK"/>
        </w:rPr>
        <w:t>ústredného portálu verejnej správy</w:t>
      </w:r>
      <w:r w:rsidR="0003618F" w:rsidRPr="00D85AFD">
        <w:rPr>
          <w:lang w:val="sk-SK"/>
        </w:rPr>
        <w:t>, čiže nejde ani o duplicitu a ani o dopĺňajúce sa funkcionality.</w:t>
      </w:r>
      <w:r w:rsidR="007C489B" w:rsidRPr="007C489B">
        <w:t xml:space="preserve"> </w:t>
      </w:r>
      <w:r w:rsidR="007C489B" w:rsidRPr="007C489B">
        <w:rPr>
          <w:lang w:val="sk-SK"/>
        </w:rPr>
        <w:t xml:space="preserve">Pre zabezpečenie funkčnosti autorizácie klikom vytváranej na </w:t>
      </w:r>
      <w:r w:rsidR="00D079B6">
        <w:rPr>
          <w:lang w:val="sk-SK"/>
        </w:rPr>
        <w:t>ústrednom portáli verejnej správy</w:t>
      </w:r>
      <w:r w:rsidR="00D079B6" w:rsidRPr="007C489B">
        <w:rPr>
          <w:lang w:val="sk-SK"/>
        </w:rPr>
        <w:t xml:space="preserve"> </w:t>
      </w:r>
      <w:r w:rsidR="007C489B" w:rsidRPr="007C489B">
        <w:rPr>
          <w:lang w:val="sk-SK"/>
        </w:rPr>
        <w:t xml:space="preserve">je potrebné zrealizovať centrálne riešenie overenia a spracovania autorizácie klikom v spoločných moduloch </w:t>
      </w:r>
      <w:r w:rsidR="00D079B6">
        <w:rPr>
          <w:lang w:val="sk-SK"/>
        </w:rPr>
        <w:t>ústredného portálu verejnej správy</w:t>
      </w:r>
      <w:r w:rsidR="00D079B6" w:rsidRPr="007C489B">
        <w:rPr>
          <w:lang w:val="sk-SK"/>
        </w:rPr>
        <w:t xml:space="preserve"> </w:t>
      </w:r>
      <w:r w:rsidR="007C489B" w:rsidRPr="007C489B">
        <w:rPr>
          <w:lang w:val="sk-SK"/>
        </w:rPr>
        <w:t xml:space="preserve">s doložkou preukazujúcou vykonanú autorizáciu klikom v zmysle štandardov, čo má dopady na spoločné moduly ako je centrálna elektronická podateľňa pre úpravu centrálne zasielaného výsledku overenia, modul elektronických schránok pre zobrazovanie informácií o autorizácii klikom, modul elektronického doručovania pre spracovanie výsledku overenia v autorizačnej doložke listinného rovnopisu a modul dlhodobého uchovávania pre spracovanie upraveného výsledku overenia podpisov. Zároveň je potrebné zabezpečiť vytváranie autorizácie klikom v súlade s ustanovením a štandardmi pre podania vytvárané na </w:t>
      </w:r>
      <w:r w:rsidR="00D079B6">
        <w:rPr>
          <w:lang w:val="sk-SK"/>
        </w:rPr>
        <w:t>ústrednom portáli verejnej správy</w:t>
      </w:r>
      <w:r w:rsidR="00D079B6" w:rsidRPr="007C489B">
        <w:rPr>
          <w:lang w:val="sk-SK"/>
        </w:rPr>
        <w:t xml:space="preserve"> </w:t>
      </w:r>
      <w:r w:rsidR="007C489B" w:rsidRPr="007C489B">
        <w:rPr>
          <w:lang w:val="sk-SK"/>
        </w:rPr>
        <w:t xml:space="preserve">s doložkou preukazujúcou autorizáciu klikom. Autorizácia klikom v súčasnosti nie je zrealizovaná na ústrednom portáli a riešenie centrálneho overovania v spoločných moduloch a vytvárania na </w:t>
      </w:r>
      <w:r w:rsidR="00D079B6">
        <w:rPr>
          <w:lang w:val="sk-SK"/>
        </w:rPr>
        <w:t>ústrednom portáli verejnej správy</w:t>
      </w:r>
      <w:r w:rsidR="00D079B6" w:rsidRPr="007C489B">
        <w:rPr>
          <w:lang w:val="sk-SK"/>
        </w:rPr>
        <w:t xml:space="preserve"> </w:t>
      </w:r>
      <w:r w:rsidR="007C489B" w:rsidRPr="007C489B">
        <w:rPr>
          <w:lang w:val="sk-SK"/>
        </w:rPr>
        <w:t>nie sú pokryté projektom Slovensko v mobile.</w:t>
      </w:r>
    </w:p>
    <w:p w14:paraId="58752E4E" w14:textId="73E419C2" w:rsidR="008B1670" w:rsidRPr="00E93FBA" w:rsidRDefault="008B1670" w:rsidP="00EB76F1">
      <w:pPr>
        <w:jc w:val="both"/>
        <w:rPr>
          <w:lang w:val="sk-SK"/>
        </w:rPr>
      </w:pPr>
    </w:p>
    <w:p w14:paraId="10BD2941" w14:textId="7304710F" w:rsidR="00DB182C" w:rsidRPr="00E93FBA" w:rsidRDefault="00DB182C" w:rsidP="00EB76F1">
      <w:pPr>
        <w:jc w:val="both"/>
        <w:rPr>
          <w:lang w:val="sk-SK"/>
        </w:rPr>
      </w:pPr>
      <w:r w:rsidRPr="00E93FBA">
        <w:rPr>
          <w:lang w:val="sk-SK"/>
        </w:rPr>
        <w:t>K</w:t>
      </w:r>
      <w:r w:rsidR="00C251CC" w:rsidRPr="00E93FBA">
        <w:rPr>
          <w:lang w:val="sk-SK"/>
        </w:rPr>
        <w:t> </w:t>
      </w:r>
      <w:r w:rsidRPr="00E93FBA">
        <w:rPr>
          <w:lang w:val="sk-SK"/>
        </w:rPr>
        <w:t xml:space="preserve">bodu </w:t>
      </w:r>
      <w:r w:rsidR="0030710F" w:rsidRPr="00E93FBA">
        <w:rPr>
          <w:lang w:val="sk-SK"/>
        </w:rPr>
        <w:t>5</w:t>
      </w:r>
      <w:r w:rsidR="00A9697A">
        <w:rPr>
          <w:lang w:val="sk-SK"/>
        </w:rPr>
        <w:t>1</w:t>
      </w:r>
      <w:r w:rsidR="0030710F" w:rsidRPr="00E93FBA">
        <w:rPr>
          <w:lang w:val="sk-SK"/>
        </w:rPr>
        <w:t xml:space="preserve"> </w:t>
      </w:r>
      <w:r w:rsidRPr="00E93FBA">
        <w:rPr>
          <w:lang w:val="sk-SK"/>
        </w:rPr>
        <w:t>(§ 23 ods</w:t>
      </w:r>
      <w:r w:rsidR="001815FF" w:rsidRPr="00E93FBA">
        <w:rPr>
          <w:lang w:val="sk-SK"/>
        </w:rPr>
        <w:t>ek</w:t>
      </w:r>
      <w:r w:rsidR="0030710F" w:rsidRPr="00E93FBA">
        <w:rPr>
          <w:lang w:val="sk-SK"/>
        </w:rPr>
        <w:t>y</w:t>
      </w:r>
      <w:r w:rsidRPr="00E93FBA">
        <w:rPr>
          <w:lang w:val="sk-SK"/>
        </w:rPr>
        <w:t xml:space="preserve"> 9</w:t>
      </w:r>
      <w:r w:rsidR="0030710F" w:rsidRPr="00E93FBA">
        <w:rPr>
          <w:lang w:val="sk-SK"/>
        </w:rPr>
        <w:t xml:space="preserve"> a 10</w:t>
      </w:r>
      <w:r w:rsidRPr="00E93FBA">
        <w:rPr>
          <w:lang w:val="sk-SK"/>
        </w:rPr>
        <w:t>):</w:t>
      </w:r>
    </w:p>
    <w:p w14:paraId="40171DA7" w14:textId="5A6B645A" w:rsidR="007B5871" w:rsidRPr="00E93FBA" w:rsidRDefault="00237DC1" w:rsidP="00AF500C">
      <w:pPr>
        <w:jc w:val="both"/>
        <w:rPr>
          <w:lang w:val="sk-SK"/>
        </w:rPr>
      </w:pPr>
      <w:r w:rsidRPr="00E93FBA">
        <w:rPr>
          <w:lang w:val="sk-SK"/>
        </w:rPr>
        <w:t xml:space="preserve">Navrhuje sa </w:t>
      </w:r>
      <w:r w:rsidR="00957854" w:rsidRPr="00E93FBA">
        <w:rPr>
          <w:lang w:val="sk-SK"/>
        </w:rPr>
        <w:t xml:space="preserve">explicitne vyjadriť </w:t>
      </w:r>
      <w:r w:rsidR="0026697C" w:rsidRPr="00E93FBA">
        <w:rPr>
          <w:lang w:val="sk-SK"/>
        </w:rPr>
        <w:t xml:space="preserve">spôsob implementácie tzv. „autorizácie klikom“ na ústrednom portáli a na špecializovanom portáli. Kým pre ústredný portál, ako centrálny komponent, sa vyžaduje, aby tento spôsob autorizácie bol dostupný pre všetky podania, ktoré takto autorizované byť môžu, pre špecializované portály sa ponecháva možnosť voľby, pre ktoré elektronické služby tento spôsob zavedú. </w:t>
      </w:r>
      <w:r w:rsidR="007B5871" w:rsidRPr="00E93FBA">
        <w:rPr>
          <w:lang w:val="sk-SK"/>
        </w:rPr>
        <w:t xml:space="preserve">Dôvody pre možnosť výberu na strane špecializovaných portálov spočívajú najmä v tom, že špecializované portály neimplementujú „univerzálnu autorizačnú funkciu", ale obvykle je pre určitý typ podania na portáli celý proces jeho spracovania, ktorý logicky končí jeho autorizáciou a odoslaním - pre iné typy podaní voči tomuto OVM nemusí tento portál poskytovať takúto podporu. Okrem toho, rôzne typy podaní </w:t>
      </w:r>
      <w:r w:rsidR="007B5871" w:rsidRPr="00E93FBA">
        <w:rPr>
          <w:lang w:val="sk-SK"/>
        </w:rPr>
        <w:lastRenderedPageBreak/>
        <w:t xml:space="preserve">sú spojené s rôznou úrovňou vyžadovanej spoľahlivosti, preto spôsob implementácie tzv. „autorizácie klikom“ a príslušná funkcia špecializovaného portálu budú pre rôzne typy podaní rôzne. V neposlednom rade, spracovanie rôznych typov podaní cez špecializovaný portál môže byť viazané na rôzne </w:t>
      </w:r>
      <w:r w:rsidR="00E36AB6" w:rsidRPr="00E93FBA">
        <w:rPr>
          <w:lang w:val="sk-SK"/>
        </w:rPr>
        <w:t>systémy</w:t>
      </w:r>
      <w:r w:rsidR="007B5871" w:rsidRPr="00E93FBA">
        <w:rPr>
          <w:lang w:val="sk-SK"/>
        </w:rPr>
        <w:t>, postupy,</w:t>
      </w:r>
      <w:r w:rsidR="00E36AB6" w:rsidRPr="00E93FBA">
        <w:rPr>
          <w:lang w:val="sk-SK"/>
        </w:rPr>
        <w:t xml:space="preserve"> či</w:t>
      </w:r>
      <w:r w:rsidR="007B5871" w:rsidRPr="00E93FBA">
        <w:rPr>
          <w:lang w:val="sk-SK"/>
        </w:rPr>
        <w:t xml:space="preserve"> organizačné jednotky</w:t>
      </w:r>
      <w:r w:rsidR="00CC29A4" w:rsidRPr="00E93FBA">
        <w:rPr>
          <w:lang w:val="sk-SK"/>
        </w:rPr>
        <w:t xml:space="preserve">, čo by pri plošnej povinnosti zavedenie takejto autorizácie </w:t>
      </w:r>
      <w:r w:rsidR="007B5871" w:rsidRPr="00E93FBA">
        <w:rPr>
          <w:lang w:val="sk-SK"/>
        </w:rPr>
        <w:t>automaticky znamenalo množstvo ďalších zmien</w:t>
      </w:r>
      <w:r w:rsidR="00CC29A4" w:rsidRPr="00E93FBA">
        <w:rPr>
          <w:lang w:val="sk-SK"/>
        </w:rPr>
        <w:t>.</w:t>
      </w:r>
    </w:p>
    <w:p w14:paraId="553AF428" w14:textId="2A67ACE4" w:rsidR="007466F9" w:rsidRPr="00E93FBA" w:rsidRDefault="007466F9" w:rsidP="00AF500C">
      <w:pPr>
        <w:jc w:val="both"/>
        <w:rPr>
          <w:lang w:val="sk-SK"/>
        </w:rPr>
      </w:pPr>
      <w:r w:rsidRPr="00E93FBA">
        <w:rPr>
          <w:lang w:val="sk-SK"/>
        </w:rPr>
        <w:t xml:space="preserve">O akceptovaní uznaných spôsobov autorizácie pre konkrétne elektronické služby by mal rozhodovať gestor danej elektronickej služby. V prípade, ak by sa predpísala možnosť používať všetky spôsoby autorizácie prostredníctvom ústredného portálu verejnej správy, bez možnosti voľby pre gestora služby, znamenalo by to stratu kontroly gestora služby nad určovaním </w:t>
      </w:r>
      <w:r w:rsidR="00BA1EF8">
        <w:rPr>
          <w:lang w:val="sk-SK"/>
        </w:rPr>
        <w:t>akceptovaných spôsobov</w:t>
      </w:r>
      <w:r w:rsidRPr="00E93FBA">
        <w:rPr>
          <w:lang w:val="sk-SK"/>
        </w:rPr>
        <w:t xml:space="preserve"> autorizácie, čo by nebolo vhodné. Z tohto dôvodu sa navrhuje doplnenie nového odseku 10.</w:t>
      </w:r>
    </w:p>
    <w:p w14:paraId="454C17B1" w14:textId="395B6510" w:rsidR="00BD5B78" w:rsidRPr="00E93FBA" w:rsidRDefault="00BD5B78" w:rsidP="00DB182C">
      <w:pPr>
        <w:jc w:val="both"/>
        <w:rPr>
          <w:lang w:val="sk-SK"/>
        </w:rPr>
      </w:pPr>
    </w:p>
    <w:p w14:paraId="7D56572B" w14:textId="17219DEF" w:rsidR="00D61D71" w:rsidRPr="00E93FBA" w:rsidRDefault="00D61D71" w:rsidP="00DB182C">
      <w:pPr>
        <w:jc w:val="both"/>
        <w:rPr>
          <w:lang w:val="sk-SK"/>
        </w:rPr>
      </w:pPr>
      <w:r w:rsidRPr="00E93FBA">
        <w:rPr>
          <w:lang w:val="sk-SK"/>
        </w:rPr>
        <w:t>K</w:t>
      </w:r>
      <w:r w:rsidR="00C251CC" w:rsidRPr="00E93FBA">
        <w:rPr>
          <w:lang w:val="sk-SK"/>
        </w:rPr>
        <w:t> </w:t>
      </w:r>
      <w:r w:rsidRPr="00E93FBA">
        <w:rPr>
          <w:lang w:val="sk-SK"/>
        </w:rPr>
        <w:t xml:space="preserve">bodu </w:t>
      </w:r>
      <w:r w:rsidR="007C4277" w:rsidRPr="00E93FBA">
        <w:rPr>
          <w:lang w:val="sk-SK"/>
        </w:rPr>
        <w:t>5</w:t>
      </w:r>
      <w:r w:rsidR="00A9697A">
        <w:rPr>
          <w:lang w:val="sk-SK"/>
        </w:rPr>
        <w:t>2</w:t>
      </w:r>
      <w:r w:rsidR="007C4277" w:rsidRPr="00E93FBA">
        <w:rPr>
          <w:lang w:val="sk-SK"/>
        </w:rPr>
        <w:t xml:space="preserve"> </w:t>
      </w:r>
      <w:r w:rsidR="0036566F" w:rsidRPr="00E93FBA">
        <w:rPr>
          <w:lang w:val="sk-SK"/>
        </w:rPr>
        <w:t xml:space="preserve">až </w:t>
      </w:r>
      <w:r w:rsidR="007C4277" w:rsidRPr="00E93FBA">
        <w:rPr>
          <w:lang w:val="sk-SK"/>
        </w:rPr>
        <w:t>5</w:t>
      </w:r>
      <w:r w:rsidR="00A9697A">
        <w:rPr>
          <w:lang w:val="sk-SK"/>
        </w:rPr>
        <w:t>4</w:t>
      </w:r>
      <w:r w:rsidR="001815FF" w:rsidRPr="00E93FBA">
        <w:rPr>
          <w:lang w:val="sk-SK"/>
        </w:rPr>
        <w:t xml:space="preserve"> </w:t>
      </w:r>
      <w:r w:rsidRPr="00E93FBA">
        <w:rPr>
          <w:lang w:val="sk-SK"/>
        </w:rPr>
        <w:t>(§ 24 ods</w:t>
      </w:r>
      <w:r w:rsidR="0036566F" w:rsidRPr="00E93FBA">
        <w:rPr>
          <w:lang w:val="sk-SK"/>
        </w:rPr>
        <w:t>. 2, 3 a § 25 ods. 1)</w:t>
      </w:r>
      <w:r w:rsidRPr="00E93FBA">
        <w:rPr>
          <w:lang w:val="sk-SK"/>
        </w:rPr>
        <w:t>:</w:t>
      </w:r>
    </w:p>
    <w:p w14:paraId="517C442F" w14:textId="01FFBDF7" w:rsidR="00D61D71" w:rsidRPr="00E93FBA" w:rsidRDefault="00EE11F7" w:rsidP="00D61D71">
      <w:pPr>
        <w:jc w:val="both"/>
        <w:rPr>
          <w:lang w:val="sk-SK"/>
        </w:rPr>
      </w:pPr>
      <w:r w:rsidRPr="00E93FBA">
        <w:rPr>
          <w:lang w:val="sk-SK"/>
        </w:rPr>
        <w:t>Legislatívno-technická úprava súvisiaca s vypustením inštitútu IOM</w:t>
      </w:r>
      <w:r w:rsidR="00D61D71" w:rsidRPr="00E93FBA">
        <w:rPr>
          <w:lang w:val="sk-SK"/>
        </w:rPr>
        <w:t>.</w:t>
      </w:r>
    </w:p>
    <w:p w14:paraId="6FEA1A0B" w14:textId="77777777" w:rsidR="00F56EBD" w:rsidRPr="00E93FBA" w:rsidRDefault="00F56EBD" w:rsidP="00DB182C">
      <w:pPr>
        <w:jc w:val="both"/>
        <w:rPr>
          <w:lang w:val="sk-SK"/>
        </w:rPr>
      </w:pPr>
    </w:p>
    <w:p w14:paraId="6D90A466" w14:textId="7FB494B7" w:rsidR="00701EB0" w:rsidRDefault="00701EB0" w:rsidP="00DB182C">
      <w:pPr>
        <w:jc w:val="both"/>
        <w:rPr>
          <w:lang w:val="sk-SK"/>
        </w:rPr>
      </w:pPr>
      <w:r>
        <w:rPr>
          <w:lang w:val="sk-SK"/>
        </w:rPr>
        <w:t>K bodu 5</w:t>
      </w:r>
      <w:r w:rsidR="00A9697A">
        <w:rPr>
          <w:lang w:val="sk-SK"/>
        </w:rPr>
        <w:t>5</w:t>
      </w:r>
      <w:r>
        <w:rPr>
          <w:lang w:val="sk-SK"/>
        </w:rPr>
        <w:t xml:space="preserve"> (§ 26 ods. 2):</w:t>
      </w:r>
    </w:p>
    <w:p w14:paraId="1B4DFF67" w14:textId="00C5ED8F" w:rsidR="00701EB0" w:rsidRDefault="00620808" w:rsidP="00DB182C">
      <w:pPr>
        <w:jc w:val="both"/>
        <w:rPr>
          <w:lang w:val="sk-SK"/>
        </w:rPr>
      </w:pPr>
      <w:r>
        <w:rPr>
          <w:lang w:val="sk-SK"/>
        </w:rPr>
        <w:t>Vzhľadom na zmenu v spôsobe vytvárania elektronických úradných dokumentov a v ustanovení možnosti vytvárať ich aj</w:t>
      </w:r>
      <w:r w:rsidR="00A6378C">
        <w:rPr>
          <w:lang w:val="sk-SK"/>
        </w:rPr>
        <w:t xml:space="preserve"> bez použitia elektronického formulára sa navrhuje upraviť povinnosť vytvárania elektronických </w:t>
      </w:r>
      <w:r w:rsidR="00816D8C">
        <w:rPr>
          <w:lang w:val="sk-SK"/>
        </w:rPr>
        <w:t>formulárov</w:t>
      </w:r>
      <w:r w:rsidR="00A6378C">
        <w:rPr>
          <w:lang w:val="sk-SK"/>
        </w:rPr>
        <w:t xml:space="preserve"> a zúžiť ju len na </w:t>
      </w:r>
      <w:r w:rsidR="00816D8C">
        <w:rPr>
          <w:lang w:val="sk-SK"/>
        </w:rPr>
        <w:t xml:space="preserve">formuláre k tým elektronickým úradným dokumentom, ktoré sa s ich použitím vytvárajú. Inak povedané, v oblastiach a v konaniach, kde budú vydávané </w:t>
      </w:r>
      <w:r w:rsidR="00771F96">
        <w:rPr>
          <w:lang w:val="sk-SK"/>
        </w:rPr>
        <w:t>elektronické úradné dokumenty bez použitia elektronického formulára nebude mať ústredný orgán povinnosť vzory elektronických formulárov vytvárať.</w:t>
      </w:r>
      <w:r w:rsidR="00A21374">
        <w:rPr>
          <w:lang w:val="sk-SK"/>
        </w:rPr>
        <w:t xml:space="preserve"> V ostatných oblastiach a konaniach, kde sa elektronické formuláre budú na vytváranie elektronického úradného dokumentu používať, zostane povinnosť podľa § 26 ods. 2 bez zmeny.</w:t>
      </w:r>
    </w:p>
    <w:p w14:paraId="538FF672" w14:textId="77777777" w:rsidR="00701EB0" w:rsidRDefault="00701EB0" w:rsidP="00DB182C">
      <w:pPr>
        <w:jc w:val="both"/>
        <w:rPr>
          <w:lang w:val="sk-SK"/>
        </w:rPr>
      </w:pPr>
    </w:p>
    <w:p w14:paraId="1BE110B6" w14:textId="79974A94" w:rsidR="007C4277" w:rsidRPr="00E93FBA" w:rsidRDefault="007C4277" w:rsidP="00DB182C">
      <w:pPr>
        <w:jc w:val="both"/>
        <w:rPr>
          <w:lang w:val="sk-SK"/>
        </w:rPr>
      </w:pPr>
      <w:r w:rsidRPr="00E93FBA">
        <w:rPr>
          <w:lang w:val="sk-SK"/>
        </w:rPr>
        <w:t>K bodom 5</w:t>
      </w:r>
      <w:r w:rsidR="00A9697A">
        <w:rPr>
          <w:lang w:val="sk-SK"/>
        </w:rPr>
        <w:t>6</w:t>
      </w:r>
      <w:r w:rsidRPr="00E93FBA">
        <w:rPr>
          <w:lang w:val="sk-SK"/>
        </w:rPr>
        <w:t xml:space="preserve"> až </w:t>
      </w:r>
      <w:r w:rsidR="00A9697A">
        <w:rPr>
          <w:lang w:val="sk-SK"/>
        </w:rPr>
        <w:t>59</w:t>
      </w:r>
      <w:r w:rsidRPr="00E93FBA">
        <w:rPr>
          <w:lang w:val="sk-SK"/>
        </w:rPr>
        <w:t xml:space="preserve"> (§ 26</w:t>
      </w:r>
      <w:r w:rsidR="00701EB0">
        <w:rPr>
          <w:lang w:val="sk-SK"/>
        </w:rPr>
        <w:t xml:space="preserve"> ods. 5</w:t>
      </w:r>
      <w:r w:rsidRPr="00E93FBA">
        <w:rPr>
          <w:lang w:val="sk-SK"/>
        </w:rPr>
        <w:t xml:space="preserve"> až </w:t>
      </w:r>
      <w:r w:rsidR="00620808">
        <w:rPr>
          <w:lang w:val="sk-SK"/>
        </w:rPr>
        <w:t xml:space="preserve">§ </w:t>
      </w:r>
      <w:r w:rsidRPr="00E93FBA">
        <w:rPr>
          <w:lang w:val="sk-SK"/>
        </w:rPr>
        <w:t>28):</w:t>
      </w:r>
    </w:p>
    <w:p w14:paraId="703DE946" w14:textId="135FDDD7" w:rsidR="007C4277" w:rsidRDefault="007C4277" w:rsidP="00DB182C">
      <w:pPr>
        <w:jc w:val="both"/>
        <w:rPr>
          <w:lang w:val="sk-SK"/>
        </w:rPr>
      </w:pPr>
      <w:r w:rsidRPr="00E93FBA">
        <w:rPr>
          <w:lang w:val="sk-SK"/>
        </w:rPr>
        <w:t>Legislatívno-technická úprava nadväzujúca na zmenu v spôsobe vyhotovovania elektronického úradného dokumentu.</w:t>
      </w:r>
    </w:p>
    <w:p w14:paraId="4A0DBFA5" w14:textId="1D6066E0" w:rsidR="00DC4177" w:rsidRPr="00E93FBA" w:rsidRDefault="00DC4177" w:rsidP="00AA77CA">
      <w:pPr>
        <w:jc w:val="both"/>
        <w:rPr>
          <w:lang w:val="sk-SK"/>
        </w:rPr>
      </w:pPr>
      <w:r>
        <w:rPr>
          <w:lang w:val="sk-SK"/>
        </w:rPr>
        <w:t>Pokiaľ ide o povinnosť podľa § 27 ods. 5,</w:t>
      </w:r>
      <w:r w:rsidR="00EC7A35">
        <w:rPr>
          <w:lang w:val="sk-SK"/>
        </w:rPr>
        <w:t xml:space="preserve"> na</w:t>
      </w:r>
      <w:r>
        <w:rPr>
          <w:lang w:val="sk-SK"/>
        </w:rPr>
        <w:t xml:space="preserve"> </w:t>
      </w:r>
      <w:r w:rsidR="00262BA0">
        <w:rPr>
          <w:lang w:val="sk-SK"/>
        </w:rPr>
        <w:t>základné údaje a ich dátov</w:t>
      </w:r>
      <w:r w:rsidR="00EC7A35">
        <w:rPr>
          <w:lang w:val="sk-SK"/>
        </w:rPr>
        <w:t>ú</w:t>
      </w:r>
      <w:r w:rsidR="00262BA0">
        <w:rPr>
          <w:lang w:val="sk-SK"/>
        </w:rPr>
        <w:t xml:space="preserve"> štruktúr</w:t>
      </w:r>
      <w:r w:rsidR="00EC7A35">
        <w:rPr>
          <w:lang w:val="sk-SK"/>
        </w:rPr>
        <w:t>u</w:t>
      </w:r>
      <w:r w:rsidR="00262BA0">
        <w:rPr>
          <w:lang w:val="sk-SK"/>
        </w:rPr>
        <w:t xml:space="preserve"> </w:t>
      </w:r>
      <w:r w:rsidR="00EC7A35">
        <w:rPr>
          <w:lang w:val="sk-SK"/>
        </w:rPr>
        <w:t xml:space="preserve">sa použije ustanovenie </w:t>
      </w:r>
      <w:r w:rsidR="00AA77CA">
        <w:rPr>
          <w:lang w:val="sk-SK"/>
        </w:rPr>
        <w:t>bodov 2.3.7 a 2.3.8 vyhlášky č. 78/2020 Z. z. o štandardoch pre informačné technológie verejnej správy</w:t>
      </w:r>
      <w:r w:rsidR="00D079B6">
        <w:rPr>
          <w:lang w:val="sk-SK"/>
        </w:rPr>
        <w:t xml:space="preserve"> v znení vyhlášky č. 546/2021 Z. z</w:t>
      </w:r>
      <w:r w:rsidR="00AA77CA">
        <w:rPr>
          <w:lang w:val="sk-SK"/>
        </w:rPr>
        <w:t xml:space="preserve">. </w:t>
      </w:r>
      <w:r w:rsidR="004B1320">
        <w:rPr>
          <w:lang w:val="sk-SK"/>
        </w:rPr>
        <w:t> Podľa</w:t>
      </w:r>
      <w:r w:rsidR="00AA77CA">
        <w:rPr>
          <w:lang w:val="sk-SK"/>
        </w:rPr>
        <w:t xml:space="preserve"> týchto ustanovení</w:t>
      </w:r>
      <w:r w:rsidR="00AA77CA" w:rsidRPr="00AA77CA">
        <w:rPr>
          <w:lang w:val="sk-SK"/>
        </w:rPr>
        <w:t xml:space="preserve"> </w:t>
      </w:r>
      <w:r w:rsidR="00AA77CA">
        <w:rPr>
          <w:lang w:val="sk-SK"/>
        </w:rPr>
        <w:t>d</w:t>
      </w:r>
      <w:r w:rsidR="00AA77CA" w:rsidRPr="00AA77CA">
        <w:rPr>
          <w:lang w:val="sk-SK"/>
        </w:rPr>
        <w:t xml:space="preserve">átová štruktúra </w:t>
      </w:r>
      <w:r w:rsidR="00AA77CA">
        <w:rPr>
          <w:lang w:val="sk-SK"/>
        </w:rPr>
        <w:t>pre základné údaje bude</w:t>
      </w:r>
      <w:r w:rsidR="00AA77CA" w:rsidRPr="00AA77CA">
        <w:rPr>
          <w:lang w:val="sk-SK"/>
        </w:rPr>
        <w:t xml:space="preserve"> obsah</w:t>
      </w:r>
      <w:r w:rsidR="00334670">
        <w:rPr>
          <w:lang w:val="sk-SK"/>
        </w:rPr>
        <w:t>ov</w:t>
      </w:r>
      <w:r w:rsidR="00AA77CA">
        <w:rPr>
          <w:lang w:val="sk-SK"/>
        </w:rPr>
        <w:t>ať</w:t>
      </w:r>
      <w:r w:rsidR="00AA77CA" w:rsidRPr="00AA77CA">
        <w:rPr>
          <w:lang w:val="sk-SK"/>
        </w:rPr>
        <w:t xml:space="preserve"> najmenej údaje uvedené vo forme samostatných dátových prvkov, ktorými sú</w:t>
      </w:r>
      <w:r w:rsidR="00334670">
        <w:rPr>
          <w:lang w:val="sk-SK"/>
        </w:rPr>
        <w:t xml:space="preserve"> (i)</w:t>
      </w:r>
      <w:r w:rsidR="00AA77CA" w:rsidRPr="00AA77CA">
        <w:rPr>
          <w:lang w:val="sk-SK"/>
        </w:rPr>
        <w:t xml:space="preserve"> názov orgánu, ktorý konanie či úkon uskutočnil, </w:t>
      </w:r>
      <w:r w:rsidR="00334670">
        <w:rPr>
          <w:lang w:val="sk-SK"/>
        </w:rPr>
        <w:t xml:space="preserve">(ii) </w:t>
      </w:r>
      <w:r w:rsidR="00AA77CA" w:rsidRPr="00AA77CA">
        <w:rPr>
          <w:lang w:val="sk-SK"/>
        </w:rPr>
        <w:t>identifikátor</w:t>
      </w:r>
      <w:r w:rsidR="00334670">
        <w:rPr>
          <w:lang w:val="sk-SK"/>
        </w:rPr>
        <w:t xml:space="preserve"> osoby</w:t>
      </w:r>
      <w:r w:rsidR="00AA77CA" w:rsidRPr="00AA77CA">
        <w:rPr>
          <w:lang w:val="sk-SK"/>
        </w:rPr>
        <w:t xml:space="preserve"> orgánu, ktorý konanie či úkon uskutočnil, </w:t>
      </w:r>
      <w:r w:rsidR="00334670">
        <w:rPr>
          <w:lang w:val="sk-SK"/>
        </w:rPr>
        <w:t xml:space="preserve">(iii) </w:t>
      </w:r>
      <w:r w:rsidR="00AA77CA" w:rsidRPr="00AA77CA">
        <w:rPr>
          <w:lang w:val="sk-SK"/>
        </w:rPr>
        <w:t xml:space="preserve">dátum vydania elektronického úradného dokumentu, </w:t>
      </w:r>
      <w:r w:rsidR="00334670">
        <w:rPr>
          <w:lang w:val="sk-SK"/>
        </w:rPr>
        <w:t>(iv) i</w:t>
      </w:r>
      <w:r w:rsidR="00AA77CA" w:rsidRPr="00AA77CA">
        <w:rPr>
          <w:lang w:val="sk-SK"/>
        </w:rPr>
        <w:t xml:space="preserve">dentifikačné údaje elektronického úradného dokumentu, </w:t>
      </w:r>
      <w:r w:rsidR="00334670">
        <w:rPr>
          <w:lang w:val="sk-SK"/>
        </w:rPr>
        <w:t xml:space="preserve">a (v) </w:t>
      </w:r>
      <w:r w:rsidR="00AA77CA" w:rsidRPr="00AA77CA">
        <w:rPr>
          <w:lang w:val="sk-SK"/>
        </w:rPr>
        <w:t xml:space="preserve">predmet konania. Dátová štruktúra zároveň spravidla </w:t>
      </w:r>
      <w:r w:rsidR="00B13D1A">
        <w:rPr>
          <w:lang w:val="sk-SK"/>
        </w:rPr>
        <w:t>bude obsahovať</w:t>
      </w:r>
      <w:r w:rsidR="00AA77CA" w:rsidRPr="00AA77CA">
        <w:rPr>
          <w:lang w:val="sk-SK"/>
        </w:rPr>
        <w:t xml:space="preserve"> </w:t>
      </w:r>
      <w:r w:rsidR="00B13D1A">
        <w:rPr>
          <w:lang w:val="sk-SK"/>
        </w:rPr>
        <w:t xml:space="preserve">aj (i) </w:t>
      </w:r>
      <w:r w:rsidR="00AA77CA" w:rsidRPr="00AA77CA">
        <w:rPr>
          <w:lang w:val="sk-SK"/>
        </w:rPr>
        <w:t xml:space="preserve">typ elektronického úradného dokumentu, </w:t>
      </w:r>
      <w:r w:rsidR="00B13D1A">
        <w:rPr>
          <w:lang w:val="sk-SK"/>
        </w:rPr>
        <w:t xml:space="preserve">a (ii) </w:t>
      </w:r>
      <w:r w:rsidR="00AA77CA" w:rsidRPr="00AA77CA">
        <w:rPr>
          <w:lang w:val="sk-SK"/>
        </w:rPr>
        <w:t>poštovú doručovaciu adresu</w:t>
      </w:r>
      <w:r w:rsidR="00B13D1A">
        <w:rPr>
          <w:lang w:val="sk-SK"/>
        </w:rPr>
        <w:t>.</w:t>
      </w:r>
    </w:p>
    <w:p w14:paraId="6FB37F59" w14:textId="77777777" w:rsidR="007C4277" w:rsidRPr="00E93FBA" w:rsidRDefault="007C4277" w:rsidP="00DB182C">
      <w:pPr>
        <w:jc w:val="both"/>
        <w:rPr>
          <w:lang w:val="sk-SK"/>
        </w:rPr>
      </w:pPr>
    </w:p>
    <w:p w14:paraId="2E3F22D3" w14:textId="3C150A0D" w:rsidR="00F138ED" w:rsidRPr="00E93FBA" w:rsidRDefault="00F138ED" w:rsidP="00F138ED">
      <w:pPr>
        <w:jc w:val="both"/>
        <w:rPr>
          <w:lang w:val="sk-SK"/>
        </w:rPr>
      </w:pPr>
      <w:r w:rsidRPr="00E93FBA">
        <w:rPr>
          <w:lang w:val="sk-SK"/>
        </w:rPr>
        <w:t>K</w:t>
      </w:r>
      <w:r w:rsidR="00C251CC" w:rsidRPr="00E93FBA">
        <w:rPr>
          <w:lang w:val="sk-SK"/>
        </w:rPr>
        <w:t> </w:t>
      </w:r>
      <w:r w:rsidRPr="00E93FBA">
        <w:rPr>
          <w:lang w:val="sk-SK"/>
        </w:rPr>
        <w:t xml:space="preserve">bodu </w:t>
      </w:r>
      <w:r w:rsidR="00B826FC">
        <w:rPr>
          <w:bCs/>
          <w:lang w:val="sk-SK"/>
        </w:rPr>
        <w:t>6</w:t>
      </w:r>
      <w:r w:rsidR="00A9697A">
        <w:rPr>
          <w:bCs/>
          <w:lang w:val="sk-SK"/>
        </w:rPr>
        <w:t>0</w:t>
      </w:r>
      <w:r w:rsidR="007C4277" w:rsidRPr="00E93FBA">
        <w:rPr>
          <w:lang w:val="sk-SK"/>
        </w:rPr>
        <w:t xml:space="preserve"> </w:t>
      </w:r>
      <w:r w:rsidRPr="00E93FBA">
        <w:rPr>
          <w:lang w:val="sk-SK"/>
        </w:rPr>
        <w:t xml:space="preserve">(§ 30 </w:t>
      </w:r>
      <w:r w:rsidRPr="00E93FBA">
        <w:rPr>
          <w:bCs/>
          <w:lang w:val="sk-SK"/>
        </w:rPr>
        <w:t>ods</w:t>
      </w:r>
      <w:r w:rsidR="001815FF" w:rsidRPr="00E93FBA">
        <w:rPr>
          <w:bCs/>
          <w:lang w:val="sk-SK"/>
        </w:rPr>
        <w:t>ek</w:t>
      </w:r>
      <w:r w:rsidRPr="00E93FBA">
        <w:rPr>
          <w:lang w:val="sk-SK"/>
        </w:rPr>
        <w:t xml:space="preserve"> 1): </w:t>
      </w:r>
    </w:p>
    <w:p w14:paraId="346DA49D" w14:textId="0C86C428" w:rsidR="00F138ED" w:rsidRPr="00E93FBA" w:rsidRDefault="00F138ED" w:rsidP="000F7927">
      <w:pPr>
        <w:jc w:val="both"/>
        <w:rPr>
          <w:lang w:val="sk-SK"/>
        </w:rPr>
      </w:pPr>
      <w:r w:rsidRPr="00E93FBA">
        <w:rPr>
          <w:lang w:val="sk-SK"/>
        </w:rPr>
        <w:t xml:space="preserve">Legislatívno-technická úprava spresňujúca obsah elektronickej doručenky. </w:t>
      </w:r>
    </w:p>
    <w:p w14:paraId="1DC7502F" w14:textId="77777777" w:rsidR="00F138ED" w:rsidRPr="00E93FBA" w:rsidRDefault="00F138ED" w:rsidP="00DB182C">
      <w:pPr>
        <w:jc w:val="both"/>
        <w:rPr>
          <w:lang w:val="sk-SK"/>
        </w:rPr>
      </w:pPr>
    </w:p>
    <w:p w14:paraId="6680A75C" w14:textId="0E2F58FC" w:rsidR="0099787D" w:rsidRPr="00E93FBA" w:rsidRDefault="0099787D" w:rsidP="00DB182C">
      <w:pPr>
        <w:jc w:val="both"/>
        <w:rPr>
          <w:lang w:val="sk-SK"/>
        </w:rPr>
      </w:pPr>
      <w:r w:rsidRPr="00E93FBA">
        <w:rPr>
          <w:lang w:val="sk-SK"/>
        </w:rPr>
        <w:t>K</w:t>
      </w:r>
      <w:r w:rsidR="00C251CC" w:rsidRPr="00E93FBA">
        <w:rPr>
          <w:lang w:val="sk-SK"/>
        </w:rPr>
        <w:t> </w:t>
      </w:r>
      <w:r w:rsidRPr="00E93FBA">
        <w:rPr>
          <w:lang w:val="sk-SK"/>
        </w:rPr>
        <w:t xml:space="preserve">bodu </w:t>
      </w:r>
      <w:r w:rsidR="00546C91" w:rsidRPr="00E93FBA">
        <w:rPr>
          <w:bCs/>
          <w:lang w:val="sk-SK"/>
        </w:rPr>
        <w:t>6</w:t>
      </w:r>
      <w:r w:rsidR="00A9697A">
        <w:rPr>
          <w:bCs/>
          <w:lang w:val="sk-SK"/>
        </w:rPr>
        <w:t>1</w:t>
      </w:r>
      <w:r w:rsidR="00546C91" w:rsidRPr="00E93FBA">
        <w:rPr>
          <w:lang w:val="sk-SK"/>
        </w:rPr>
        <w:t xml:space="preserve"> </w:t>
      </w:r>
      <w:r w:rsidRPr="00E93FBA">
        <w:rPr>
          <w:lang w:val="sk-SK"/>
        </w:rPr>
        <w:t xml:space="preserve">(§ 31a </w:t>
      </w:r>
      <w:r w:rsidRPr="00E93FBA">
        <w:rPr>
          <w:bCs/>
          <w:lang w:val="sk-SK"/>
        </w:rPr>
        <w:t>ods</w:t>
      </w:r>
      <w:r w:rsidR="007443F5" w:rsidRPr="00E93FBA">
        <w:rPr>
          <w:bCs/>
          <w:lang w:val="sk-SK"/>
        </w:rPr>
        <w:t>.</w:t>
      </w:r>
      <w:r w:rsidRPr="00E93FBA">
        <w:rPr>
          <w:lang w:val="sk-SK"/>
        </w:rPr>
        <w:t xml:space="preserve"> 6):</w:t>
      </w:r>
    </w:p>
    <w:p w14:paraId="2E32F703" w14:textId="5EFD5D56" w:rsidR="0099787D" w:rsidRPr="00E93FBA" w:rsidRDefault="0099787D" w:rsidP="00DB182C">
      <w:pPr>
        <w:jc w:val="both"/>
        <w:rPr>
          <w:lang w:val="sk-SK"/>
        </w:rPr>
      </w:pPr>
      <w:r w:rsidRPr="00E93FBA">
        <w:rPr>
          <w:lang w:val="sk-SK"/>
        </w:rPr>
        <w:t>Legislatívno-technická úprava spresňujúca platné znenie zákona.</w:t>
      </w:r>
    </w:p>
    <w:p w14:paraId="38F29E6F" w14:textId="77777777" w:rsidR="00993961" w:rsidRPr="00E93FBA" w:rsidRDefault="00993961" w:rsidP="00DB182C">
      <w:pPr>
        <w:jc w:val="both"/>
        <w:rPr>
          <w:lang w:val="sk-SK"/>
        </w:rPr>
      </w:pPr>
    </w:p>
    <w:p w14:paraId="39170222" w14:textId="4975813B" w:rsidR="00BA2B85" w:rsidRPr="00E93FBA" w:rsidRDefault="00EF58B6" w:rsidP="00DB182C">
      <w:pPr>
        <w:jc w:val="both"/>
        <w:rPr>
          <w:lang w:val="sk-SK"/>
        </w:rPr>
      </w:pPr>
      <w:r w:rsidRPr="00E93FBA">
        <w:rPr>
          <w:lang w:val="sk-SK"/>
        </w:rPr>
        <w:t>K</w:t>
      </w:r>
      <w:r w:rsidR="00C251CC" w:rsidRPr="00E93FBA">
        <w:rPr>
          <w:lang w:val="sk-SK"/>
        </w:rPr>
        <w:t> </w:t>
      </w:r>
      <w:r w:rsidRPr="00E93FBA">
        <w:rPr>
          <w:lang w:val="sk-SK"/>
        </w:rPr>
        <w:t xml:space="preserve">bodu </w:t>
      </w:r>
      <w:r w:rsidR="00546C91" w:rsidRPr="00E93FBA">
        <w:rPr>
          <w:bCs/>
          <w:lang w:val="sk-SK"/>
        </w:rPr>
        <w:t>6</w:t>
      </w:r>
      <w:r w:rsidR="00A9697A">
        <w:rPr>
          <w:bCs/>
          <w:lang w:val="sk-SK"/>
        </w:rPr>
        <w:t>2</w:t>
      </w:r>
      <w:r w:rsidR="00546C91" w:rsidRPr="00E93FBA">
        <w:rPr>
          <w:lang w:val="sk-SK"/>
        </w:rPr>
        <w:t xml:space="preserve"> </w:t>
      </w:r>
      <w:r w:rsidRPr="00E93FBA">
        <w:rPr>
          <w:lang w:val="sk-SK"/>
        </w:rPr>
        <w:t xml:space="preserve">(§ 31a </w:t>
      </w:r>
      <w:r w:rsidRPr="00E93FBA">
        <w:rPr>
          <w:bCs/>
          <w:lang w:val="sk-SK"/>
        </w:rPr>
        <w:t>ods</w:t>
      </w:r>
      <w:r w:rsidR="007443F5" w:rsidRPr="00E93FBA">
        <w:rPr>
          <w:bCs/>
          <w:lang w:val="sk-SK"/>
        </w:rPr>
        <w:t>.</w:t>
      </w:r>
      <w:r w:rsidRPr="00E93FBA">
        <w:rPr>
          <w:lang w:val="sk-SK"/>
        </w:rPr>
        <w:t xml:space="preserve"> 11):</w:t>
      </w:r>
    </w:p>
    <w:p w14:paraId="44F9BFF8" w14:textId="3EE884FC" w:rsidR="00EF58B6" w:rsidRPr="00E93FBA" w:rsidRDefault="00107EF3" w:rsidP="00DB182C">
      <w:pPr>
        <w:jc w:val="both"/>
        <w:rPr>
          <w:lang w:val="sk-SK"/>
        </w:rPr>
      </w:pPr>
      <w:r w:rsidRPr="00E93FBA">
        <w:rPr>
          <w:lang w:val="sk-SK"/>
        </w:rPr>
        <w:t>Legislatívno-technická úprava spresňujúca platné znenie zákona.</w:t>
      </w:r>
    </w:p>
    <w:p w14:paraId="1642FF83" w14:textId="77777777" w:rsidR="00107EF3" w:rsidRPr="00E93FBA" w:rsidRDefault="00107EF3" w:rsidP="00DB182C">
      <w:pPr>
        <w:jc w:val="both"/>
        <w:rPr>
          <w:lang w:val="sk-SK"/>
        </w:rPr>
      </w:pPr>
    </w:p>
    <w:p w14:paraId="019D9C91" w14:textId="3BEB8B6D" w:rsidR="00C3688A" w:rsidRPr="00E93FBA" w:rsidRDefault="00C3688A" w:rsidP="00DB182C">
      <w:pPr>
        <w:jc w:val="both"/>
        <w:rPr>
          <w:lang w:val="sk-SK"/>
        </w:rPr>
      </w:pPr>
      <w:r w:rsidRPr="00E93FBA">
        <w:rPr>
          <w:lang w:val="sk-SK"/>
        </w:rPr>
        <w:t>K</w:t>
      </w:r>
      <w:r w:rsidR="00C251CC" w:rsidRPr="00E93FBA">
        <w:rPr>
          <w:lang w:val="sk-SK"/>
        </w:rPr>
        <w:t> </w:t>
      </w:r>
      <w:r w:rsidRPr="00E93FBA">
        <w:rPr>
          <w:lang w:val="sk-SK"/>
        </w:rPr>
        <w:t xml:space="preserve">bodu </w:t>
      </w:r>
      <w:r w:rsidR="00546C91" w:rsidRPr="00E93FBA">
        <w:rPr>
          <w:bCs/>
          <w:lang w:val="sk-SK"/>
        </w:rPr>
        <w:t>6</w:t>
      </w:r>
      <w:r w:rsidR="00A9697A">
        <w:rPr>
          <w:bCs/>
          <w:lang w:val="sk-SK"/>
        </w:rPr>
        <w:t>3</w:t>
      </w:r>
      <w:r w:rsidR="00546C91" w:rsidRPr="00E93FBA">
        <w:rPr>
          <w:lang w:val="sk-SK"/>
        </w:rPr>
        <w:t xml:space="preserve"> </w:t>
      </w:r>
      <w:r w:rsidRPr="00E93FBA">
        <w:rPr>
          <w:lang w:val="sk-SK"/>
        </w:rPr>
        <w:t xml:space="preserve">(§ </w:t>
      </w:r>
      <w:r w:rsidR="00E90CCA" w:rsidRPr="00E93FBA">
        <w:rPr>
          <w:lang w:val="sk-SK"/>
        </w:rPr>
        <w:t xml:space="preserve">31a </w:t>
      </w:r>
      <w:r w:rsidRPr="00E93FBA">
        <w:rPr>
          <w:bCs/>
          <w:lang w:val="sk-SK"/>
        </w:rPr>
        <w:t>ods</w:t>
      </w:r>
      <w:r w:rsidR="001815FF" w:rsidRPr="00E93FBA">
        <w:rPr>
          <w:bCs/>
          <w:lang w:val="sk-SK"/>
        </w:rPr>
        <w:t>ek</w:t>
      </w:r>
      <w:r w:rsidR="00E90CCA" w:rsidRPr="00E93FBA">
        <w:rPr>
          <w:lang w:val="sk-SK"/>
        </w:rPr>
        <w:t xml:space="preserve"> 12</w:t>
      </w:r>
      <w:r w:rsidRPr="00E93FBA">
        <w:rPr>
          <w:lang w:val="sk-SK"/>
        </w:rPr>
        <w:t xml:space="preserve">): </w:t>
      </w:r>
    </w:p>
    <w:p w14:paraId="5A5AE732" w14:textId="3C5B5C04" w:rsidR="00C3688A" w:rsidRPr="00E93FBA" w:rsidRDefault="008A3373" w:rsidP="00C3688A">
      <w:pPr>
        <w:jc w:val="both"/>
        <w:rPr>
          <w:lang w:val="sk-SK"/>
        </w:rPr>
      </w:pPr>
      <w:r w:rsidRPr="00E93FBA">
        <w:rPr>
          <w:lang w:val="sk-SK"/>
        </w:rPr>
        <w:lastRenderedPageBreak/>
        <w:t>OVM</w:t>
      </w:r>
      <w:r w:rsidR="00C3688A" w:rsidRPr="00E93FBA">
        <w:rPr>
          <w:lang w:val="sk-SK"/>
        </w:rPr>
        <w:t>, ktoré nie sú zapojené do centrálneho úradného doručovania, už dnes musia overovať stav elektronickej schránky adresáta alebo osoby, ktorej sa doručuje. Táto povinnosť vyplýva z</w:t>
      </w:r>
      <w:r w:rsidR="00C251CC" w:rsidRPr="00E93FBA">
        <w:rPr>
          <w:lang w:val="sk-SK"/>
        </w:rPr>
        <w:t> </w:t>
      </w:r>
      <w:r w:rsidR="00C3688A" w:rsidRPr="00E93FBA">
        <w:rPr>
          <w:lang w:val="sk-SK"/>
        </w:rPr>
        <w:t xml:space="preserve">úvodnej vety odseku 1, podľa ktorého má </w:t>
      </w:r>
      <w:r w:rsidR="002D473C" w:rsidRPr="00E93FBA">
        <w:rPr>
          <w:lang w:val="sk-SK"/>
        </w:rPr>
        <w:t>OVM</w:t>
      </w:r>
      <w:r w:rsidR="00C3688A" w:rsidRPr="00E93FBA">
        <w:rPr>
          <w:lang w:val="sk-SK"/>
        </w:rPr>
        <w:t xml:space="preserve"> povinnosť doručovať elektronicky, pričom miestom na doručovanie je elektronická schránka, ktorá je aktívna. </w:t>
      </w:r>
      <w:r w:rsidR="002D473C" w:rsidRPr="00E93FBA">
        <w:rPr>
          <w:lang w:val="sk-SK"/>
        </w:rPr>
        <w:t>OVM</w:t>
      </w:r>
      <w:r w:rsidR="00C3688A" w:rsidRPr="00E93FBA">
        <w:rPr>
          <w:lang w:val="sk-SK"/>
        </w:rPr>
        <w:t xml:space="preserve"> je teda povinný zistiť, či je schránka aktívna na doručovanie, či už manuálne alebo automatizovane, aby mohol splniť zákonnú požiadavku „doručovať do aktívnej elektronickej schránky“. </w:t>
      </w:r>
    </w:p>
    <w:p w14:paraId="6C645C2D" w14:textId="2010B1F9" w:rsidR="00C3688A" w:rsidRPr="00E93FBA" w:rsidRDefault="00C3688A" w:rsidP="00C3688A">
      <w:pPr>
        <w:jc w:val="both"/>
        <w:rPr>
          <w:lang w:val="sk-SK"/>
        </w:rPr>
      </w:pPr>
      <w:r w:rsidRPr="00E93FBA">
        <w:rPr>
          <w:lang w:val="sk-SK"/>
        </w:rPr>
        <w:t>Uvedené pravidlo má za cieľ odosielať prostredníctvom modulu elektronického doručovania len tie úradné správy, ktoré môžu byť reálne doručené a</w:t>
      </w:r>
      <w:r w:rsidR="00C251CC" w:rsidRPr="00E93FBA">
        <w:rPr>
          <w:lang w:val="sk-SK"/>
        </w:rPr>
        <w:t> </w:t>
      </w:r>
      <w:r w:rsidRPr="00E93FBA">
        <w:rPr>
          <w:lang w:val="sk-SK"/>
        </w:rPr>
        <w:t xml:space="preserve">nezahlcovať zbytočne </w:t>
      </w:r>
      <w:r w:rsidR="002D473C" w:rsidRPr="00E93FBA">
        <w:rPr>
          <w:lang w:val="sk-SK"/>
        </w:rPr>
        <w:t>ústredný portál</w:t>
      </w:r>
      <w:r w:rsidRPr="00E93FBA">
        <w:rPr>
          <w:lang w:val="sk-SK"/>
        </w:rPr>
        <w:t xml:space="preserve">. </w:t>
      </w:r>
    </w:p>
    <w:p w14:paraId="18F77231" w14:textId="17E5E1B1" w:rsidR="00C3688A" w:rsidRPr="00E93FBA" w:rsidRDefault="00C3688A" w:rsidP="00C3688A">
      <w:pPr>
        <w:jc w:val="both"/>
        <w:rPr>
          <w:lang w:val="sk-SK"/>
        </w:rPr>
      </w:pPr>
      <w:r w:rsidRPr="00E93FBA">
        <w:rPr>
          <w:lang w:val="sk-SK"/>
        </w:rPr>
        <w:t xml:space="preserve">Navrhuje sa povinnosť overovať stav elektronickej </w:t>
      </w:r>
      <w:r w:rsidR="00993961" w:rsidRPr="00E93FBA">
        <w:rPr>
          <w:lang w:val="sk-SK"/>
        </w:rPr>
        <w:t xml:space="preserve">schránky </w:t>
      </w:r>
      <w:r w:rsidR="002D473C" w:rsidRPr="00E93FBA">
        <w:rPr>
          <w:lang w:val="sk-SK"/>
        </w:rPr>
        <w:t xml:space="preserve">vyjadriť aj </w:t>
      </w:r>
      <w:r w:rsidRPr="00E93FBA">
        <w:rPr>
          <w:lang w:val="sk-SK"/>
        </w:rPr>
        <w:t>explicitne</w:t>
      </w:r>
      <w:r w:rsidR="002D473C" w:rsidRPr="00E93FBA">
        <w:rPr>
          <w:lang w:val="sk-SK"/>
        </w:rPr>
        <w:t>, pričom</w:t>
      </w:r>
      <w:r w:rsidRPr="00E93FBA">
        <w:rPr>
          <w:lang w:val="sk-SK"/>
        </w:rPr>
        <w:t xml:space="preserve"> </w:t>
      </w:r>
      <w:r w:rsidR="000314BB" w:rsidRPr="00E93FBA">
        <w:rPr>
          <w:lang w:val="sk-SK"/>
        </w:rPr>
        <w:t>v</w:t>
      </w:r>
      <w:r w:rsidRPr="00E93FBA">
        <w:rPr>
          <w:lang w:val="sk-SK"/>
        </w:rPr>
        <w:t>ýnimka z</w:t>
      </w:r>
      <w:r w:rsidR="00C251CC" w:rsidRPr="00E93FBA">
        <w:rPr>
          <w:lang w:val="sk-SK"/>
        </w:rPr>
        <w:t> </w:t>
      </w:r>
      <w:r w:rsidRPr="00E93FBA">
        <w:rPr>
          <w:lang w:val="sk-SK"/>
        </w:rPr>
        <w:t xml:space="preserve">tejto povinnosti sa bude týkať len </w:t>
      </w:r>
      <w:r w:rsidR="000314BB" w:rsidRPr="00E93FBA">
        <w:rPr>
          <w:lang w:val="sk-SK"/>
        </w:rPr>
        <w:t>OVM</w:t>
      </w:r>
      <w:r w:rsidRPr="00E93FBA">
        <w:rPr>
          <w:lang w:val="sk-SK"/>
        </w:rPr>
        <w:t>, ktoré sú zapojené do centrálneho úradného doručovania, a</w:t>
      </w:r>
      <w:r w:rsidR="00C251CC" w:rsidRPr="00E93FBA">
        <w:rPr>
          <w:lang w:val="sk-SK"/>
        </w:rPr>
        <w:t> </w:t>
      </w:r>
      <w:r w:rsidRPr="00E93FBA">
        <w:rPr>
          <w:lang w:val="sk-SK"/>
        </w:rPr>
        <w:t>to práve z</w:t>
      </w:r>
      <w:r w:rsidR="00C251CC" w:rsidRPr="00E93FBA">
        <w:rPr>
          <w:lang w:val="sk-SK"/>
        </w:rPr>
        <w:t> </w:t>
      </w:r>
      <w:r w:rsidRPr="00E93FBA">
        <w:rPr>
          <w:lang w:val="sk-SK"/>
        </w:rPr>
        <w:t xml:space="preserve">dôvodu, že </w:t>
      </w:r>
      <w:r w:rsidR="00FD61CF" w:rsidRPr="00E93FBA">
        <w:rPr>
          <w:lang w:val="sk-SK"/>
        </w:rPr>
        <w:t>predmetnú povinnosť</w:t>
      </w:r>
      <w:r w:rsidRPr="00E93FBA">
        <w:rPr>
          <w:lang w:val="sk-SK"/>
        </w:rPr>
        <w:t xml:space="preserve"> zabezpečuje správca modulu elektronického doručovania.</w:t>
      </w:r>
    </w:p>
    <w:p w14:paraId="6ACB5F1F" w14:textId="77777777" w:rsidR="00A255FC" w:rsidRPr="00E93FBA" w:rsidRDefault="00A255FC" w:rsidP="00C3688A">
      <w:pPr>
        <w:jc w:val="both"/>
        <w:rPr>
          <w:lang w:val="sk-SK"/>
        </w:rPr>
      </w:pPr>
    </w:p>
    <w:p w14:paraId="48630550" w14:textId="5650AA04" w:rsidR="2EBEA3E6" w:rsidRPr="00E93FBA" w:rsidRDefault="2EBEA3E6" w:rsidP="2EBEA3E6">
      <w:pPr>
        <w:jc w:val="both"/>
        <w:rPr>
          <w:lang w:val="sk-SK"/>
        </w:rPr>
      </w:pPr>
      <w:r w:rsidRPr="00E93FBA">
        <w:rPr>
          <w:lang w:val="sk-SK"/>
        </w:rPr>
        <w:t xml:space="preserve">K bodu </w:t>
      </w:r>
      <w:r w:rsidR="00546C91" w:rsidRPr="00E93FBA">
        <w:rPr>
          <w:lang w:val="sk-SK"/>
        </w:rPr>
        <w:t>6</w:t>
      </w:r>
      <w:r w:rsidR="00A9697A">
        <w:rPr>
          <w:lang w:val="sk-SK"/>
        </w:rPr>
        <w:t>4</w:t>
      </w:r>
      <w:r w:rsidRPr="00E93FBA">
        <w:rPr>
          <w:lang w:val="sk-SK"/>
        </w:rPr>
        <w:t xml:space="preserve"> (§ 31a ods. 14):</w:t>
      </w:r>
    </w:p>
    <w:p w14:paraId="7446A35E" w14:textId="777782B2" w:rsidR="2EBEA3E6" w:rsidRPr="00E93FBA" w:rsidRDefault="2EBEA3E6" w:rsidP="2EBEA3E6">
      <w:pPr>
        <w:jc w:val="both"/>
        <w:rPr>
          <w:lang w:val="sk-SK"/>
        </w:rPr>
      </w:pPr>
      <w:r w:rsidRPr="00E93FBA">
        <w:rPr>
          <w:lang w:val="sk-SK"/>
        </w:rPr>
        <w:t>Navrhuje sa doplniť možnosť vytvárania informácie o výsledku doručenia v prípadoch, keď poštový podnik bude mať k dispozícii údaje o doručení poštovej zásielky z informačného systému International Postal System (IPS), ktorú tam uvedie poštový podnik krajiny určenia. Zároveň sa navrhuje doplniť, že informácia o výsledku doručenia nebude obsahovať dôvody nedoručenia nakoľko tieto dôvody sa v IPS neuvádzajú.</w:t>
      </w:r>
    </w:p>
    <w:p w14:paraId="69E347DD" w14:textId="568FCB28" w:rsidR="2EBEA3E6" w:rsidRPr="00E93FBA" w:rsidRDefault="2EBEA3E6" w:rsidP="2EBEA3E6">
      <w:pPr>
        <w:jc w:val="both"/>
        <w:rPr>
          <w:lang w:val="sk-SK"/>
        </w:rPr>
      </w:pPr>
    </w:p>
    <w:p w14:paraId="1E121727" w14:textId="6F9737FD" w:rsidR="00182B74" w:rsidRPr="00E93FBA" w:rsidRDefault="00182B74" w:rsidP="00C3688A">
      <w:pPr>
        <w:jc w:val="both"/>
        <w:rPr>
          <w:lang w:val="sk-SK"/>
        </w:rPr>
      </w:pPr>
      <w:r w:rsidRPr="00E93FBA">
        <w:rPr>
          <w:lang w:val="sk-SK"/>
        </w:rPr>
        <w:t>K</w:t>
      </w:r>
      <w:r w:rsidR="00C251CC" w:rsidRPr="00E93FBA">
        <w:rPr>
          <w:lang w:val="sk-SK"/>
        </w:rPr>
        <w:t> </w:t>
      </w:r>
      <w:r w:rsidRPr="00E93FBA">
        <w:rPr>
          <w:lang w:val="sk-SK"/>
        </w:rPr>
        <w:t xml:space="preserve">bodu </w:t>
      </w:r>
      <w:r w:rsidR="00510B19" w:rsidRPr="00E93FBA">
        <w:rPr>
          <w:lang w:val="sk-SK"/>
        </w:rPr>
        <w:t>6</w:t>
      </w:r>
      <w:r w:rsidR="00A9697A">
        <w:rPr>
          <w:lang w:val="sk-SK"/>
        </w:rPr>
        <w:t>5</w:t>
      </w:r>
      <w:r w:rsidR="000E4A91" w:rsidRPr="00E93FBA">
        <w:rPr>
          <w:lang w:val="sk-SK"/>
        </w:rPr>
        <w:t xml:space="preserve"> </w:t>
      </w:r>
      <w:r w:rsidRPr="00E93FBA">
        <w:rPr>
          <w:lang w:val="sk-SK"/>
        </w:rPr>
        <w:t>(§ 32 ods</w:t>
      </w:r>
      <w:r w:rsidR="001815FF" w:rsidRPr="00E93FBA">
        <w:rPr>
          <w:lang w:val="sk-SK"/>
        </w:rPr>
        <w:t>ek</w:t>
      </w:r>
      <w:r w:rsidR="007443F5" w:rsidRPr="00E93FBA">
        <w:rPr>
          <w:lang w:val="sk-SK"/>
        </w:rPr>
        <w:t>y</w:t>
      </w:r>
      <w:r w:rsidRPr="00E93FBA">
        <w:rPr>
          <w:lang w:val="sk-SK"/>
        </w:rPr>
        <w:t xml:space="preserve"> 5</w:t>
      </w:r>
      <w:r w:rsidR="007443F5" w:rsidRPr="00E93FBA">
        <w:rPr>
          <w:lang w:val="sk-SK"/>
        </w:rPr>
        <w:t xml:space="preserve"> až 7</w:t>
      </w:r>
      <w:r w:rsidRPr="00E93FBA">
        <w:rPr>
          <w:lang w:val="sk-SK"/>
        </w:rPr>
        <w:t>):</w:t>
      </w:r>
    </w:p>
    <w:p w14:paraId="01324654" w14:textId="454DCE9F" w:rsidR="00A255FC" w:rsidRPr="00E93FBA" w:rsidRDefault="00DD487C" w:rsidP="00CD3A13">
      <w:pPr>
        <w:jc w:val="both"/>
        <w:rPr>
          <w:lang w:val="sk-SK"/>
        </w:rPr>
      </w:pPr>
      <w:r w:rsidRPr="00E93FBA">
        <w:rPr>
          <w:lang w:val="sk-SK"/>
        </w:rPr>
        <w:t>Legislatívno-technick</w:t>
      </w:r>
      <w:r w:rsidR="001F6EC4" w:rsidRPr="00E93FBA">
        <w:rPr>
          <w:lang w:val="sk-SK"/>
        </w:rPr>
        <w:t>é</w:t>
      </w:r>
      <w:r w:rsidRPr="00E93FBA" w:rsidDel="00DD487C">
        <w:rPr>
          <w:lang w:val="sk-SK"/>
        </w:rPr>
        <w:t xml:space="preserve"> </w:t>
      </w:r>
      <w:r w:rsidR="00A255FC" w:rsidRPr="00E93FBA">
        <w:rPr>
          <w:lang w:val="sk-SK"/>
        </w:rPr>
        <w:t>úprav</w:t>
      </w:r>
      <w:r w:rsidR="001F6EC4" w:rsidRPr="00E93FBA">
        <w:rPr>
          <w:lang w:val="sk-SK"/>
        </w:rPr>
        <w:t>y, v časti</w:t>
      </w:r>
      <w:r w:rsidR="00A255FC" w:rsidRPr="00E93FBA">
        <w:rPr>
          <w:lang w:val="sk-SK"/>
        </w:rPr>
        <w:t xml:space="preserve"> nadväzujúc</w:t>
      </w:r>
      <w:r w:rsidR="001F6EC4" w:rsidRPr="00E93FBA">
        <w:rPr>
          <w:lang w:val="sk-SK"/>
        </w:rPr>
        <w:t>e aj</w:t>
      </w:r>
      <w:r w:rsidR="00A255FC" w:rsidRPr="00E93FBA">
        <w:rPr>
          <w:lang w:val="sk-SK"/>
        </w:rPr>
        <w:t xml:space="preserve"> na zmenu v § </w:t>
      </w:r>
      <w:r w:rsidR="00B01440" w:rsidRPr="00E93FBA">
        <w:rPr>
          <w:lang w:val="sk-SK"/>
        </w:rPr>
        <w:t xml:space="preserve">14 ods. 1 a </w:t>
      </w:r>
      <w:r w:rsidR="00A255FC" w:rsidRPr="00E93FBA">
        <w:rPr>
          <w:lang w:val="sk-SK"/>
        </w:rPr>
        <w:t>32 ods. 5.</w:t>
      </w:r>
    </w:p>
    <w:p w14:paraId="7DF42B7F" w14:textId="77777777" w:rsidR="00A255FC" w:rsidRPr="00E93FBA" w:rsidRDefault="00A255FC" w:rsidP="00A255FC">
      <w:pPr>
        <w:jc w:val="both"/>
        <w:rPr>
          <w:lang w:val="sk-SK"/>
        </w:rPr>
      </w:pPr>
    </w:p>
    <w:p w14:paraId="613F8A87" w14:textId="174BCB44" w:rsidR="00510B19" w:rsidRPr="00E93FBA" w:rsidRDefault="00510B19" w:rsidP="00A255FC">
      <w:pPr>
        <w:jc w:val="both"/>
        <w:rPr>
          <w:lang w:val="sk-SK"/>
        </w:rPr>
      </w:pPr>
      <w:r w:rsidRPr="00E93FBA">
        <w:rPr>
          <w:lang w:val="sk-SK"/>
        </w:rPr>
        <w:t>K bodu 6</w:t>
      </w:r>
      <w:r w:rsidR="00A9697A">
        <w:rPr>
          <w:lang w:val="sk-SK"/>
        </w:rPr>
        <w:t>6</w:t>
      </w:r>
      <w:r w:rsidRPr="00E93FBA">
        <w:rPr>
          <w:lang w:val="sk-SK"/>
        </w:rPr>
        <w:t xml:space="preserve"> (§ 34 ods. 2 a 4):</w:t>
      </w:r>
    </w:p>
    <w:p w14:paraId="7BAA87FF" w14:textId="541773B0" w:rsidR="00510B19" w:rsidRPr="00E93FBA" w:rsidRDefault="008E2A41" w:rsidP="00A255FC">
      <w:pPr>
        <w:jc w:val="both"/>
        <w:rPr>
          <w:lang w:val="sk-SK"/>
        </w:rPr>
      </w:pPr>
      <w:r w:rsidRPr="00E93FBA">
        <w:rPr>
          <w:lang w:val="sk-SK"/>
        </w:rPr>
        <w:t>Navrhuje sa zúženie povinnosti zverejňovania informácií prostredníctvom elektronickej úradnej tabule. Zo skúsenosti vyplýva, že tento nástroj je pri informovaní verejnosti resp. účastníkov administratívnych konaní a adresátov zverejnených dokumentov nadbytočný v časti týkajúcej sa dokumentov, ktoré sú zverejňované na webových sídlach. Používatelia elektronických služieb štátu zároveň preferujú webové sídla jednotlivých orgánov verejnej moci.</w:t>
      </w:r>
    </w:p>
    <w:p w14:paraId="67A704E2" w14:textId="77777777" w:rsidR="00510B19" w:rsidRPr="00E93FBA" w:rsidRDefault="00510B19" w:rsidP="00A255FC">
      <w:pPr>
        <w:jc w:val="both"/>
        <w:rPr>
          <w:lang w:val="sk-SK"/>
        </w:rPr>
      </w:pPr>
    </w:p>
    <w:p w14:paraId="2AE9160A" w14:textId="0D55E51C" w:rsidR="003D7F6E" w:rsidRPr="00E93FBA" w:rsidRDefault="00AE5238" w:rsidP="00AA054C">
      <w:pPr>
        <w:jc w:val="both"/>
        <w:rPr>
          <w:lang w:val="sk-SK"/>
        </w:rPr>
      </w:pPr>
      <w:r w:rsidRPr="00E93FBA">
        <w:rPr>
          <w:lang w:val="sk-SK"/>
        </w:rPr>
        <w:t>K</w:t>
      </w:r>
      <w:r w:rsidR="00C251CC" w:rsidRPr="00E93FBA">
        <w:rPr>
          <w:lang w:val="sk-SK"/>
        </w:rPr>
        <w:t> </w:t>
      </w:r>
      <w:r w:rsidRPr="00E93FBA">
        <w:rPr>
          <w:lang w:val="sk-SK"/>
        </w:rPr>
        <w:t>bod</w:t>
      </w:r>
      <w:r w:rsidR="0086172C" w:rsidRPr="00E93FBA">
        <w:rPr>
          <w:lang w:val="sk-SK"/>
        </w:rPr>
        <w:t xml:space="preserve">om </w:t>
      </w:r>
      <w:r w:rsidR="00050A9A" w:rsidRPr="00E93FBA">
        <w:rPr>
          <w:lang w:val="sk-SK"/>
        </w:rPr>
        <w:t>6</w:t>
      </w:r>
      <w:r w:rsidR="00D7696C">
        <w:rPr>
          <w:lang w:val="sk-SK"/>
        </w:rPr>
        <w:t>7</w:t>
      </w:r>
      <w:r w:rsidR="00AA054C" w:rsidRPr="00E93FBA">
        <w:rPr>
          <w:lang w:val="sk-SK"/>
        </w:rPr>
        <w:t xml:space="preserve"> a</w:t>
      </w:r>
      <w:r w:rsidR="00E71538" w:rsidRPr="00E93FBA">
        <w:rPr>
          <w:lang w:val="sk-SK"/>
        </w:rPr>
        <w:t>ž</w:t>
      </w:r>
      <w:r w:rsidR="00C251CC" w:rsidRPr="00E93FBA">
        <w:rPr>
          <w:lang w:val="sk-SK"/>
        </w:rPr>
        <w:t> </w:t>
      </w:r>
      <w:r w:rsidR="00D7696C">
        <w:rPr>
          <w:lang w:val="sk-SK"/>
        </w:rPr>
        <w:t>69</w:t>
      </w:r>
      <w:r w:rsidR="009B4073" w:rsidRPr="00E93FBA">
        <w:rPr>
          <w:lang w:val="sk-SK"/>
        </w:rPr>
        <w:t xml:space="preserve"> </w:t>
      </w:r>
      <w:r w:rsidR="00AA054C" w:rsidRPr="00E93FBA">
        <w:rPr>
          <w:lang w:val="sk-SK"/>
        </w:rPr>
        <w:t>(§ 3</w:t>
      </w:r>
      <w:r w:rsidR="00A90D81" w:rsidRPr="00E93FBA">
        <w:rPr>
          <w:lang w:val="sk-SK"/>
        </w:rPr>
        <w:t>5</w:t>
      </w:r>
      <w:r w:rsidR="00AA054C" w:rsidRPr="00E93FBA">
        <w:rPr>
          <w:lang w:val="sk-SK"/>
        </w:rPr>
        <w:t xml:space="preserve"> ods</w:t>
      </w:r>
      <w:r w:rsidR="001815FF" w:rsidRPr="00E93FBA">
        <w:rPr>
          <w:lang w:val="sk-SK"/>
        </w:rPr>
        <w:t>ek</w:t>
      </w:r>
      <w:r w:rsidR="007443F5" w:rsidRPr="00E93FBA">
        <w:rPr>
          <w:lang w:val="sk-SK"/>
        </w:rPr>
        <w:t>y</w:t>
      </w:r>
      <w:r w:rsidR="00AA054C" w:rsidRPr="00E93FBA">
        <w:rPr>
          <w:lang w:val="sk-SK"/>
        </w:rPr>
        <w:t xml:space="preserve"> 3</w:t>
      </w:r>
      <w:r w:rsidR="00E71538" w:rsidRPr="00E93FBA">
        <w:rPr>
          <w:lang w:val="sk-SK"/>
        </w:rPr>
        <w:t xml:space="preserve"> a</w:t>
      </w:r>
      <w:r w:rsidR="007443F5" w:rsidRPr="00E93FBA">
        <w:rPr>
          <w:lang w:val="sk-SK"/>
        </w:rPr>
        <w:t xml:space="preserve"> </w:t>
      </w:r>
      <w:r w:rsidR="00E71538" w:rsidRPr="00E93FBA">
        <w:rPr>
          <w:lang w:val="sk-SK"/>
        </w:rPr>
        <w:t>4</w:t>
      </w:r>
      <w:r w:rsidR="00AA054C" w:rsidRPr="00E93FBA">
        <w:rPr>
          <w:lang w:val="sk-SK"/>
        </w:rPr>
        <w:t>)</w:t>
      </w:r>
    </w:p>
    <w:p w14:paraId="6657DA5B" w14:textId="48E57D11" w:rsidR="00AA054C" w:rsidRPr="00E93FBA" w:rsidRDefault="00B73202" w:rsidP="00AA054C">
      <w:pPr>
        <w:jc w:val="both"/>
        <w:rPr>
          <w:lang w:val="sk-SK"/>
        </w:rPr>
      </w:pPr>
      <w:r w:rsidRPr="00E93FBA">
        <w:rPr>
          <w:lang w:val="sk-SK"/>
        </w:rPr>
        <w:t>Navrhuje sa rozšíriť okruh subjektov, oprávnených vykonávať zaručenú konverziu aj o</w:t>
      </w:r>
      <w:r w:rsidR="00E71538" w:rsidRPr="00E93FBA">
        <w:rPr>
          <w:lang w:val="sk-SK"/>
        </w:rPr>
        <w:t> </w:t>
      </w:r>
      <w:r w:rsidRPr="00E93FBA">
        <w:rPr>
          <w:lang w:val="sk-SK"/>
        </w:rPr>
        <w:t>banky a</w:t>
      </w:r>
      <w:r w:rsidR="00E71538" w:rsidRPr="00E93FBA">
        <w:rPr>
          <w:lang w:val="sk-SK"/>
        </w:rPr>
        <w:t> </w:t>
      </w:r>
      <w:r w:rsidRPr="00E93FBA">
        <w:rPr>
          <w:lang w:val="sk-SK"/>
        </w:rPr>
        <w:t>pobočky zahraničných bánk, a</w:t>
      </w:r>
      <w:r w:rsidR="00E71538" w:rsidRPr="00E93FBA">
        <w:rPr>
          <w:lang w:val="sk-SK"/>
        </w:rPr>
        <w:t> </w:t>
      </w:r>
      <w:r w:rsidRPr="00E93FBA">
        <w:rPr>
          <w:lang w:val="sk-SK"/>
        </w:rPr>
        <w:t>t</w:t>
      </w:r>
      <w:r w:rsidR="00C570E7" w:rsidRPr="00E93FBA">
        <w:rPr>
          <w:lang w:val="sk-SK"/>
        </w:rPr>
        <w:t>o ako svojho druhu doplnkovú činnosť pre ich klientov, ak sa vykonáva v</w:t>
      </w:r>
      <w:r w:rsidR="00E71538" w:rsidRPr="00E93FBA">
        <w:rPr>
          <w:lang w:val="sk-SK"/>
        </w:rPr>
        <w:t> </w:t>
      </w:r>
      <w:r w:rsidR="00C570E7" w:rsidRPr="00E93FBA">
        <w:rPr>
          <w:lang w:val="sk-SK"/>
        </w:rPr>
        <w:t>súvislosti s</w:t>
      </w:r>
      <w:r w:rsidR="00E71538" w:rsidRPr="00E93FBA">
        <w:rPr>
          <w:lang w:val="sk-SK"/>
        </w:rPr>
        <w:t> </w:t>
      </w:r>
      <w:r w:rsidR="00C570E7" w:rsidRPr="00E93FBA">
        <w:rPr>
          <w:lang w:val="sk-SK"/>
        </w:rPr>
        <w:t xml:space="preserve">bankovými činnosťami, ktoré pre klienta poskytujú. </w:t>
      </w:r>
      <w:r w:rsidR="00D10204" w:rsidRPr="00E93FBA">
        <w:rPr>
          <w:lang w:val="sk-SK"/>
        </w:rPr>
        <w:t>Takáto úprava má potenciál zjednodušiť komunikáciu klientov bánk napr. so štátnymi orgánmi v</w:t>
      </w:r>
      <w:r w:rsidR="00E71538" w:rsidRPr="00E93FBA">
        <w:rPr>
          <w:lang w:val="sk-SK"/>
        </w:rPr>
        <w:t> </w:t>
      </w:r>
      <w:r w:rsidR="00D10204" w:rsidRPr="00E93FBA">
        <w:rPr>
          <w:lang w:val="sk-SK"/>
        </w:rPr>
        <w:t>katastrálnom konaní</w:t>
      </w:r>
      <w:r w:rsidR="00CB20F6" w:rsidRPr="00E93FBA">
        <w:rPr>
          <w:lang w:val="sk-SK"/>
        </w:rPr>
        <w:t>.</w:t>
      </w:r>
      <w:r w:rsidR="00B549BE" w:rsidRPr="00E93FBA">
        <w:rPr>
          <w:lang w:val="sk-SK"/>
        </w:rPr>
        <w:t xml:space="preserve"> </w:t>
      </w:r>
    </w:p>
    <w:p w14:paraId="359983B6" w14:textId="72B849CD" w:rsidR="00B549BE" w:rsidRPr="00E93FBA" w:rsidRDefault="00B549BE" w:rsidP="00AA054C">
      <w:pPr>
        <w:jc w:val="both"/>
        <w:rPr>
          <w:lang w:val="sk-SK"/>
        </w:rPr>
      </w:pPr>
      <w:r w:rsidRPr="00E93FBA">
        <w:rPr>
          <w:lang w:val="sk-SK"/>
        </w:rPr>
        <w:t>Okrem uvedeného sa navrhuje legislatívno-technická úprava odseku 3 písm. a) a</w:t>
      </w:r>
      <w:r w:rsidR="00E71538" w:rsidRPr="00E93FBA">
        <w:rPr>
          <w:lang w:val="sk-SK"/>
        </w:rPr>
        <w:t> </w:t>
      </w:r>
      <w:r w:rsidRPr="00E93FBA">
        <w:rPr>
          <w:lang w:val="sk-SK"/>
        </w:rPr>
        <w:t>b)</w:t>
      </w:r>
      <w:r w:rsidR="00E71538" w:rsidRPr="00E93FBA">
        <w:rPr>
          <w:lang w:val="sk-SK"/>
        </w:rPr>
        <w:t xml:space="preserve"> a v odseku 4</w:t>
      </w:r>
      <w:r w:rsidR="0097042B" w:rsidRPr="00E93FBA">
        <w:rPr>
          <w:lang w:val="sk-SK"/>
        </w:rPr>
        <w:t>, súvisiac</w:t>
      </w:r>
      <w:r w:rsidR="00E1577D" w:rsidRPr="00E93FBA">
        <w:rPr>
          <w:lang w:val="sk-SK"/>
        </w:rPr>
        <w:t>a</w:t>
      </w:r>
      <w:r w:rsidR="0097042B" w:rsidRPr="00E93FBA">
        <w:rPr>
          <w:lang w:val="sk-SK"/>
        </w:rPr>
        <w:t xml:space="preserve"> s</w:t>
      </w:r>
      <w:r w:rsidR="00C251CC" w:rsidRPr="00E93FBA">
        <w:rPr>
          <w:lang w:val="sk-SK"/>
        </w:rPr>
        <w:t> </w:t>
      </w:r>
      <w:r w:rsidR="00C76CF5" w:rsidRPr="00E93FBA">
        <w:rPr>
          <w:lang w:val="sk-SK"/>
        </w:rPr>
        <w:t>vypustením inštitútu IOM</w:t>
      </w:r>
      <w:r w:rsidR="0097042B" w:rsidRPr="00E93FBA">
        <w:rPr>
          <w:lang w:val="sk-SK"/>
        </w:rPr>
        <w:t>.</w:t>
      </w:r>
    </w:p>
    <w:p w14:paraId="61C172F2" w14:textId="77777777" w:rsidR="00B73202" w:rsidRPr="00E93FBA" w:rsidRDefault="00B73202" w:rsidP="00AA054C">
      <w:pPr>
        <w:jc w:val="both"/>
        <w:rPr>
          <w:lang w:val="sk-SK"/>
        </w:rPr>
      </w:pPr>
    </w:p>
    <w:p w14:paraId="6849E1BD" w14:textId="33431AFF" w:rsidR="00F97BD6" w:rsidRPr="00E93FBA" w:rsidRDefault="00AA054C" w:rsidP="00AA054C">
      <w:pPr>
        <w:jc w:val="both"/>
        <w:rPr>
          <w:lang w:val="sk-SK"/>
        </w:rPr>
      </w:pPr>
      <w:r w:rsidRPr="00E93FBA">
        <w:rPr>
          <w:lang w:val="sk-SK"/>
        </w:rPr>
        <w:t>K</w:t>
      </w:r>
      <w:r w:rsidR="00C251CC" w:rsidRPr="00E93FBA">
        <w:rPr>
          <w:lang w:val="sk-SK"/>
        </w:rPr>
        <w:t> </w:t>
      </w:r>
      <w:r w:rsidRPr="00E93FBA">
        <w:rPr>
          <w:lang w:val="sk-SK"/>
        </w:rPr>
        <w:t xml:space="preserve">bodom </w:t>
      </w:r>
      <w:r w:rsidR="004D25C4">
        <w:rPr>
          <w:lang w:val="sk-SK"/>
        </w:rPr>
        <w:t>70</w:t>
      </w:r>
      <w:r w:rsidR="00FC01AC" w:rsidRPr="00E93FBA">
        <w:rPr>
          <w:lang w:val="sk-SK"/>
        </w:rPr>
        <w:t xml:space="preserve"> </w:t>
      </w:r>
      <w:r w:rsidRPr="00E93FBA">
        <w:rPr>
          <w:lang w:val="sk-SK"/>
        </w:rPr>
        <w:t xml:space="preserve">až </w:t>
      </w:r>
      <w:r w:rsidR="004D25C4">
        <w:rPr>
          <w:lang w:val="sk-SK"/>
        </w:rPr>
        <w:t>8</w:t>
      </w:r>
      <w:r w:rsidR="003E1624">
        <w:rPr>
          <w:lang w:val="sk-SK"/>
        </w:rPr>
        <w:t>0</w:t>
      </w:r>
      <w:r w:rsidRPr="00E93FBA">
        <w:rPr>
          <w:lang w:val="sk-SK"/>
        </w:rPr>
        <w:t xml:space="preserve"> (§ 36 až </w:t>
      </w:r>
      <w:r w:rsidR="00F97BD6" w:rsidRPr="00E93FBA">
        <w:rPr>
          <w:lang w:val="sk-SK"/>
        </w:rPr>
        <w:t>39):</w:t>
      </w:r>
    </w:p>
    <w:p w14:paraId="1AAAEB00" w14:textId="340DE6CE" w:rsidR="00F97BD6" w:rsidRPr="00E93FBA" w:rsidRDefault="005430FC" w:rsidP="00AA054C">
      <w:pPr>
        <w:jc w:val="both"/>
        <w:rPr>
          <w:lang w:val="sk-SK"/>
        </w:rPr>
      </w:pPr>
      <w:r w:rsidRPr="00E93FBA">
        <w:rPr>
          <w:lang w:val="sk-SK"/>
        </w:rPr>
        <w:t>Návrhy z</w:t>
      </w:r>
      <w:r w:rsidR="00FB1C06" w:rsidRPr="00E93FBA">
        <w:rPr>
          <w:lang w:val="sk-SK"/>
        </w:rPr>
        <w:t>m</w:t>
      </w:r>
      <w:r w:rsidRPr="00E93FBA">
        <w:rPr>
          <w:lang w:val="sk-SK"/>
        </w:rPr>
        <w:t>i</w:t>
      </w:r>
      <w:r w:rsidR="00FB1C06" w:rsidRPr="00E93FBA">
        <w:rPr>
          <w:lang w:val="sk-SK"/>
        </w:rPr>
        <w:t>en v</w:t>
      </w:r>
      <w:r w:rsidR="00C251CC" w:rsidRPr="00E93FBA">
        <w:rPr>
          <w:lang w:val="sk-SK"/>
        </w:rPr>
        <w:t> </w:t>
      </w:r>
      <w:r w:rsidR="00FB1C06" w:rsidRPr="00E93FBA">
        <w:rPr>
          <w:lang w:val="sk-SK"/>
        </w:rPr>
        <w:t xml:space="preserve">zaručenej konverzii </w:t>
      </w:r>
      <w:r w:rsidR="00741DB6" w:rsidRPr="00E93FBA">
        <w:rPr>
          <w:lang w:val="sk-SK"/>
        </w:rPr>
        <w:t xml:space="preserve">majú za cieľ </w:t>
      </w:r>
      <w:r w:rsidR="00A46A4D" w:rsidRPr="00E93FBA">
        <w:rPr>
          <w:lang w:val="sk-SK"/>
        </w:rPr>
        <w:t>posil</w:t>
      </w:r>
      <w:r w:rsidR="00CD1B83" w:rsidRPr="00E93FBA">
        <w:rPr>
          <w:lang w:val="sk-SK"/>
        </w:rPr>
        <w:t>niť dôveryhodnosť novovzniknutých dokumentov</w:t>
      </w:r>
      <w:r w:rsidR="00AE469F" w:rsidRPr="00E93FBA">
        <w:rPr>
          <w:lang w:val="sk-SK"/>
        </w:rPr>
        <w:t>, odbúrať administratívnu náročnosť spojenú s</w:t>
      </w:r>
      <w:r w:rsidR="00C251CC" w:rsidRPr="00E93FBA">
        <w:rPr>
          <w:lang w:val="sk-SK"/>
        </w:rPr>
        <w:t> </w:t>
      </w:r>
      <w:r w:rsidR="00AE469F" w:rsidRPr="00E93FBA">
        <w:rPr>
          <w:lang w:val="sk-SK"/>
        </w:rPr>
        <w:t xml:space="preserve">vedením „lokálnych“ evidencií </w:t>
      </w:r>
      <w:r w:rsidR="00AD26A7" w:rsidRPr="00E93FBA">
        <w:rPr>
          <w:lang w:val="sk-SK"/>
        </w:rPr>
        <w:t>a</w:t>
      </w:r>
      <w:r w:rsidR="00C251CC" w:rsidRPr="00E93FBA">
        <w:rPr>
          <w:lang w:val="sk-SK"/>
        </w:rPr>
        <w:t> </w:t>
      </w:r>
      <w:r w:rsidR="00AD26A7" w:rsidRPr="00E93FBA">
        <w:rPr>
          <w:lang w:val="sk-SK"/>
        </w:rPr>
        <w:t xml:space="preserve">vytváraním osvedčovacích doložiek </w:t>
      </w:r>
      <w:r w:rsidR="00AE469F" w:rsidRPr="00E93FBA">
        <w:rPr>
          <w:lang w:val="sk-SK"/>
        </w:rPr>
        <w:t>a</w:t>
      </w:r>
      <w:r w:rsidR="00C251CC" w:rsidRPr="00E93FBA">
        <w:rPr>
          <w:lang w:val="sk-SK"/>
        </w:rPr>
        <w:t> </w:t>
      </w:r>
      <w:r w:rsidR="00AD26A7" w:rsidRPr="00E93FBA">
        <w:rPr>
          <w:lang w:val="sk-SK"/>
        </w:rPr>
        <w:t>ustanoviť jedno dôveryhodné miesto overenia</w:t>
      </w:r>
      <w:r w:rsidR="00C364AB" w:rsidRPr="00E93FBA">
        <w:rPr>
          <w:lang w:val="sk-SK"/>
        </w:rPr>
        <w:t xml:space="preserve"> záznamu o</w:t>
      </w:r>
      <w:r w:rsidR="00C251CC" w:rsidRPr="00E93FBA">
        <w:rPr>
          <w:lang w:val="sk-SK"/>
        </w:rPr>
        <w:t> </w:t>
      </w:r>
      <w:r w:rsidR="00C364AB" w:rsidRPr="00E93FBA">
        <w:rPr>
          <w:lang w:val="sk-SK"/>
        </w:rPr>
        <w:t>vykonanej konverzii.</w:t>
      </w:r>
      <w:r w:rsidR="00D22B10" w:rsidRPr="00E93FBA">
        <w:rPr>
          <w:lang w:val="sk-SK"/>
        </w:rPr>
        <w:t xml:space="preserve"> V</w:t>
      </w:r>
      <w:r w:rsidR="00C251CC" w:rsidRPr="00E93FBA">
        <w:rPr>
          <w:lang w:val="sk-SK"/>
        </w:rPr>
        <w:t> </w:t>
      </w:r>
      <w:r w:rsidR="00D22B10" w:rsidRPr="00E93FBA">
        <w:rPr>
          <w:lang w:val="sk-SK"/>
        </w:rPr>
        <w:t>praktickej rovine toto riešenie odbúra potrebu autorizácie záznamu o</w:t>
      </w:r>
      <w:r w:rsidR="00C251CC" w:rsidRPr="00E93FBA">
        <w:rPr>
          <w:lang w:val="sk-SK"/>
        </w:rPr>
        <w:t> </w:t>
      </w:r>
      <w:r w:rsidR="00D22B10" w:rsidRPr="00E93FBA">
        <w:rPr>
          <w:lang w:val="sk-SK"/>
        </w:rPr>
        <w:t>zaručenej konverzii a</w:t>
      </w:r>
      <w:r w:rsidR="00C251CC" w:rsidRPr="00E93FBA">
        <w:rPr>
          <w:lang w:val="sk-SK"/>
        </w:rPr>
        <w:t> </w:t>
      </w:r>
      <w:r w:rsidR="00D22B10" w:rsidRPr="00E93FBA">
        <w:rPr>
          <w:lang w:val="sk-SK"/>
        </w:rPr>
        <w:t>tým aj potenciálne problémy v</w:t>
      </w:r>
      <w:r w:rsidR="00C251CC" w:rsidRPr="00E93FBA">
        <w:rPr>
          <w:lang w:val="sk-SK"/>
        </w:rPr>
        <w:t> </w:t>
      </w:r>
      <w:r w:rsidR="00D22B10" w:rsidRPr="00E93FBA">
        <w:rPr>
          <w:lang w:val="sk-SK"/>
        </w:rPr>
        <w:t>komunikácii a</w:t>
      </w:r>
      <w:r w:rsidR="00C251CC" w:rsidRPr="00E93FBA">
        <w:rPr>
          <w:lang w:val="sk-SK"/>
        </w:rPr>
        <w:t> </w:t>
      </w:r>
      <w:r w:rsidR="00D22B10" w:rsidRPr="00E93FBA">
        <w:rPr>
          <w:lang w:val="sk-SK"/>
        </w:rPr>
        <w:t>verifikačných procesoch na strane centrálnej evidencie. Z</w:t>
      </w:r>
      <w:r w:rsidR="00C251CC" w:rsidRPr="00E93FBA">
        <w:rPr>
          <w:lang w:val="sk-SK"/>
        </w:rPr>
        <w:t> </w:t>
      </w:r>
      <w:r w:rsidR="00D22B10" w:rsidRPr="00E93FBA">
        <w:rPr>
          <w:lang w:val="sk-SK"/>
        </w:rPr>
        <w:t>hľadiska procesu výkonu zaručenej konverzie sa pravidlá nemenia, rozdiel bude najmä v</w:t>
      </w:r>
      <w:r w:rsidR="00C251CC" w:rsidRPr="00E93FBA">
        <w:rPr>
          <w:lang w:val="sk-SK"/>
        </w:rPr>
        <w:t> </w:t>
      </w:r>
      <w:r w:rsidR="00D22B10" w:rsidRPr="00E93FBA">
        <w:rPr>
          <w:lang w:val="sk-SK"/>
        </w:rPr>
        <w:t>postupnosti krokov a</w:t>
      </w:r>
      <w:r w:rsidR="00C251CC" w:rsidRPr="00E93FBA">
        <w:rPr>
          <w:lang w:val="sk-SK"/>
        </w:rPr>
        <w:t> </w:t>
      </w:r>
      <w:r w:rsidR="00D22B10" w:rsidRPr="00E93FBA">
        <w:rPr>
          <w:lang w:val="sk-SK"/>
        </w:rPr>
        <w:t>vytváraní výsledného novovzniknutého dokumentu. Počas procesu zaručenej konverzie bude podstatná komunikácia s</w:t>
      </w:r>
      <w:r w:rsidR="00C251CC" w:rsidRPr="00E93FBA">
        <w:rPr>
          <w:lang w:val="sk-SK"/>
        </w:rPr>
        <w:t> </w:t>
      </w:r>
      <w:r w:rsidR="00D22B10" w:rsidRPr="00E93FBA">
        <w:rPr>
          <w:lang w:val="sk-SK"/>
        </w:rPr>
        <w:t>centrálnou evidenciou, do ktorej sa budú vkladať údaje, dnes evidované v</w:t>
      </w:r>
      <w:r w:rsidR="00C251CC" w:rsidRPr="00E93FBA">
        <w:rPr>
          <w:lang w:val="sk-SK"/>
        </w:rPr>
        <w:t> </w:t>
      </w:r>
      <w:r w:rsidR="00D22B10" w:rsidRPr="00E93FBA">
        <w:rPr>
          <w:lang w:val="sk-SK"/>
        </w:rPr>
        <w:t xml:space="preserve">zázname – zjednodušene </w:t>
      </w:r>
      <w:r w:rsidR="00D22B10" w:rsidRPr="00E93FBA">
        <w:rPr>
          <w:lang w:val="sk-SK"/>
        </w:rPr>
        <w:lastRenderedPageBreak/>
        <w:t>povedané, záznam sa bude vytvárať v</w:t>
      </w:r>
      <w:r w:rsidR="00C251CC" w:rsidRPr="00E93FBA">
        <w:rPr>
          <w:lang w:val="sk-SK"/>
        </w:rPr>
        <w:t> </w:t>
      </w:r>
      <w:r w:rsidR="00D22B10" w:rsidRPr="00E93FBA">
        <w:rPr>
          <w:lang w:val="sk-SK"/>
        </w:rPr>
        <w:t xml:space="preserve">centrálnej evidencii. </w:t>
      </w:r>
      <w:r w:rsidR="00C07095" w:rsidRPr="00E93FBA">
        <w:rPr>
          <w:lang w:val="sk-SK"/>
        </w:rPr>
        <w:t>Používanie aplikácií na zaručenú konverziu tým nebude dotknuté, rozdiel bude spočívať v</w:t>
      </w:r>
      <w:r w:rsidR="00C251CC" w:rsidRPr="00E93FBA">
        <w:rPr>
          <w:lang w:val="sk-SK"/>
        </w:rPr>
        <w:t> </w:t>
      </w:r>
      <w:r w:rsidR="00C07095" w:rsidRPr="00E93FBA">
        <w:rPr>
          <w:lang w:val="sk-SK"/>
        </w:rPr>
        <w:t>tom, že záznam bude vytváraný takpovediac v</w:t>
      </w:r>
      <w:r w:rsidR="00C251CC" w:rsidRPr="00E93FBA">
        <w:rPr>
          <w:lang w:val="sk-SK"/>
        </w:rPr>
        <w:t> </w:t>
      </w:r>
      <w:r w:rsidR="00C07095" w:rsidRPr="00E93FBA">
        <w:rPr>
          <w:lang w:val="sk-SK"/>
        </w:rPr>
        <w:t>reálnom čase a</w:t>
      </w:r>
      <w:r w:rsidR="00C251CC" w:rsidRPr="00E93FBA">
        <w:rPr>
          <w:lang w:val="sk-SK"/>
        </w:rPr>
        <w:t> </w:t>
      </w:r>
      <w:r w:rsidR="00C07095" w:rsidRPr="00E93FBA">
        <w:rPr>
          <w:lang w:val="sk-SK"/>
        </w:rPr>
        <w:t>po vykonaní konverzie a</w:t>
      </w:r>
      <w:r w:rsidR="00C251CC" w:rsidRPr="00E93FBA">
        <w:rPr>
          <w:lang w:val="sk-SK"/>
        </w:rPr>
        <w:t> </w:t>
      </w:r>
      <w:r w:rsidR="00C07095" w:rsidRPr="00E93FBA">
        <w:rPr>
          <w:lang w:val="sk-SK"/>
        </w:rPr>
        <w:t>vytvorení záznamu bude poskytnutý údaj do osvedčovacej doložky. Týmto údajom bude jednoznačný identifikátor záznamu danej zaručenej konverzie a</w:t>
      </w:r>
      <w:r w:rsidR="00C251CC" w:rsidRPr="00E93FBA">
        <w:rPr>
          <w:lang w:val="sk-SK"/>
        </w:rPr>
        <w:t> </w:t>
      </w:r>
      <w:r w:rsidR="00C07095" w:rsidRPr="00E93FBA">
        <w:rPr>
          <w:lang w:val="sk-SK"/>
        </w:rPr>
        <w:t>okrem neho nebude doložka obsahovať žiadne iné údaje o</w:t>
      </w:r>
      <w:r w:rsidR="00C251CC" w:rsidRPr="00E93FBA">
        <w:rPr>
          <w:lang w:val="sk-SK"/>
        </w:rPr>
        <w:t> </w:t>
      </w:r>
      <w:r w:rsidR="00C07095" w:rsidRPr="00E93FBA">
        <w:rPr>
          <w:lang w:val="sk-SK"/>
        </w:rPr>
        <w:t>zaručenej konverzii. Tým sa v</w:t>
      </w:r>
      <w:r w:rsidR="00C251CC" w:rsidRPr="00E93FBA">
        <w:rPr>
          <w:lang w:val="sk-SK"/>
        </w:rPr>
        <w:t> </w:t>
      </w:r>
      <w:r w:rsidR="00C07095" w:rsidRPr="00E93FBA">
        <w:rPr>
          <w:lang w:val="sk-SK"/>
        </w:rPr>
        <w:t>praktickej rovine docieli, že novovzniknutý dokument vznikne až ak bude záznam korektne zaznamenaný v</w:t>
      </w:r>
      <w:r w:rsidR="00C251CC" w:rsidRPr="00E93FBA">
        <w:rPr>
          <w:lang w:val="sk-SK"/>
        </w:rPr>
        <w:t> </w:t>
      </w:r>
      <w:r w:rsidR="00C07095" w:rsidRPr="00E93FBA">
        <w:rPr>
          <w:lang w:val="sk-SK"/>
        </w:rPr>
        <w:t>centrálnej evidencii.</w:t>
      </w:r>
    </w:p>
    <w:p w14:paraId="2A100894" w14:textId="3591D44C" w:rsidR="00F663B6" w:rsidRPr="00E93FBA" w:rsidRDefault="00F663B6" w:rsidP="00AA054C">
      <w:pPr>
        <w:jc w:val="both"/>
        <w:rPr>
          <w:lang w:val="sk-SK"/>
        </w:rPr>
      </w:pPr>
      <w:r w:rsidRPr="00E93FBA">
        <w:rPr>
          <w:lang w:val="sk-SK"/>
        </w:rPr>
        <w:t xml:space="preserve">Vzhľadom na potrebu implementácie týchto zmien </w:t>
      </w:r>
      <w:r w:rsidR="00F66CE9" w:rsidRPr="00E93FBA">
        <w:rPr>
          <w:lang w:val="sk-SK"/>
        </w:rPr>
        <w:t>do procesov centrálnej evidencie sa navrhuje odklad účinnosti týchto zmien.</w:t>
      </w:r>
    </w:p>
    <w:p w14:paraId="3A084734" w14:textId="77777777" w:rsidR="00FB1C06" w:rsidRPr="00E93FBA" w:rsidRDefault="00FB1C06" w:rsidP="00AA054C">
      <w:pPr>
        <w:jc w:val="both"/>
        <w:rPr>
          <w:lang w:val="sk-SK"/>
        </w:rPr>
      </w:pPr>
    </w:p>
    <w:p w14:paraId="6C1B0452" w14:textId="306F687A" w:rsidR="00F97BD6" w:rsidRPr="00E93FBA" w:rsidRDefault="00F97BD6" w:rsidP="00AA054C">
      <w:pPr>
        <w:jc w:val="both"/>
        <w:rPr>
          <w:lang w:val="sk-SK"/>
        </w:rPr>
      </w:pPr>
      <w:r w:rsidRPr="00E93FBA">
        <w:rPr>
          <w:lang w:val="sk-SK"/>
        </w:rPr>
        <w:t>K</w:t>
      </w:r>
      <w:r w:rsidR="00C251CC" w:rsidRPr="00E93FBA">
        <w:rPr>
          <w:lang w:val="sk-SK"/>
        </w:rPr>
        <w:t> </w:t>
      </w:r>
      <w:r w:rsidRPr="00E93FBA">
        <w:rPr>
          <w:lang w:val="sk-SK"/>
        </w:rPr>
        <w:t xml:space="preserve">bodu </w:t>
      </w:r>
      <w:r w:rsidR="007C22BA" w:rsidRPr="00E93FBA">
        <w:rPr>
          <w:lang w:val="sk-SK"/>
        </w:rPr>
        <w:t>8</w:t>
      </w:r>
      <w:r w:rsidR="003E1624">
        <w:rPr>
          <w:lang w:val="sk-SK"/>
        </w:rPr>
        <w:t>1</w:t>
      </w:r>
      <w:r w:rsidR="001815FF" w:rsidRPr="00E93FBA">
        <w:rPr>
          <w:lang w:val="sk-SK"/>
        </w:rPr>
        <w:t xml:space="preserve"> </w:t>
      </w:r>
      <w:r w:rsidRPr="00E93FBA">
        <w:rPr>
          <w:lang w:val="sk-SK"/>
        </w:rPr>
        <w:t>(§ 39 ods</w:t>
      </w:r>
      <w:r w:rsidR="001815FF" w:rsidRPr="00E93FBA">
        <w:rPr>
          <w:lang w:val="sk-SK"/>
        </w:rPr>
        <w:t>ek</w:t>
      </w:r>
      <w:r w:rsidRPr="00E93FBA">
        <w:rPr>
          <w:lang w:val="sk-SK"/>
        </w:rPr>
        <w:t xml:space="preserve"> 7):</w:t>
      </w:r>
    </w:p>
    <w:p w14:paraId="03109918" w14:textId="77777777" w:rsidR="00223B6F" w:rsidRPr="00E93FBA" w:rsidRDefault="00223B6F" w:rsidP="00223B6F">
      <w:pPr>
        <w:jc w:val="both"/>
        <w:rPr>
          <w:lang w:val="sk-SK"/>
        </w:rPr>
      </w:pPr>
      <w:r w:rsidRPr="00E93FBA">
        <w:rPr>
          <w:lang w:val="sk-SK"/>
        </w:rPr>
        <w:t>Legislatívno-technická úprava, zjednocujúca spôsob odkazu na štandardy.</w:t>
      </w:r>
    </w:p>
    <w:p w14:paraId="5F7E7CDA" w14:textId="687BBE40" w:rsidR="003D7F6E" w:rsidRPr="00E93FBA" w:rsidRDefault="003D7F6E" w:rsidP="003D7F6E">
      <w:pPr>
        <w:jc w:val="both"/>
        <w:rPr>
          <w:lang w:val="sk-SK"/>
        </w:rPr>
      </w:pPr>
    </w:p>
    <w:p w14:paraId="6E3E9489" w14:textId="3D07E0DE" w:rsidR="003D7F6E" w:rsidRPr="00E93FBA" w:rsidRDefault="003D7F6E" w:rsidP="003D7F6E">
      <w:pPr>
        <w:jc w:val="both"/>
        <w:rPr>
          <w:lang w:val="sk-SK"/>
        </w:rPr>
      </w:pPr>
      <w:r w:rsidRPr="00E93FBA">
        <w:rPr>
          <w:lang w:val="sk-SK"/>
        </w:rPr>
        <w:t>K</w:t>
      </w:r>
      <w:r w:rsidR="00C251CC" w:rsidRPr="00E93FBA">
        <w:rPr>
          <w:lang w:val="sk-SK"/>
        </w:rPr>
        <w:t> </w:t>
      </w:r>
      <w:r w:rsidRPr="00E93FBA">
        <w:rPr>
          <w:lang w:val="sk-SK"/>
        </w:rPr>
        <w:t xml:space="preserve">bodu </w:t>
      </w:r>
      <w:r w:rsidR="007C22BA" w:rsidRPr="00E93FBA">
        <w:rPr>
          <w:lang w:val="sk-SK"/>
        </w:rPr>
        <w:t>8</w:t>
      </w:r>
      <w:r w:rsidR="000917CD">
        <w:rPr>
          <w:lang w:val="sk-SK"/>
        </w:rPr>
        <w:t>2</w:t>
      </w:r>
      <w:r w:rsidR="0071444D" w:rsidRPr="00E93FBA">
        <w:rPr>
          <w:lang w:val="sk-SK"/>
        </w:rPr>
        <w:t xml:space="preserve"> </w:t>
      </w:r>
      <w:r w:rsidRPr="00E93FBA">
        <w:rPr>
          <w:lang w:val="sk-SK"/>
        </w:rPr>
        <w:t>(§ 39 ods</w:t>
      </w:r>
      <w:r w:rsidR="001815FF" w:rsidRPr="00E93FBA">
        <w:rPr>
          <w:lang w:val="sk-SK"/>
        </w:rPr>
        <w:t>ek</w:t>
      </w:r>
      <w:r w:rsidRPr="00E93FBA">
        <w:rPr>
          <w:lang w:val="sk-SK"/>
        </w:rPr>
        <w:t xml:space="preserve"> </w:t>
      </w:r>
      <w:r w:rsidR="0086172C" w:rsidRPr="00E93FBA">
        <w:rPr>
          <w:lang w:val="sk-SK"/>
        </w:rPr>
        <w:t>8</w:t>
      </w:r>
      <w:r w:rsidRPr="00E93FBA">
        <w:rPr>
          <w:lang w:val="sk-SK"/>
        </w:rPr>
        <w:t>):</w:t>
      </w:r>
    </w:p>
    <w:p w14:paraId="69D10B76" w14:textId="375954FE" w:rsidR="003D7F6E" w:rsidRPr="00E93FBA" w:rsidRDefault="000628EA" w:rsidP="003D7F6E">
      <w:pPr>
        <w:jc w:val="both"/>
        <w:rPr>
          <w:lang w:val="sk-SK"/>
        </w:rPr>
      </w:pPr>
      <w:r w:rsidRPr="00E93FBA">
        <w:rPr>
          <w:lang w:val="sk-SK"/>
        </w:rPr>
        <w:t>Na základe požiadaviek z</w:t>
      </w:r>
      <w:r w:rsidR="00C251CC" w:rsidRPr="00E93FBA">
        <w:rPr>
          <w:lang w:val="sk-SK"/>
        </w:rPr>
        <w:t> </w:t>
      </w:r>
      <w:r w:rsidRPr="00E93FBA">
        <w:rPr>
          <w:lang w:val="sk-SK"/>
        </w:rPr>
        <w:t xml:space="preserve">praxe sa zavádza možnosť pre osobitný predpis ustanoviť, </w:t>
      </w:r>
      <w:r w:rsidR="00E779D0" w:rsidRPr="00E93FBA">
        <w:rPr>
          <w:lang w:val="sk-SK"/>
        </w:rPr>
        <w:t>že konkrétny OVM môže vykonávať zaručenú konverziu odplatne</w:t>
      </w:r>
      <w:r w:rsidR="0061256F" w:rsidRPr="00E93FBA">
        <w:rPr>
          <w:lang w:val="sk-SK"/>
        </w:rPr>
        <w:t>.</w:t>
      </w:r>
      <w:r w:rsidR="00E779D0" w:rsidRPr="00E93FBA">
        <w:rPr>
          <w:lang w:val="sk-SK"/>
        </w:rPr>
        <w:t xml:space="preserve"> Vo vzťahu k</w:t>
      </w:r>
      <w:r w:rsidR="00C251CC" w:rsidRPr="00E93FBA">
        <w:rPr>
          <w:lang w:val="sk-SK"/>
        </w:rPr>
        <w:t> </w:t>
      </w:r>
      <w:r w:rsidR="00E779D0" w:rsidRPr="00E93FBA">
        <w:rPr>
          <w:lang w:val="sk-SK"/>
        </w:rPr>
        <w:t xml:space="preserve">ostatným osobám vykonávajúcim konverziu </w:t>
      </w:r>
      <w:r w:rsidR="00FD1BF4" w:rsidRPr="00E93FBA">
        <w:rPr>
          <w:lang w:val="sk-SK"/>
        </w:rPr>
        <w:t>naďalej zostáva zachovaný možný odplatný výkon s</w:t>
      </w:r>
      <w:r w:rsidR="00C251CC" w:rsidRPr="00E93FBA">
        <w:rPr>
          <w:lang w:val="sk-SK"/>
        </w:rPr>
        <w:t> </w:t>
      </w:r>
      <w:r w:rsidR="00FD1BF4" w:rsidRPr="00E93FBA">
        <w:rPr>
          <w:lang w:val="sk-SK"/>
        </w:rPr>
        <w:t>tým, že sadzobník úhrad bude explicitne ustanovený ako predpis, regulujúci maximálnu sumu odplaty. Do akého právneho titulu sa následne odplata premietne bude vecou osoby vykonávajúcej konverziu.</w:t>
      </w:r>
    </w:p>
    <w:p w14:paraId="7CA0EAEC" w14:textId="6E5B42C9" w:rsidR="001A73CB" w:rsidRPr="00E93FBA" w:rsidRDefault="001A73CB" w:rsidP="003D7F6E">
      <w:pPr>
        <w:jc w:val="both"/>
        <w:rPr>
          <w:lang w:val="sk-SK"/>
        </w:rPr>
      </w:pPr>
    </w:p>
    <w:p w14:paraId="4179A2D6" w14:textId="0918FD56" w:rsidR="00AE0857" w:rsidRPr="00E93FBA" w:rsidRDefault="00AE0857" w:rsidP="00AE0857">
      <w:pPr>
        <w:jc w:val="both"/>
        <w:rPr>
          <w:lang w:val="sk-SK"/>
        </w:rPr>
      </w:pPr>
      <w:r w:rsidRPr="00E93FBA">
        <w:rPr>
          <w:lang w:val="sk-SK"/>
        </w:rPr>
        <w:t>K</w:t>
      </w:r>
      <w:r w:rsidR="00C251CC" w:rsidRPr="00E93FBA">
        <w:rPr>
          <w:lang w:val="sk-SK"/>
        </w:rPr>
        <w:t> </w:t>
      </w:r>
      <w:r w:rsidRPr="00E93FBA">
        <w:rPr>
          <w:lang w:val="sk-SK"/>
        </w:rPr>
        <w:t>bod</w:t>
      </w:r>
      <w:r w:rsidR="001128BF" w:rsidRPr="00E93FBA">
        <w:rPr>
          <w:lang w:val="sk-SK"/>
        </w:rPr>
        <w:t>om</w:t>
      </w:r>
      <w:r w:rsidRPr="00E93FBA">
        <w:rPr>
          <w:lang w:val="sk-SK"/>
        </w:rPr>
        <w:t xml:space="preserve"> </w:t>
      </w:r>
      <w:r w:rsidR="007C22BA" w:rsidRPr="00E93FBA">
        <w:rPr>
          <w:lang w:val="sk-SK"/>
        </w:rPr>
        <w:t>8</w:t>
      </w:r>
      <w:r w:rsidR="003849EA">
        <w:rPr>
          <w:lang w:val="sk-SK"/>
        </w:rPr>
        <w:t>3</w:t>
      </w:r>
      <w:r w:rsidR="00A70538" w:rsidRPr="00E93FBA">
        <w:rPr>
          <w:lang w:val="sk-SK"/>
        </w:rPr>
        <w:t xml:space="preserve"> </w:t>
      </w:r>
      <w:r w:rsidR="001128BF" w:rsidRPr="00E93FBA">
        <w:rPr>
          <w:lang w:val="sk-SK"/>
        </w:rPr>
        <w:t>až</w:t>
      </w:r>
      <w:r w:rsidR="001815FF" w:rsidRPr="00E93FBA">
        <w:rPr>
          <w:lang w:val="sk-SK"/>
        </w:rPr>
        <w:t xml:space="preserve"> </w:t>
      </w:r>
      <w:r w:rsidR="000A009C" w:rsidRPr="00E93FBA">
        <w:rPr>
          <w:lang w:val="sk-SK"/>
        </w:rPr>
        <w:t>9</w:t>
      </w:r>
      <w:r w:rsidR="003849EA">
        <w:rPr>
          <w:lang w:val="sk-SK"/>
        </w:rPr>
        <w:t>1</w:t>
      </w:r>
      <w:r w:rsidR="001128BF" w:rsidRPr="00E93FBA">
        <w:rPr>
          <w:lang w:val="sk-SK"/>
        </w:rPr>
        <w:t xml:space="preserve"> [</w:t>
      </w:r>
      <w:r w:rsidRPr="00E93FBA">
        <w:rPr>
          <w:lang w:val="sk-SK"/>
        </w:rPr>
        <w:t xml:space="preserve">§ </w:t>
      </w:r>
      <w:r w:rsidR="001128BF" w:rsidRPr="00E93FBA">
        <w:rPr>
          <w:lang w:val="sk-SK"/>
        </w:rPr>
        <w:t>4</w:t>
      </w:r>
      <w:r w:rsidR="00A70538" w:rsidRPr="00E93FBA">
        <w:rPr>
          <w:lang w:val="sk-SK"/>
        </w:rPr>
        <w:t xml:space="preserve">0 až 44 </w:t>
      </w:r>
      <w:r w:rsidR="001128BF" w:rsidRPr="00E93FBA">
        <w:rPr>
          <w:lang w:val="sk-SK"/>
        </w:rPr>
        <w:t xml:space="preserve">a § 56 ods. 1 písm. </w:t>
      </w:r>
      <w:r w:rsidR="00E95271" w:rsidRPr="00E93FBA">
        <w:rPr>
          <w:lang w:val="sk-SK"/>
        </w:rPr>
        <w:t>b</w:t>
      </w:r>
      <w:r w:rsidR="001128BF" w:rsidRPr="00E93FBA">
        <w:rPr>
          <w:lang w:val="sk-SK"/>
        </w:rPr>
        <w:t>)]</w:t>
      </w:r>
      <w:r w:rsidRPr="00E93FBA">
        <w:rPr>
          <w:lang w:val="sk-SK"/>
        </w:rPr>
        <w:t>:</w:t>
      </w:r>
    </w:p>
    <w:p w14:paraId="7268BF82" w14:textId="3C622AA9" w:rsidR="00AE0857" w:rsidRPr="00E93FBA" w:rsidRDefault="00AE0857" w:rsidP="00AE0857">
      <w:pPr>
        <w:jc w:val="both"/>
        <w:rPr>
          <w:lang w:val="sk-SK"/>
        </w:rPr>
      </w:pPr>
      <w:r w:rsidRPr="00E93FBA">
        <w:rPr>
          <w:lang w:val="sk-SK"/>
        </w:rPr>
        <w:t xml:space="preserve">Legislatívno-technická úprava </w:t>
      </w:r>
      <w:r w:rsidR="001128BF" w:rsidRPr="00E93FBA">
        <w:rPr>
          <w:lang w:val="sk-SK"/>
        </w:rPr>
        <w:t xml:space="preserve">súvisiaca </w:t>
      </w:r>
      <w:r w:rsidR="00FC41C9" w:rsidRPr="00E93FBA">
        <w:rPr>
          <w:lang w:val="sk-SK"/>
        </w:rPr>
        <w:t>s vypustením inštitútu IOM</w:t>
      </w:r>
      <w:r w:rsidRPr="00E93FBA">
        <w:rPr>
          <w:lang w:val="sk-SK"/>
        </w:rPr>
        <w:t>.</w:t>
      </w:r>
    </w:p>
    <w:p w14:paraId="083DFBDC" w14:textId="77777777" w:rsidR="00AE0857" w:rsidRPr="00E93FBA" w:rsidRDefault="00AE0857" w:rsidP="003D7F6E">
      <w:pPr>
        <w:jc w:val="both"/>
        <w:rPr>
          <w:lang w:val="sk-SK"/>
        </w:rPr>
      </w:pPr>
    </w:p>
    <w:p w14:paraId="09F8344D" w14:textId="1B41DA75" w:rsidR="0061256F" w:rsidRPr="00E93FBA" w:rsidRDefault="00591220" w:rsidP="003D7F6E">
      <w:pPr>
        <w:jc w:val="both"/>
        <w:rPr>
          <w:lang w:val="sk-SK"/>
        </w:rPr>
      </w:pPr>
      <w:r w:rsidRPr="00E93FBA">
        <w:rPr>
          <w:lang w:val="sk-SK"/>
        </w:rPr>
        <w:t>K</w:t>
      </w:r>
      <w:r w:rsidR="00C251CC" w:rsidRPr="00E93FBA">
        <w:rPr>
          <w:lang w:val="sk-SK"/>
        </w:rPr>
        <w:t> </w:t>
      </w:r>
      <w:r w:rsidRPr="00E93FBA">
        <w:rPr>
          <w:lang w:val="sk-SK"/>
        </w:rPr>
        <w:t xml:space="preserve">bodu </w:t>
      </w:r>
      <w:r w:rsidR="000A009C" w:rsidRPr="00E93FBA">
        <w:rPr>
          <w:lang w:val="sk-SK"/>
        </w:rPr>
        <w:t>9</w:t>
      </w:r>
      <w:r w:rsidR="003849EA">
        <w:rPr>
          <w:lang w:val="sk-SK"/>
        </w:rPr>
        <w:t>2</w:t>
      </w:r>
      <w:r w:rsidR="001815FF" w:rsidRPr="00E93FBA">
        <w:rPr>
          <w:lang w:val="sk-SK"/>
        </w:rPr>
        <w:t xml:space="preserve"> </w:t>
      </w:r>
      <w:r w:rsidR="00E95271" w:rsidRPr="00E93FBA">
        <w:rPr>
          <w:lang w:val="sk-SK"/>
        </w:rPr>
        <w:t>[</w:t>
      </w:r>
      <w:r w:rsidR="0061256F" w:rsidRPr="00E93FBA">
        <w:rPr>
          <w:lang w:val="sk-SK"/>
        </w:rPr>
        <w:t xml:space="preserve">§ 56 ods. 1 písm. </w:t>
      </w:r>
      <w:r w:rsidR="002B07A7" w:rsidRPr="00E93FBA">
        <w:rPr>
          <w:lang w:val="sk-SK"/>
        </w:rPr>
        <w:t>e</w:t>
      </w:r>
      <w:r w:rsidR="0061256F" w:rsidRPr="00E93FBA">
        <w:rPr>
          <w:lang w:val="sk-SK"/>
        </w:rPr>
        <w:t>)</w:t>
      </w:r>
      <w:r w:rsidR="00E95271" w:rsidRPr="00E93FBA">
        <w:rPr>
          <w:lang w:val="sk-SK"/>
        </w:rPr>
        <w:t>]</w:t>
      </w:r>
      <w:r w:rsidR="0061256F" w:rsidRPr="00E93FBA">
        <w:rPr>
          <w:lang w:val="sk-SK"/>
        </w:rPr>
        <w:t>:</w:t>
      </w:r>
    </w:p>
    <w:p w14:paraId="4C39E39B" w14:textId="3A69443A" w:rsidR="0061256F" w:rsidRPr="00E93FBA" w:rsidRDefault="00E95271" w:rsidP="003D7F6E">
      <w:pPr>
        <w:jc w:val="both"/>
        <w:rPr>
          <w:lang w:val="sk-SK"/>
        </w:rPr>
      </w:pPr>
      <w:r w:rsidRPr="00E93FBA">
        <w:rPr>
          <w:lang w:val="sk-SK"/>
        </w:rPr>
        <w:t xml:space="preserve">Legislatívno-technická úprava </w:t>
      </w:r>
      <w:r w:rsidR="0061256F" w:rsidRPr="00E93FBA">
        <w:rPr>
          <w:lang w:val="sk-SK"/>
        </w:rPr>
        <w:t>súvisiaca s</w:t>
      </w:r>
      <w:r w:rsidR="00C251CC" w:rsidRPr="00E93FBA">
        <w:rPr>
          <w:lang w:val="sk-SK"/>
        </w:rPr>
        <w:t> </w:t>
      </w:r>
      <w:r w:rsidR="0061256F" w:rsidRPr="00E93FBA">
        <w:rPr>
          <w:lang w:val="sk-SK"/>
        </w:rPr>
        <w:t>presunom agendy vládneho cloudu do zákona č. 95/2019 Z. z. o</w:t>
      </w:r>
      <w:r w:rsidR="00C251CC" w:rsidRPr="00E93FBA">
        <w:rPr>
          <w:lang w:val="sk-SK"/>
        </w:rPr>
        <w:t> </w:t>
      </w:r>
      <w:r w:rsidR="0061256F" w:rsidRPr="00E93FBA">
        <w:rPr>
          <w:lang w:val="sk-SK"/>
        </w:rPr>
        <w:t xml:space="preserve">informačných technológiách verejnej správy </w:t>
      </w:r>
      <w:r w:rsidR="009A3A59" w:rsidRPr="00E93FBA">
        <w:rPr>
          <w:lang w:val="sk-SK"/>
        </w:rPr>
        <w:t xml:space="preserve">a o zmene a doplnení niektorých zákonov </w:t>
      </w:r>
      <w:r w:rsidR="0061256F" w:rsidRPr="00E93FBA">
        <w:rPr>
          <w:lang w:val="sk-SK"/>
        </w:rPr>
        <w:t>v</w:t>
      </w:r>
      <w:r w:rsidR="00C251CC" w:rsidRPr="00E93FBA">
        <w:rPr>
          <w:lang w:val="sk-SK"/>
        </w:rPr>
        <w:t> </w:t>
      </w:r>
      <w:r w:rsidR="0061256F" w:rsidRPr="00E93FBA">
        <w:rPr>
          <w:lang w:val="sk-SK"/>
        </w:rPr>
        <w:t>znení neskorších predpisov.</w:t>
      </w:r>
    </w:p>
    <w:p w14:paraId="5337ED4D" w14:textId="2B967B66" w:rsidR="0061256F" w:rsidRPr="00E93FBA" w:rsidRDefault="0061256F" w:rsidP="003D7F6E">
      <w:pPr>
        <w:jc w:val="both"/>
        <w:rPr>
          <w:lang w:val="sk-SK"/>
        </w:rPr>
      </w:pPr>
    </w:p>
    <w:p w14:paraId="4708B053" w14:textId="1D621EAD" w:rsidR="0061256F" w:rsidRPr="00E93FBA" w:rsidRDefault="0061256F" w:rsidP="003D7F6E">
      <w:pPr>
        <w:jc w:val="both"/>
        <w:rPr>
          <w:lang w:val="sk-SK"/>
        </w:rPr>
      </w:pPr>
      <w:r w:rsidRPr="00E93FBA">
        <w:rPr>
          <w:lang w:val="sk-SK"/>
        </w:rPr>
        <w:t>K</w:t>
      </w:r>
      <w:r w:rsidR="00C251CC" w:rsidRPr="00E93FBA">
        <w:rPr>
          <w:lang w:val="sk-SK"/>
        </w:rPr>
        <w:t> </w:t>
      </w:r>
      <w:r w:rsidRPr="00E93FBA">
        <w:rPr>
          <w:lang w:val="sk-SK"/>
        </w:rPr>
        <w:t xml:space="preserve">bodu </w:t>
      </w:r>
      <w:r w:rsidR="000A009C" w:rsidRPr="00E93FBA">
        <w:rPr>
          <w:lang w:val="sk-SK"/>
        </w:rPr>
        <w:t>9</w:t>
      </w:r>
      <w:r w:rsidR="003849EA">
        <w:rPr>
          <w:lang w:val="sk-SK"/>
        </w:rPr>
        <w:t>3</w:t>
      </w:r>
      <w:r w:rsidR="001815FF" w:rsidRPr="00E93FBA">
        <w:rPr>
          <w:lang w:val="sk-SK"/>
        </w:rPr>
        <w:t xml:space="preserve"> </w:t>
      </w:r>
      <w:r w:rsidR="006A602A" w:rsidRPr="00E93FBA">
        <w:rPr>
          <w:lang w:val="sk-SK"/>
        </w:rPr>
        <w:t>[</w:t>
      </w:r>
      <w:r w:rsidRPr="00E93FBA">
        <w:rPr>
          <w:lang w:val="sk-SK"/>
        </w:rPr>
        <w:t xml:space="preserve">§ 56 ods. 1 písm. </w:t>
      </w:r>
      <w:r w:rsidR="00250BF3" w:rsidRPr="00E93FBA">
        <w:rPr>
          <w:lang w:val="sk-SK"/>
        </w:rPr>
        <w:t>f</w:t>
      </w:r>
      <w:r w:rsidR="006A602A" w:rsidRPr="00E93FBA">
        <w:rPr>
          <w:lang w:val="sk-SK"/>
        </w:rPr>
        <w:t xml:space="preserve">)]: </w:t>
      </w:r>
    </w:p>
    <w:p w14:paraId="2D815B1A" w14:textId="574D384B" w:rsidR="0061256F" w:rsidRPr="00E93FBA" w:rsidRDefault="006A602A" w:rsidP="00AF500C">
      <w:pPr>
        <w:jc w:val="both"/>
        <w:rPr>
          <w:lang w:val="sk-SK"/>
        </w:rPr>
      </w:pPr>
      <w:r w:rsidRPr="00E93FBA">
        <w:rPr>
          <w:lang w:val="sk-SK"/>
        </w:rPr>
        <w:t>Navrhuje sa doplniť sankcia pre osobu vykonávajúcu konverziu</w:t>
      </w:r>
      <w:r w:rsidR="00F63EAE" w:rsidRPr="00E93FBA">
        <w:rPr>
          <w:lang w:val="sk-SK"/>
        </w:rPr>
        <w:t xml:space="preserve"> za porušenie ustanov</w:t>
      </w:r>
      <w:r w:rsidR="00A46A4D" w:rsidRPr="00E93FBA">
        <w:rPr>
          <w:lang w:val="sk-SK"/>
        </w:rPr>
        <w:t>en</w:t>
      </w:r>
      <w:r w:rsidR="00F63EAE" w:rsidRPr="00E93FBA">
        <w:rPr>
          <w:lang w:val="sk-SK"/>
        </w:rPr>
        <w:t xml:space="preserve">í zákona </w:t>
      </w:r>
      <w:r w:rsidR="009A3A59" w:rsidRPr="00E93FBA">
        <w:rPr>
          <w:lang w:val="sk-SK"/>
        </w:rPr>
        <w:t xml:space="preserve">o e-Governmente </w:t>
      </w:r>
      <w:r w:rsidR="00F63EAE" w:rsidRPr="00E93FBA">
        <w:rPr>
          <w:lang w:val="sk-SK"/>
        </w:rPr>
        <w:t>pri výkone zaručenej konverzie. Dôvodom je, že táto sankcia v</w:t>
      </w:r>
      <w:r w:rsidR="00C251CC" w:rsidRPr="00E93FBA">
        <w:rPr>
          <w:lang w:val="sk-SK"/>
        </w:rPr>
        <w:t> </w:t>
      </w:r>
      <w:r w:rsidR="00CC46F7" w:rsidRPr="00E93FBA">
        <w:rPr>
          <w:lang w:val="sk-SK"/>
        </w:rPr>
        <w:t xml:space="preserve"> právnej úprave absentuje a</w:t>
      </w:r>
      <w:r w:rsidR="00C251CC" w:rsidRPr="00E93FBA">
        <w:rPr>
          <w:lang w:val="sk-SK"/>
        </w:rPr>
        <w:t> </w:t>
      </w:r>
      <w:r w:rsidR="00CC46F7" w:rsidRPr="00E93FBA">
        <w:rPr>
          <w:lang w:val="sk-SK"/>
        </w:rPr>
        <w:t xml:space="preserve">dodržiavanie povinností pri výkone zaručenej konverzie je, </w:t>
      </w:r>
      <w:r w:rsidR="003C4A2F" w:rsidRPr="00E93FBA">
        <w:rPr>
          <w:lang w:val="sk-SK"/>
        </w:rPr>
        <w:t>vzhľadom</w:t>
      </w:r>
      <w:r w:rsidR="00CC46F7" w:rsidRPr="00E93FBA">
        <w:rPr>
          <w:lang w:val="sk-SK"/>
        </w:rPr>
        <w:t xml:space="preserve"> na závažnosť</w:t>
      </w:r>
      <w:r w:rsidR="003C4A2F" w:rsidRPr="00E93FBA">
        <w:rPr>
          <w:lang w:val="sk-SK"/>
        </w:rPr>
        <w:t xml:space="preserve"> následkov pri ich porušení, potrebné zabezpečiť aj týmto spôsobom</w:t>
      </w:r>
      <w:r w:rsidR="0061256F" w:rsidRPr="00E93FBA">
        <w:rPr>
          <w:lang w:val="sk-SK"/>
        </w:rPr>
        <w:t>.</w:t>
      </w:r>
    </w:p>
    <w:p w14:paraId="6D8C7280" w14:textId="2597AF50" w:rsidR="0061256F" w:rsidRPr="00E93FBA" w:rsidRDefault="0061256F" w:rsidP="003D7F6E">
      <w:pPr>
        <w:jc w:val="both"/>
        <w:rPr>
          <w:lang w:val="sk-SK"/>
        </w:rPr>
      </w:pPr>
    </w:p>
    <w:p w14:paraId="63756390" w14:textId="1A24B7E7" w:rsidR="00087B23" w:rsidRPr="00E93FBA" w:rsidRDefault="00087B23" w:rsidP="003D7F6E">
      <w:pPr>
        <w:jc w:val="both"/>
        <w:rPr>
          <w:lang w:val="sk-SK"/>
        </w:rPr>
      </w:pPr>
      <w:r w:rsidRPr="00E93FBA">
        <w:rPr>
          <w:lang w:val="sk-SK"/>
        </w:rPr>
        <w:t>K</w:t>
      </w:r>
      <w:r w:rsidR="00C251CC" w:rsidRPr="00E93FBA">
        <w:rPr>
          <w:lang w:val="sk-SK"/>
        </w:rPr>
        <w:t> </w:t>
      </w:r>
      <w:r w:rsidRPr="00E93FBA">
        <w:rPr>
          <w:lang w:val="sk-SK"/>
        </w:rPr>
        <w:t xml:space="preserve">bodu </w:t>
      </w:r>
      <w:r w:rsidR="000A009C" w:rsidRPr="00E93FBA">
        <w:rPr>
          <w:lang w:val="sk-SK"/>
        </w:rPr>
        <w:t>9</w:t>
      </w:r>
      <w:r w:rsidR="003849EA">
        <w:rPr>
          <w:lang w:val="sk-SK"/>
        </w:rPr>
        <w:t>4</w:t>
      </w:r>
      <w:r w:rsidR="000A009C" w:rsidRPr="00E93FBA">
        <w:rPr>
          <w:lang w:val="sk-SK"/>
        </w:rPr>
        <w:t xml:space="preserve"> </w:t>
      </w:r>
      <w:r w:rsidR="003C1BAC" w:rsidRPr="00E93FBA">
        <w:rPr>
          <w:lang w:val="sk-SK"/>
        </w:rPr>
        <w:t xml:space="preserve">[§ 56 ods. 1 písm. </w:t>
      </w:r>
      <w:r w:rsidR="006C064B" w:rsidRPr="00E93FBA">
        <w:rPr>
          <w:lang w:val="sk-SK"/>
        </w:rPr>
        <w:t>g</w:t>
      </w:r>
      <w:r w:rsidR="003C1BAC" w:rsidRPr="00E93FBA">
        <w:rPr>
          <w:lang w:val="sk-SK"/>
        </w:rPr>
        <w:t>)]:</w:t>
      </w:r>
    </w:p>
    <w:p w14:paraId="200BB5D1" w14:textId="49A724BF" w:rsidR="003C1BAC" w:rsidRPr="00E93FBA" w:rsidRDefault="006632E9" w:rsidP="003D7F6E">
      <w:pPr>
        <w:jc w:val="both"/>
        <w:rPr>
          <w:lang w:val="sk-SK"/>
        </w:rPr>
      </w:pPr>
      <w:r w:rsidRPr="00E93FBA">
        <w:rPr>
          <w:lang w:val="sk-SK"/>
        </w:rPr>
        <w:t>Vzhľadom na potrebu aj sankčne zabezpečiť dodržiavanie povinností podľa</w:t>
      </w:r>
      <w:r w:rsidR="009A3A59" w:rsidRPr="00E93FBA">
        <w:rPr>
          <w:lang w:val="sk-SK"/>
        </w:rPr>
        <w:t xml:space="preserve"> </w:t>
      </w:r>
      <w:r w:rsidRPr="00E93FBA">
        <w:rPr>
          <w:lang w:val="sk-SK"/>
        </w:rPr>
        <w:t>zákona</w:t>
      </w:r>
      <w:r w:rsidR="009A3A59" w:rsidRPr="00E93FBA">
        <w:rPr>
          <w:lang w:val="sk-SK"/>
        </w:rPr>
        <w:t xml:space="preserve"> o e-Governmente</w:t>
      </w:r>
      <w:r w:rsidRPr="00E93FBA">
        <w:rPr>
          <w:lang w:val="sk-SK"/>
        </w:rPr>
        <w:t xml:space="preserve"> sa navrhuje pri tzv. všeobecnej skutkovej podstate vypustiť podmienku </w:t>
      </w:r>
      <w:r w:rsidR="00E501EF" w:rsidRPr="00E93FBA">
        <w:rPr>
          <w:lang w:val="sk-SK"/>
        </w:rPr>
        <w:t>závažnosti spôsobu porušenia povinnosti.</w:t>
      </w:r>
    </w:p>
    <w:p w14:paraId="5C1D29EA" w14:textId="77777777" w:rsidR="003C1BAC" w:rsidRPr="00E93FBA" w:rsidRDefault="003C1BAC" w:rsidP="003D7F6E">
      <w:pPr>
        <w:jc w:val="both"/>
        <w:rPr>
          <w:lang w:val="sk-SK"/>
        </w:rPr>
      </w:pPr>
    </w:p>
    <w:p w14:paraId="4DB31D8D" w14:textId="68209D89" w:rsidR="008B02D8" w:rsidRPr="00E93FBA" w:rsidRDefault="008B02D8" w:rsidP="008B02D8">
      <w:pPr>
        <w:jc w:val="both"/>
        <w:rPr>
          <w:lang w:val="sk-SK"/>
        </w:rPr>
      </w:pPr>
      <w:r w:rsidRPr="00E93FBA">
        <w:rPr>
          <w:lang w:val="sk-SK"/>
        </w:rPr>
        <w:t>K</w:t>
      </w:r>
      <w:r w:rsidR="00C251CC" w:rsidRPr="00E93FBA">
        <w:rPr>
          <w:lang w:val="sk-SK"/>
        </w:rPr>
        <w:t> </w:t>
      </w:r>
      <w:r w:rsidRPr="00E93FBA">
        <w:rPr>
          <w:lang w:val="sk-SK"/>
        </w:rPr>
        <w:t>bod</w:t>
      </w:r>
      <w:r w:rsidR="00986396" w:rsidRPr="00E93FBA">
        <w:rPr>
          <w:lang w:val="sk-SK"/>
        </w:rPr>
        <w:t>om</w:t>
      </w:r>
      <w:r w:rsidRPr="00E93FBA">
        <w:rPr>
          <w:lang w:val="sk-SK"/>
        </w:rPr>
        <w:t xml:space="preserve"> </w:t>
      </w:r>
      <w:r w:rsidR="000A009C" w:rsidRPr="00E93FBA">
        <w:rPr>
          <w:lang w:val="sk-SK"/>
        </w:rPr>
        <w:t>9</w:t>
      </w:r>
      <w:r w:rsidR="003849EA">
        <w:rPr>
          <w:lang w:val="sk-SK"/>
        </w:rPr>
        <w:t>5</w:t>
      </w:r>
      <w:r w:rsidR="005430FC" w:rsidRPr="00E93FBA">
        <w:rPr>
          <w:lang w:val="sk-SK"/>
        </w:rPr>
        <w:t xml:space="preserve"> </w:t>
      </w:r>
      <w:r w:rsidR="00986396" w:rsidRPr="00E93FBA">
        <w:rPr>
          <w:lang w:val="sk-SK"/>
        </w:rPr>
        <w:t>a </w:t>
      </w:r>
      <w:r w:rsidR="000A009C" w:rsidRPr="00E93FBA">
        <w:rPr>
          <w:lang w:val="sk-SK"/>
        </w:rPr>
        <w:t>9</w:t>
      </w:r>
      <w:r w:rsidR="003849EA">
        <w:rPr>
          <w:lang w:val="sk-SK"/>
        </w:rPr>
        <w:t>6</w:t>
      </w:r>
      <w:r w:rsidR="00986396" w:rsidRPr="00E93FBA">
        <w:rPr>
          <w:lang w:val="sk-SK"/>
        </w:rPr>
        <w:t xml:space="preserve"> </w:t>
      </w:r>
      <w:r w:rsidRPr="00E93FBA">
        <w:rPr>
          <w:lang w:val="sk-SK"/>
        </w:rPr>
        <w:t xml:space="preserve">[§ </w:t>
      </w:r>
      <w:r w:rsidR="00AD0993" w:rsidRPr="00E93FBA">
        <w:rPr>
          <w:lang w:val="sk-SK"/>
        </w:rPr>
        <w:t>59</w:t>
      </w:r>
      <w:r w:rsidRPr="00E93FBA">
        <w:rPr>
          <w:lang w:val="sk-SK"/>
        </w:rPr>
        <w:t xml:space="preserve"> ods. 1 písm.</w:t>
      </w:r>
      <w:r w:rsidR="00AD0993" w:rsidRPr="00E93FBA">
        <w:rPr>
          <w:lang w:val="sk-SK"/>
        </w:rPr>
        <w:t xml:space="preserve"> a</w:t>
      </w:r>
      <w:r w:rsidRPr="00E93FBA">
        <w:rPr>
          <w:lang w:val="sk-SK"/>
        </w:rPr>
        <w:t>)</w:t>
      </w:r>
      <w:r w:rsidR="00210406" w:rsidRPr="00E93FBA">
        <w:rPr>
          <w:lang w:val="sk-SK"/>
        </w:rPr>
        <w:t>, e) a f)</w:t>
      </w:r>
      <w:r w:rsidRPr="00E93FBA">
        <w:rPr>
          <w:lang w:val="sk-SK"/>
        </w:rPr>
        <w:t>]:</w:t>
      </w:r>
    </w:p>
    <w:p w14:paraId="6B818EA0" w14:textId="3D139A72" w:rsidR="008B02D8" w:rsidRPr="00E93FBA" w:rsidRDefault="008B02D8" w:rsidP="008B02D8">
      <w:pPr>
        <w:jc w:val="both"/>
        <w:rPr>
          <w:lang w:val="sk-SK"/>
        </w:rPr>
      </w:pPr>
      <w:r w:rsidRPr="00E93FBA">
        <w:rPr>
          <w:lang w:val="sk-SK"/>
        </w:rPr>
        <w:t xml:space="preserve">Legislatívno-technická úprava súvisiaca </w:t>
      </w:r>
      <w:r w:rsidR="006232F0" w:rsidRPr="00E93FBA">
        <w:rPr>
          <w:lang w:val="sk-SK"/>
        </w:rPr>
        <w:t>s vypustením inštitútu IOM</w:t>
      </w:r>
      <w:r w:rsidR="000A5BC0">
        <w:rPr>
          <w:lang w:val="sk-SK"/>
        </w:rPr>
        <w:t xml:space="preserve"> a úpravou náležitostí elektronickej doručenky</w:t>
      </w:r>
      <w:r w:rsidRPr="00E93FBA">
        <w:rPr>
          <w:lang w:val="sk-SK"/>
        </w:rPr>
        <w:t>.</w:t>
      </w:r>
    </w:p>
    <w:p w14:paraId="07F51166" w14:textId="77777777" w:rsidR="008B02D8" w:rsidRPr="00E93FBA" w:rsidRDefault="008B02D8" w:rsidP="003D7F6E">
      <w:pPr>
        <w:jc w:val="both"/>
        <w:rPr>
          <w:lang w:val="sk-SK"/>
        </w:rPr>
      </w:pPr>
    </w:p>
    <w:p w14:paraId="4F41F74F" w14:textId="646DC5FD" w:rsidR="00607B97" w:rsidRPr="00E93FBA" w:rsidRDefault="00607B97" w:rsidP="00607B97">
      <w:pPr>
        <w:jc w:val="both"/>
        <w:rPr>
          <w:lang w:val="sk-SK"/>
        </w:rPr>
      </w:pPr>
      <w:r w:rsidRPr="00E93FBA">
        <w:rPr>
          <w:lang w:val="sk-SK"/>
        </w:rPr>
        <w:t>K</w:t>
      </w:r>
      <w:r w:rsidR="00C251CC" w:rsidRPr="00E93FBA">
        <w:rPr>
          <w:lang w:val="sk-SK"/>
        </w:rPr>
        <w:t> </w:t>
      </w:r>
      <w:r w:rsidRPr="00E93FBA">
        <w:rPr>
          <w:lang w:val="sk-SK"/>
        </w:rPr>
        <w:t xml:space="preserve">bodu </w:t>
      </w:r>
      <w:r w:rsidR="000A009C" w:rsidRPr="00E93FBA">
        <w:rPr>
          <w:lang w:val="sk-SK"/>
        </w:rPr>
        <w:t>9</w:t>
      </w:r>
      <w:r w:rsidR="000A5BC0">
        <w:rPr>
          <w:lang w:val="sk-SK"/>
        </w:rPr>
        <w:t>7</w:t>
      </w:r>
      <w:r w:rsidR="005430FC" w:rsidRPr="00E93FBA">
        <w:rPr>
          <w:lang w:val="sk-SK"/>
        </w:rPr>
        <w:t xml:space="preserve"> </w:t>
      </w:r>
      <w:r w:rsidRPr="00E93FBA">
        <w:rPr>
          <w:lang w:val="sk-SK"/>
        </w:rPr>
        <w:t xml:space="preserve">[§ 59 ods. 1 písm. </w:t>
      </w:r>
      <w:r w:rsidR="008B224A" w:rsidRPr="00E93FBA">
        <w:rPr>
          <w:lang w:val="sk-SK"/>
        </w:rPr>
        <w:t>g</w:t>
      </w:r>
      <w:r w:rsidRPr="00E93FBA">
        <w:rPr>
          <w:lang w:val="sk-SK"/>
        </w:rPr>
        <w:t>)]:</w:t>
      </w:r>
    </w:p>
    <w:p w14:paraId="30B96D90" w14:textId="62515738" w:rsidR="00607B97" w:rsidRPr="00E93FBA" w:rsidRDefault="00607B97" w:rsidP="00607B97">
      <w:pPr>
        <w:jc w:val="both"/>
        <w:rPr>
          <w:lang w:val="sk-SK"/>
        </w:rPr>
      </w:pPr>
      <w:r w:rsidRPr="00E93FBA">
        <w:rPr>
          <w:lang w:val="sk-SK"/>
        </w:rPr>
        <w:t>Legislatívno-technická úprava súvisiaca so zmenami v</w:t>
      </w:r>
      <w:r w:rsidR="00C251CC" w:rsidRPr="00E93FBA">
        <w:rPr>
          <w:lang w:val="sk-SK"/>
        </w:rPr>
        <w:t> </w:t>
      </w:r>
      <w:r w:rsidRPr="00E93FBA">
        <w:rPr>
          <w:lang w:val="sk-SK"/>
        </w:rPr>
        <w:t xml:space="preserve">regulácii </w:t>
      </w:r>
      <w:r w:rsidR="000A5BC0">
        <w:rPr>
          <w:lang w:val="sk-SK"/>
        </w:rPr>
        <w:t>autentifikátorov</w:t>
      </w:r>
      <w:r w:rsidRPr="00E93FBA">
        <w:rPr>
          <w:lang w:val="sk-SK"/>
        </w:rPr>
        <w:t>.</w:t>
      </w:r>
    </w:p>
    <w:p w14:paraId="3FB2B024" w14:textId="77777777" w:rsidR="00A46A4D" w:rsidRPr="00E93FBA" w:rsidRDefault="00A46A4D" w:rsidP="00607B97">
      <w:pPr>
        <w:jc w:val="both"/>
        <w:rPr>
          <w:lang w:val="sk-SK"/>
        </w:rPr>
      </w:pPr>
    </w:p>
    <w:p w14:paraId="3E11F87A" w14:textId="708F829F" w:rsidR="00214706" w:rsidRPr="00E93FBA" w:rsidRDefault="00214706" w:rsidP="00214706">
      <w:pPr>
        <w:jc w:val="both"/>
        <w:rPr>
          <w:lang w:val="sk-SK"/>
        </w:rPr>
      </w:pPr>
      <w:r w:rsidRPr="00E93FBA">
        <w:rPr>
          <w:lang w:val="sk-SK"/>
        </w:rPr>
        <w:t>K</w:t>
      </w:r>
      <w:r w:rsidR="00C251CC" w:rsidRPr="00E93FBA">
        <w:rPr>
          <w:lang w:val="sk-SK"/>
        </w:rPr>
        <w:t> </w:t>
      </w:r>
      <w:r w:rsidRPr="00E93FBA">
        <w:rPr>
          <w:lang w:val="sk-SK"/>
        </w:rPr>
        <w:t xml:space="preserve">bodu </w:t>
      </w:r>
      <w:r w:rsidR="006D0937">
        <w:rPr>
          <w:lang w:val="sk-SK"/>
        </w:rPr>
        <w:t>9</w:t>
      </w:r>
      <w:r w:rsidR="00A628DE">
        <w:rPr>
          <w:lang w:val="sk-SK"/>
        </w:rPr>
        <w:t>8</w:t>
      </w:r>
      <w:r w:rsidR="006D0937" w:rsidRPr="00E93FBA">
        <w:rPr>
          <w:lang w:val="sk-SK"/>
        </w:rPr>
        <w:t xml:space="preserve"> </w:t>
      </w:r>
      <w:r w:rsidRPr="00E93FBA">
        <w:rPr>
          <w:lang w:val="sk-SK"/>
        </w:rPr>
        <w:t xml:space="preserve">[§ 59 ods. 1 písm. </w:t>
      </w:r>
      <w:r w:rsidR="00A628DE">
        <w:rPr>
          <w:lang w:val="sk-SK"/>
        </w:rPr>
        <w:t>h</w:t>
      </w:r>
      <w:r w:rsidRPr="00E93FBA">
        <w:rPr>
          <w:lang w:val="sk-SK"/>
        </w:rPr>
        <w:t>)]:</w:t>
      </w:r>
    </w:p>
    <w:p w14:paraId="5276360A" w14:textId="46CE6A5F" w:rsidR="00214706" w:rsidRPr="00E93FBA" w:rsidRDefault="00214706" w:rsidP="00214706">
      <w:pPr>
        <w:jc w:val="both"/>
        <w:rPr>
          <w:lang w:val="sk-SK"/>
        </w:rPr>
      </w:pPr>
      <w:r w:rsidRPr="00E93FBA">
        <w:rPr>
          <w:lang w:val="sk-SK"/>
        </w:rPr>
        <w:t>Legislatívno-technická úprava súvisiaca so zmenami v</w:t>
      </w:r>
      <w:r w:rsidR="00C251CC" w:rsidRPr="00E93FBA">
        <w:rPr>
          <w:lang w:val="sk-SK"/>
        </w:rPr>
        <w:t> </w:t>
      </w:r>
      <w:r w:rsidRPr="00E93FBA">
        <w:rPr>
          <w:lang w:val="sk-SK"/>
        </w:rPr>
        <w:t>regulácii zaručenej konverzie.</w:t>
      </w:r>
    </w:p>
    <w:p w14:paraId="7CEC8543" w14:textId="77777777" w:rsidR="00214706" w:rsidRPr="00E93FBA" w:rsidRDefault="00214706" w:rsidP="003D7F6E">
      <w:pPr>
        <w:jc w:val="both"/>
        <w:rPr>
          <w:lang w:val="sk-SK"/>
        </w:rPr>
      </w:pPr>
    </w:p>
    <w:p w14:paraId="40232E3A" w14:textId="400D142B" w:rsidR="00C32219" w:rsidRPr="00E93FBA" w:rsidRDefault="00C32219" w:rsidP="00C32219">
      <w:pPr>
        <w:jc w:val="both"/>
        <w:rPr>
          <w:lang w:val="sk-SK"/>
        </w:rPr>
      </w:pPr>
      <w:r w:rsidRPr="00E93FBA">
        <w:rPr>
          <w:lang w:val="sk-SK"/>
        </w:rPr>
        <w:lastRenderedPageBreak/>
        <w:t>K</w:t>
      </w:r>
      <w:r w:rsidR="00C251CC" w:rsidRPr="00E93FBA">
        <w:rPr>
          <w:lang w:val="sk-SK"/>
        </w:rPr>
        <w:t> </w:t>
      </w:r>
      <w:r w:rsidRPr="00E93FBA">
        <w:rPr>
          <w:lang w:val="sk-SK"/>
        </w:rPr>
        <w:t xml:space="preserve">bodu </w:t>
      </w:r>
      <w:r w:rsidR="00A628DE">
        <w:rPr>
          <w:lang w:val="sk-SK"/>
        </w:rPr>
        <w:t>99</w:t>
      </w:r>
      <w:r w:rsidR="00992EF1" w:rsidRPr="00E93FBA">
        <w:rPr>
          <w:lang w:val="sk-SK"/>
        </w:rPr>
        <w:t xml:space="preserve"> </w:t>
      </w:r>
      <w:r w:rsidRPr="00E93FBA">
        <w:rPr>
          <w:lang w:val="sk-SK"/>
        </w:rPr>
        <w:t>(§ 59 ods</w:t>
      </w:r>
      <w:r w:rsidR="001815FF" w:rsidRPr="00E93FBA">
        <w:rPr>
          <w:lang w:val="sk-SK"/>
        </w:rPr>
        <w:t>ek</w:t>
      </w:r>
      <w:r w:rsidRPr="00E93FBA">
        <w:rPr>
          <w:lang w:val="sk-SK"/>
        </w:rPr>
        <w:t xml:space="preserve"> 2):</w:t>
      </w:r>
    </w:p>
    <w:p w14:paraId="20B1396B" w14:textId="415D7DB2" w:rsidR="00C32219" w:rsidRPr="00E93FBA" w:rsidRDefault="00C32219" w:rsidP="00C32219">
      <w:pPr>
        <w:jc w:val="both"/>
        <w:rPr>
          <w:lang w:val="sk-SK"/>
        </w:rPr>
      </w:pPr>
      <w:r w:rsidRPr="00E93FBA">
        <w:rPr>
          <w:lang w:val="sk-SK"/>
        </w:rPr>
        <w:t>Legislatívno-technická úprava súvisiaca so zmenami v</w:t>
      </w:r>
      <w:r w:rsidR="00C251CC" w:rsidRPr="00E93FBA">
        <w:rPr>
          <w:lang w:val="sk-SK"/>
        </w:rPr>
        <w:t> </w:t>
      </w:r>
      <w:r w:rsidRPr="00E93FBA">
        <w:rPr>
          <w:lang w:val="sk-SK"/>
        </w:rPr>
        <w:t>regulácii autentifikátorov.</w:t>
      </w:r>
    </w:p>
    <w:p w14:paraId="0C7AA8E3" w14:textId="5E81C724" w:rsidR="00DC2205" w:rsidRPr="00E93FBA" w:rsidRDefault="00DC2205" w:rsidP="003D7F6E">
      <w:pPr>
        <w:jc w:val="both"/>
        <w:rPr>
          <w:lang w:val="sk-SK"/>
        </w:rPr>
      </w:pPr>
    </w:p>
    <w:p w14:paraId="33C18D11" w14:textId="2BB31A65" w:rsidR="00DC2205" w:rsidRPr="00E93FBA" w:rsidRDefault="00DC2205" w:rsidP="003D7F6E">
      <w:pPr>
        <w:jc w:val="both"/>
        <w:rPr>
          <w:lang w:val="sk-SK"/>
        </w:rPr>
      </w:pPr>
      <w:r w:rsidRPr="00E93FBA">
        <w:rPr>
          <w:lang w:val="sk-SK"/>
        </w:rPr>
        <w:t xml:space="preserve">K bodu </w:t>
      </w:r>
      <w:r w:rsidR="004D25C4">
        <w:rPr>
          <w:lang w:val="sk-SK"/>
        </w:rPr>
        <w:t>10</w:t>
      </w:r>
      <w:r w:rsidR="00A628DE">
        <w:rPr>
          <w:lang w:val="sk-SK"/>
        </w:rPr>
        <w:t>0</w:t>
      </w:r>
      <w:r w:rsidRPr="00E93FBA">
        <w:rPr>
          <w:lang w:val="sk-SK"/>
        </w:rPr>
        <w:t xml:space="preserve"> (§ 60f ods. 5):</w:t>
      </w:r>
    </w:p>
    <w:p w14:paraId="05B14F02" w14:textId="31EF45E4" w:rsidR="00DC2205" w:rsidRPr="00E93FBA" w:rsidRDefault="00DC2205" w:rsidP="003D7F6E">
      <w:pPr>
        <w:jc w:val="both"/>
        <w:rPr>
          <w:lang w:val="sk-SK"/>
        </w:rPr>
      </w:pPr>
      <w:r w:rsidRPr="00E93FBA">
        <w:rPr>
          <w:lang w:val="sk-SK"/>
        </w:rPr>
        <w:t>Navrhuje sa predĺžiť oprávnenie Sociálnej poisťovne, vytvárať a aktualizovať elektronický formulár elektronického podania a elektronického úradného dokumentu len ako elektronický dokument, ktorý nemusí spĺňať ďalšie náležitosti elektronického formulára podľa § 3 písm. i), § 24 ods. 2 písm. b) a c) a ods. 3 písm. a) a e) do 3</w:t>
      </w:r>
      <w:r w:rsidR="004447D6">
        <w:rPr>
          <w:lang w:val="sk-SK"/>
        </w:rPr>
        <w:t>1</w:t>
      </w:r>
      <w:r w:rsidRPr="00E93FBA">
        <w:rPr>
          <w:lang w:val="sk-SK"/>
        </w:rPr>
        <w:t xml:space="preserve">. </w:t>
      </w:r>
      <w:r w:rsidR="004447D6">
        <w:rPr>
          <w:lang w:val="sk-SK"/>
        </w:rPr>
        <w:t>decembra</w:t>
      </w:r>
      <w:r w:rsidR="004447D6" w:rsidRPr="00E93FBA">
        <w:rPr>
          <w:lang w:val="sk-SK"/>
        </w:rPr>
        <w:t xml:space="preserve"> </w:t>
      </w:r>
      <w:r w:rsidRPr="00E93FBA">
        <w:rPr>
          <w:lang w:val="sk-SK"/>
        </w:rPr>
        <w:t>2023. Dôvodom návrhu je väzba na realizované projekty</w:t>
      </w:r>
      <w:r w:rsidR="00FC4ACA" w:rsidRPr="00E93FBA">
        <w:rPr>
          <w:lang w:val="sk-SK"/>
        </w:rPr>
        <w:t xml:space="preserve"> Sociálnej poisťovne, ako aj funkčnosť a dostupnosť nástroja na vytváranie elektronických formulárov, ktorý je v gescii NASES. </w:t>
      </w:r>
    </w:p>
    <w:p w14:paraId="1C4320E7" w14:textId="77777777" w:rsidR="00DC2205" w:rsidRPr="00E93FBA" w:rsidRDefault="00DC2205" w:rsidP="003D7F6E">
      <w:pPr>
        <w:jc w:val="both"/>
        <w:rPr>
          <w:lang w:val="sk-SK"/>
        </w:rPr>
      </w:pPr>
    </w:p>
    <w:p w14:paraId="472D6854" w14:textId="09B09E29" w:rsidR="0061256F" w:rsidRPr="00E93FBA" w:rsidRDefault="00591220" w:rsidP="003D7F6E">
      <w:pPr>
        <w:jc w:val="both"/>
        <w:rPr>
          <w:lang w:val="sk-SK"/>
        </w:rPr>
      </w:pPr>
      <w:r w:rsidRPr="00E93FBA">
        <w:rPr>
          <w:lang w:val="sk-SK"/>
        </w:rPr>
        <w:t>K</w:t>
      </w:r>
      <w:r w:rsidR="00C251CC" w:rsidRPr="00E93FBA">
        <w:rPr>
          <w:lang w:val="sk-SK"/>
        </w:rPr>
        <w:t> </w:t>
      </w:r>
      <w:r w:rsidRPr="00E93FBA">
        <w:rPr>
          <w:lang w:val="sk-SK"/>
        </w:rPr>
        <w:t xml:space="preserve">bodu </w:t>
      </w:r>
      <w:r w:rsidR="004D25C4">
        <w:rPr>
          <w:lang w:val="sk-SK"/>
        </w:rPr>
        <w:t>10</w:t>
      </w:r>
      <w:r w:rsidR="00A628DE">
        <w:rPr>
          <w:lang w:val="sk-SK"/>
        </w:rPr>
        <w:t>1</w:t>
      </w:r>
      <w:r w:rsidR="005430FC" w:rsidRPr="00E93FBA">
        <w:rPr>
          <w:lang w:val="sk-SK"/>
        </w:rPr>
        <w:t xml:space="preserve"> </w:t>
      </w:r>
      <w:r w:rsidR="00134935" w:rsidRPr="00E93FBA">
        <w:rPr>
          <w:lang w:val="sk-SK"/>
        </w:rPr>
        <w:t>(§ 60j</w:t>
      </w:r>
      <w:r w:rsidR="0061256F" w:rsidRPr="00E93FBA">
        <w:rPr>
          <w:lang w:val="sk-SK"/>
        </w:rPr>
        <w:t xml:space="preserve">): </w:t>
      </w:r>
    </w:p>
    <w:p w14:paraId="0506A600" w14:textId="3B03C098" w:rsidR="00C24AA4" w:rsidRPr="00E93FBA" w:rsidRDefault="00DF52AE" w:rsidP="003D7F6E">
      <w:pPr>
        <w:jc w:val="both"/>
        <w:rPr>
          <w:lang w:val="sk-SK"/>
        </w:rPr>
      </w:pPr>
      <w:r w:rsidRPr="00E93FBA">
        <w:rPr>
          <w:lang w:val="sk-SK"/>
        </w:rPr>
        <w:t>Navrhujú sa ustanoviť prechodné ustanovenia k</w:t>
      </w:r>
      <w:r w:rsidR="00C251CC" w:rsidRPr="00E93FBA">
        <w:rPr>
          <w:lang w:val="sk-SK"/>
        </w:rPr>
        <w:t> </w:t>
      </w:r>
      <w:r w:rsidRPr="00E93FBA">
        <w:rPr>
          <w:lang w:val="sk-SK"/>
        </w:rPr>
        <w:t>niektorým novým povinnostiam a</w:t>
      </w:r>
      <w:r w:rsidR="00C251CC" w:rsidRPr="00E93FBA">
        <w:rPr>
          <w:lang w:val="sk-SK"/>
        </w:rPr>
        <w:t> </w:t>
      </w:r>
      <w:r w:rsidR="00C24AA4" w:rsidRPr="00E93FBA">
        <w:rPr>
          <w:lang w:val="sk-SK"/>
        </w:rPr>
        <w:t>navrhovaným zmenám.</w:t>
      </w:r>
    </w:p>
    <w:p w14:paraId="72565772" w14:textId="4A734B4B" w:rsidR="0061256F" w:rsidRDefault="00820347" w:rsidP="003D7F6E">
      <w:pPr>
        <w:jc w:val="both"/>
        <w:rPr>
          <w:lang w:val="sk-SK"/>
        </w:rPr>
      </w:pPr>
      <w:r w:rsidRPr="00E93FBA">
        <w:rPr>
          <w:lang w:val="sk-SK"/>
        </w:rPr>
        <w:t xml:space="preserve">Ustanovenia odsekov </w:t>
      </w:r>
      <w:r w:rsidR="00170A73" w:rsidRPr="00E93FBA">
        <w:rPr>
          <w:lang w:val="sk-SK"/>
        </w:rPr>
        <w:t>1</w:t>
      </w:r>
      <w:r w:rsidRPr="00E93FBA">
        <w:rPr>
          <w:lang w:val="sk-SK"/>
        </w:rPr>
        <w:t xml:space="preserve"> až </w:t>
      </w:r>
      <w:r w:rsidR="00EE6F15">
        <w:rPr>
          <w:lang w:val="sk-SK"/>
        </w:rPr>
        <w:t>3</w:t>
      </w:r>
      <w:r w:rsidR="00170A73" w:rsidRPr="00E93FBA">
        <w:rPr>
          <w:lang w:val="sk-SK"/>
        </w:rPr>
        <w:t xml:space="preserve"> </w:t>
      </w:r>
      <w:r w:rsidRPr="00E93FBA">
        <w:rPr>
          <w:lang w:val="sk-SK"/>
        </w:rPr>
        <w:t>sa týkajú zmien v</w:t>
      </w:r>
      <w:r w:rsidR="00C251CC" w:rsidRPr="00E93FBA">
        <w:rPr>
          <w:lang w:val="sk-SK"/>
        </w:rPr>
        <w:t> </w:t>
      </w:r>
      <w:r w:rsidRPr="00E93FBA">
        <w:rPr>
          <w:lang w:val="sk-SK"/>
        </w:rPr>
        <w:t xml:space="preserve">elektronických schránkach. </w:t>
      </w:r>
      <w:r w:rsidR="0061256F" w:rsidRPr="00E93FBA">
        <w:rPr>
          <w:lang w:val="sk-SK"/>
        </w:rPr>
        <w:t>Vzhľadom na náročnosť zmeny</w:t>
      </w:r>
      <w:r w:rsidR="00BC38F1">
        <w:rPr>
          <w:lang w:val="sk-SK"/>
        </w:rPr>
        <w:t xml:space="preserve"> elektronických schránok OVM</w:t>
      </w:r>
      <w:r w:rsidR="0061256F" w:rsidRPr="00E93FBA">
        <w:rPr>
          <w:lang w:val="sk-SK"/>
        </w:rPr>
        <w:t xml:space="preserve"> a</w:t>
      </w:r>
      <w:r w:rsidR="00C251CC" w:rsidRPr="00E93FBA">
        <w:rPr>
          <w:lang w:val="sk-SK"/>
        </w:rPr>
        <w:t> </w:t>
      </w:r>
      <w:r w:rsidR="0061256F" w:rsidRPr="00E93FBA">
        <w:rPr>
          <w:lang w:val="sk-SK"/>
        </w:rPr>
        <w:t>dopady súvisiace s</w:t>
      </w:r>
      <w:r w:rsidR="00C251CC" w:rsidRPr="00E93FBA">
        <w:rPr>
          <w:lang w:val="sk-SK"/>
        </w:rPr>
        <w:t> </w:t>
      </w:r>
      <w:r w:rsidR="0061256F" w:rsidRPr="00E93FBA">
        <w:rPr>
          <w:lang w:val="sk-SK"/>
        </w:rPr>
        <w:t>deaktiváciou elektronickej schránky sa navrhuje prechodné obdobie na zabezpečenie procesu deaktivácie, ako aj umožniť v</w:t>
      </w:r>
      <w:r w:rsidR="00C251CC" w:rsidRPr="00E93FBA">
        <w:rPr>
          <w:lang w:val="sk-SK"/>
        </w:rPr>
        <w:t> </w:t>
      </w:r>
      <w:r w:rsidR="0061256F" w:rsidRPr="00E93FBA">
        <w:rPr>
          <w:lang w:val="sk-SK"/>
        </w:rPr>
        <w:t xml:space="preserve">rámci prechodného obdobia </w:t>
      </w:r>
      <w:r w:rsidRPr="00E93FBA">
        <w:rPr>
          <w:lang w:val="sk-SK"/>
        </w:rPr>
        <w:t xml:space="preserve">OVM </w:t>
      </w:r>
      <w:r w:rsidR="0061256F" w:rsidRPr="00E93FBA">
        <w:rPr>
          <w:lang w:val="sk-SK"/>
        </w:rPr>
        <w:t>správy doručené do schránok, ktoré sú predmetom deaktivácie, uložiť alebo preposlať do inej jeho elektronickej schránky. Po úspešnej deaktivácii sa bude možné do schránky prihlásiť, no nebude možné vykonať v</w:t>
      </w:r>
      <w:r w:rsidR="00C251CC" w:rsidRPr="00E93FBA">
        <w:rPr>
          <w:lang w:val="sk-SK"/>
        </w:rPr>
        <w:t> </w:t>
      </w:r>
      <w:r w:rsidR="0061256F" w:rsidRPr="00E93FBA">
        <w:rPr>
          <w:lang w:val="sk-SK"/>
        </w:rPr>
        <w:t>schránke žiadne úkony s</w:t>
      </w:r>
      <w:r w:rsidR="00C251CC" w:rsidRPr="00E93FBA">
        <w:rPr>
          <w:lang w:val="sk-SK"/>
        </w:rPr>
        <w:t> </w:t>
      </w:r>
      <w:r w:rsidR="0061256F" w:rsidRPr="00E93FBA">
        <w:rPr>
          <w:lang w:val="sk-SK"/>
        </w:rPr>
        <w:t>uloženými správami, ani na ne odpovedať z</w:t>
      </w:r>
      <w:r w:rsidR="00C251CC" w:rsidRPr="00E93FBA">
        <w:rPr>
          <w:lang w:val="sk-SK"/>
        </w:rPr>
        <w:t> </w:t>
      </w:r>
      <w:r w:rsidR="0061256F" w:rsidRPr="00E93FBA">
        <w:rPr>
          <w:lang w:val="sk-SK"/>
        </w:rPr>
        <w:t>tejto schránky.</w:t>
      </w:r>
      <w:r w:rsidR="003B35ED" w:rsidRPr="00E93FBA">
        <w:rPr>
          <w:lang w:val="sk-SK"/>
        </w:rPr>
        <w:t xml:space="preserve"> </w:t>
      </w:r>
    </w:p>
    <w:p w14:paraId="5AA19F39" w14:textId="092797A8" w:rsidR="007F1860" w:rsidRPr="00E93FBA" w:rsidRDefault="007F1860" w:rsidP="003D7F6E">
      <w:pPr>
        <w:jc w:val="both"/>
        <w:rPr>
          <w:lang w:val="sk-SK"/>
        </w:rPr>
      </w:pPr>
      <w:r>
        <w:rPr>
          <w:lang w:val="sk-SK"/>
        </w:rPr>
        <w:t xml:space="preserve">Vo vzťahu k zavedeniu </w:t>
      </w:r>
      <w:r w:rsidR="00A54087">
        <w:rPr>
          <w:lang w:val="sk-SK"/>
        </w:rPr>
        <w:t>nového režimu</w:t>
      </w:r>
      <w:r>
        <w:rPr>
          <w:lang w:val="sk-SK"/>
        </w:rPr>
        <w:t xml:space="preserve"> deaktivácie elektronickej schránky fyzickej osoby podnikateľa </w:t>
      </w:r>
      <w:r w:rsidR="00336DB2">
        <w:rPr>
          <w:lang w:val="sk-SK"/>
        </w:rPr>
        <w:t xml:space="preserve">v § 14 ods. 2 písm. d) </w:t>
      </w:r>
      <w:r>
        <w:rPr>
          <w:lang w:val="sk-SK"/>
        </w:rPr>
        <w:t>sa navrhuje ustanoviť prechodné obdobie, potrebné na nastavenie procesov automatickej deaktivácie.</w:t>
      </w:r>
    </w:p>
    <w:p w14:paraId="016BAD18" w14:textId="653CE797" w:rsidR="003B35ED" w:rsidRPr="00E93FBA" w:rsidRDefault="003B35ED" w:rsidP="003D7F6E">
      <w:pPr>
        <w:jc w:val="both"/>
        <w:rPr>
          <w:lang w:val="sk-SK"/>
        </w:rPr>
      </w:pPr>
      <w:r w:rsidRPr="00E93FBA">
        <w:rPr>
          <w:lang w:val="sk-SK"/>
        </w:rPr>
        <w:t>Ročné prechodné obdobie sa navrhuje aj na účely zriaďovania, resp. používania elektronickej schránky pre OVM, ktoré sú fyzickou osobou vykonávajúcou funkciu alebo činnosť v</w:t>
      </w:r>
      <w:r w:rsidR="00C251CC" w:rsidRPr="00E93FBA">
        <w:rPr>
          <w:lang w:val="sk-SK"/>
        </w:rPr>
        <w:t> </w:t>
      </w:r>
      <w:r w:rsidRPr="00E93FBA">
        <w:rPr>
          <w:lang w:val="sk-SK"/>
        </w:rPr>
        <w:t>subjekte, ktorý má aktivovanú elektronickú schránku</w:t>
      </w:r>
      <w:r w:rsidR="00336DB2">
        <w:rPr>
          <w:lang w:val="sk-SK"/>
        </w:rPr>
        <w:t xml:space="preserve"> (§ 12 ods. 10)</w:t>
      </w:r>
      <w:r w:rsidRPr="00E93FBA">
        <w:rPr>
          <w:lang w:val="sk-SK"/>
        </w:rPr>
        <w:t xml:space="preserve">. Dôvodom je potreba </w:t>
      </w:r>
      <w:r w:rsidR="00154821" w:rsidRPr="00E93FBA">
        <w:rPr>
          <w:lang w:val="sk-SK"/>
        </w:rPr>
        <w:t>časového priestoru jednak na technické zabezpečenie tohto procesu na strane správcu modulu elektronických schránok a</w:t>
      </w:r>
      <w:r w:rsidR="00C251CC" w:rsidRPr="00E93FBA">
        <w:rPr>
          <w:lang w:val="sk-SK"/>
        </w:rPr>
        <w:t> </w:t>
      </w:r>
      <w:r w:rsidR="00154821" w:rsidRPr="00E93FBA">
        <w:rPr>
          <w:lang w:val="sk-SK"/>
        </w:rPr>
        <w:t>tiež pre samotné OVM na prispôsobenie interných procesov.</w:t>
      </w:r>
    </w:p>
    <w:p w14:paraId="42470B84" w14:textId="35EB5CDF" w:rsidR="008D42B3" w:rsidRPr="00E93FBA" w:rsidRDefault="008D42B3" w:rsidP="003D7F6E">
      <w:pPr>
        <w:jc w:val="both"/>
        <w:rPr>
          <w:lang w:val="sk-SK"/>
        </w:rPr>
      </w:pPr>
      <w:r w:rsidRPr="00E93FBA">
        <w:rPr>
          <w:lang w:val="sk-SK"/>
        </w:rPr>
        <w:t>Z dôvodu zmeny režimu pre elektronické schránky zapísaných organizačných zložiek</w:t>
      </w:r>
      <w:r w:rsidR="00336DB2">
        <w:rPr>
          <w:lang w:val="sk-SK"/>
        </w:rPr>
        <w:t xml:space="preserve"> v § </w:t>
      </w:r>
      <w:r w:rsidR="00880DEB">
        <w:rPr>
          <w:lang w:val="sk-SK"/>
        </w:rPr>
        <w:t>12 ods. 4 písm. e)</w:t>
      </w:r>
      <w:r w:rsidR="002C226C" w:rsidRPr="00E93FBA">
        <w:rPr>
          <w:lang w:val="sk-SK"/>
        </w:rPr>
        <w:t>, spojené s možnosťou ich deaktivácie na žiadosť sa navrhuje vyjadriť, že túto možnosť majú aj zapísané organizačné zložky, ktoré už majú zriadenú a aktivovanú elektronickú schránku.</w:t>
      </w:r>
    </w:p>
    <w:p w14:paraId="71E049C6" w14:textId="07100C6B" w:rsidR="00154821" w:rsidRPr="00E93FBA" w:rsidRDefault="00755399" w:rsidP="003D7F6E">
      <w:pPr>
        <w:jc w:val="both"/>
        <w:rPr>
          <w:lang w:val="sk-SK"/>
        </w:rPr>
      </w:pPr>
      <w:r w:rsidRPr="00E93FBA">
        <w:rPr>
          <w:lang w:val="sk-SK"/>
        </w:rPr>
        <w:t>V</w:t>
      </w:r>
      <w:r w:rsidR="00C251CC" w:rsidRPr="00E93FBA">
        <w:rPr>
          <w:lang w:val="sk-SK"/>
        </w:rPr>
        <w:t> </w:t>
      </w:r>
      <w:r w:rsidRPr="00E93FBA">
        <w:rPr>
          <w:lang w:val="sk-SK"/>
        </w:rPr>
        <w:t>nadväznosti na zmeny v</w:t>
      </w:r>
      <w:r w:rsidR="00C251CC" w:rsidRPr="00E93FBA">
        <w:rPr>
          <w:lang w:val="sk-SK"/>
        </w:rPr>
        <w:t> </w:t>
      </w:r>
      <w:r w:rsidRPr="00E93FBA">
        <w:rPr>
          <w:lang w:val="sk-SK"/>
        </w:rPr>
        <w:t xml:space="preserve">regulácii autentifikátorov sa navrhuje </w:t>
      </w:r>
      <w:r w:rsidR="000D3040" w:rsidRPr="00E93FBA">
        <w:rPr>
          <w:lang w:val="sk-SK"/>
        </w:rPr>
        <w:t>ustanoviť prechodné obdobie najviac v</w:t>
      </w:r>
      <w:r w:rsidR="00C251CC" w:rsidRPr="00E93FBA">
        <w:rPr>
          <w:lang w:val="sk-SK"/>
        </w:rPr>
        <w:t> </w:t>
      </w:r>
      <w:r w:rsidR="000D3040" w:rsidRPr="00E93FBA">
        <w:rPr>
          <w:lang w:val="sk-SK"/>
        </w:rPr>
        <w:t>trvaní dvoch rokov, počas ktorého bude možné používať autentifikátory vydané podľa doterajších predpisov. Toto obdobie zároveň bude slúžiť na</w:t>
      </w:r>
      <w:r w:rsidR="00886FB7" w:rsidRPr="00E93FBA">
        <w:rPr>
          <w:lang w:val="sk-SK"/>
        </w:rPr>
        <w:t xml:space="preserve"> podanie žiadosti o</w:t>
      </w:r>
      <w:r w:rsidR="00C251CC" w:rsidRPr="00E93FBA">
        <w:rPr>
          <w:lang w:val="sk-SK"/>
        </w:rPr>
        <w:t> </w:t>
      </w:r>
      <w:r w:rsidR="00886FB7" w:rsidRPr="00E93FBA">
        <w:rPr>
          <w:lang w:val="sk-SK"/>
        </w:rPr>
        <w:t>zápis autentifikačného prostriedku do novej evidenci</w:t>
      </w:r>
      <w:r w:rsidR="009F1DE0" w:rsidRPr="00E93FBA">
        <w:rPr>
          <w:lang w:val="sk-SK"/>
        </w:rPr>
        <w:t>e</w:t>
      </w:r>
      <w:r w:rsidR="00886FB7" w:rsidRPr="00E93FBA">
        <w:rPr>
          <w:lang w:val="sk-SK"/>
        </w:rPr>
        <w:t>, ak jeho prevádzkovateľ bude mať záujem na jeho zachovaní.</w:t>
      </w:r>
      <w:r w:rsidR="00AB4F9A" w:rsidRPr="00E93FBA">
        <w:rPr>
          <w:lang w:val="sk-SK"/>
        </w:rPr>
        <w:t xml:space="preserve"> Na vybudovanie evidencie sa navrhuje prechodné obdobie jedného roka.</w:t>
      </w:r>
    </w:p>
    <w:p w14:paraId="04F4F551" w14:textId="4821F971" w:rsidR="005D408D" w:rsidRPr="00E93FBA" w:rsidRDefault="005D408D" w:rsidP="003D7F6E">
      <w:pPr>
        <w:jc w:val="both"/>
        <w:rPr>
          <w:lang w:val="sk-SK"/>
        </w:rPr>
      </w:pPr>
      <w:r w:rsidRPr="00E93FBA">
        <w:rPr>
          <w:lang w:val="sk-SK"/>
        </w:rPr>
        <w:t>V spojení so zmenami vo vytváraní elektronického úradného dokumentu sa navrhuje umožniť počas dvoch rokov používať dnes účinné ustanovenie § 2</w:t>
      </w:r>
      <w:r w:rsidR="002B2564" w:rsidRPr="00E93FBA">
        <w:rPr>
          <w:lang w:val="sk-SK"/>
        </w:rPr>
        <w:t xml:space="preserve">8 ods. 6, keďže existujú OVM, ktoré majú informačné systémy a vydávanie elektronických úradných dokumentov implementované </w:t>
      </w:r>
      <w:r w:rsidR="00DA7B1B" w:rsidRPr="00E93FBA">
        <w:rPr>
          <w:lang w:val="sk-SK"/>
        </w:rPr>
        <w:t>spôsobom využívajúcim túto možnosť.</w:t>
      </w:r>
    </w:p>
    <w:p w14:paraId="0B0A004E" w14:textId="43590628" w:rsidR="00C84276" w:rsidRPr="00E93FBA" w:rsidRDefault="00C84276" w:rsidP="003D7F6E">
      <w:pPr>
        <w:jc w:val="both"/>
        <w:rPr>
          <w:lang w:val="sk-SK"/>
        </w:rPr>
      </w:pPr>
      <w:r w:rsidRPr="00E93FBA">
        <w:rPr>
          <w:lang w:val="sk-SK"/>
        </w:rPr>
        <w:t xml:space="preserve">Rovnako sa navrhuje prechodné </w:t>
      </w:r>
      <w:r w:rsidR="00C6104C" w:rsidRPr="00E93FBA">
        <w:rPr>
          <w:lang w:val="sk-SK"/>
        </w:rPr>
        <w:t>ustanovenie</w:t>
      </w:r>
      <w:r w:rsidRPr="00E93FBA">
        <w:rPr>
          <w:lang w:val="sk-SK"/>
        </w:rPr>
        <w:t xml:space="preserve"> vo vzťahu k</w:t>
      </w:r>
      <w:r w:rsidR="00C251CC" w:rsidRPr="00E93FBA">
        <w:rPr>
          <w:lang w:val="sk-SK"/>
        </w:rPr>
        <w:t> </w:t>
      </w:r>
      <w:r w:rsidR="00A414BD" w:rsidRPr="00E93FBA">
        <w:rPr>
          <w:lang w:val="sk-SK"/>
        </w:rPr>
        <w:t>zmenám</w:t>
      </w:r>
      <w:r w:rsidR="00C6104C" w:rsidRPr="00E93FBA">
        <w:rPr>
          <w:lang w:val="sk-SK"/>
        </w:rPr>
        <w:t xml:space="preserve"> v</w:t>
      </w:r>
      <w:r w:rsidR="00C251CC" w:rsidRPr="00E93FBA">
        <w:rPr>
          <w:lang w:val="sk-SK"/>
        </w:rPr>
        <w:t> </w:t>
      </w:r>
      <w:r w:rsidR="00A414BD" w:rsidRPr="00E93FBA">
        <w:rPr>
          <w:lang w:val="sk-SK"/>
        </w:rPr>
        <w:t>elektronickom</w:t>
      </w:r>
      <w:r w:rsidR="00C6104C" w:rsidRPr="00E93FBA">
        <w:rPr>
          <w:lang w:val="sk-SK"/>
        </w:rPr>
        <w:t xml:space="preserve"> doručovaní, podľa ktorého správy odoslané a</w:t>
      </w:r>
      <w:r w:rsidR="00C251CC" w:rsidRPr="00E93FBA">
        <w:rPr>
          <w:lang w:val="sk-SK"/>
        </w:rPr>
        <w:t> </w:t>
      </w:r>
      <w:r w:rsidR="00C6104C" w:rsidRPr="00E93FBA">
        <w:rPr>
          <w:lang w:val="sk-SK"/>
        </w:rPr>
        <w:t>nedoručené podľa doterajších predpisov sa doručujú podľa nových pravidiel</w:t>
      </w:r>
      <w:r w:rsidR="002D0674" w:rsidRPr="00E93FBA">
        <w:rPr>
          <w:lang w:val="sk-SK"/>
        </w:rPr>
        <w:t xml:space="preserve"> a vo vzťahu k prebiehajúcim konaniam o správnych deliktoch.</w:t>
      </w:r>
    </w:p>
    <w:p w14:paraId="33364644" w14:textId="77777777" w:rsidR="00C251CC" w:rsidRPr="00E93FBA" w:rsidRDefault="00C251CC" w:rsidP="003D7F6E">
      <w:pPr>
        <w:jc w:val="both"/>
        <w:rPr>
          <w:lang w:val="sk-SK"/>
        </w:rPr>
      </w:pPr>
    </w:p>
    <w:p w14:paraId="2185743B" w14:textId="22329335" w:rsidR="00D7763E" w:rsidRPr="00E93FBA" w:rsidRDefault="00D7763E" w:rsidP="00D7763E">
      <w:pPr>
        <w:jc w:val="both"/>
        <w:rPr>
          <w:lang w:val="sk-SK"/>
        </w:rPr>
      </w:pPr>
      <w:r w:rsidRPr="00E93FBA">
        <w:rPr>
          <w:lang w:val="sk-SK"/>
        </w:rPr>
        <w:t xml:space="preserve">K bodu </w:t>
      </w:r>
      <w:r w:rsidR="004D25C4">
        <w:rPr>
          <w:lang w:val="sk-SK"/>
        </w:rPr>
        <w:t>10</w:t>
      </w:r>
      <w:r w:rsidR="00A628DE">
        <w:rPr>
          <w:lang w:val="sk-SK"/>
        </w:rPr>
        <w:t>2</w:t>
      </w:r>
      <w:r w:rsidRPr="00E93FBA">
        <w:rPr>
          <w:lang w:val="sk-SK"/>
        </w:rPr>
        <w:t xml:space="preserve"> (§ 61</w:t>
      </w:r>
      <w:r w:rsidR="00A628DE">
        <w:rPr>
          <w:lang w:val="sk-SK"/>
        </w:rPr>
        <w:t>a a 61b</w:t>
      </w:r>
      <w:r w:rsidRPr="00E93FBA">
        <w:rPr>
          <w:lang w:val="sk-SK"/>
        </w:rPr>
        <w:t xml:space="preserve">): </w:t>
      </w:r>
    </w:p>
    <w:p w14:paraId="59A68CDB" w14:textId="22212916" w:rsidR="004F3C39" w:rsidRPr="00E93FBA" w:rsidRDefault="004F3C39" w:rsidP="003D7F6E">
      <w:pPr>
        <w:jc w:val="both"/>
        <w:rPr>
          <w:lang w:val="sk-SK"/>
        </w:rPr>
      </w:pPr>
      <w:r w:rsidRPr="00E93FBA">
        <w:rPr>
          <w:lang w:val="sk-SK"/>
        </w:rPr>
        <w:t>V spojení so zrušením inštitútu IOM sa navrhuje zrušiť aj príslušný vykonávací predpis, ktorým je vyhláška Ministerstva</w:t>
      </w:r>
      <w:r w:rsidRPr="00D85AFD">
        <w:rPr>
          <w:lang w:val="sk-SK"/>
        </w:rPr>
        <w:t xml:space="preserve"> </w:t>
      </w:r>
      <w:r w:rsidRPr="00E93FBA">
        <w:rPr>
          <w:lang w:val="sk-SK"/>
        </w:rPr>
        <w:t xml:space="preserve">financií Slovenskej republiky č. 25/2014 Z. z. o integrovaných </w:t>
      </w:r>
      <w:r w:rsidRPr="00E93FBA">
        <w:rPr>
          <w:lang w:val="sk-SK"/>
        </w:rPr>
        <w:lastRenderedPageBreak/>
        <w:t>obslužných miestach a podmienkach ich zriaďovania, označovania, prevádzky a o sadzobníku úhrad v znení neskorších predpisov.</w:t>
      </w:r>
    </w:p>
    <w:p w14:paraId="31D7091D" w14:textId="3E947F0C" w:rsidR="00D7763E" w:rsidRPr="00E93FBA" w:rsidRDefault="00D7763E" w:rsidP="003D7F6E">
      <w:pPr>
        <w:jc w:val="both"/>
        <w:rPr>
          <w:lang w:val="sk-SK"/>
        </w:rPr>
      </w:pPr>
      <w:r w:rsidRPr="00E93FBA">
        <w:rPr>
          <w:lang w:val="sk-SK"/>
        </w:rPr>
        <w:t>V nadväznosti na zmeny v</w:t>
      </w:r>
      <w:r w:rsidR="00A2750B" w:rsidRPr="00E93FBA">
        <w:rPr>
          <w:lang w:val="sk-SK"/>
        </w:rPr>
        <w:t xml:space="preserve"> regulácii autentifikačných prostriedkov sa navrhuje zrušiť vyhlášku </w:t>
      </w:r>
      <w:r w:rsidR="00945452" w:rsidRPr="00E93FBA">
        <w:rPr>
          <w:lang w:val="sk-SK"/>
        </w:rPr>
        <w:t xml:space="preserve">Ministerstva vnútra Slovenskej republiky č. 29/2017 Z. z., ktorou sa ustanovujú podrobnosti o alternatívnom autentifikátore v znení vyhlášky č. 239/2019 Z. z. Tento autentifikačný prostriedok bude môcť byť používaný v zmysle prechodných ustanovení § 60i a rovnako tak na žiadosť </w:t>
      </w:r>
      <w:r w:rsidR="005430FC" w:rsidRPr="00E93FBA">
        <w:rPr>
          <w:lang w:val="sk-SK"/>
        </w:rPr>
        <w:t xml:space="preserve">Ministerstva vnútra Slovenskej republiky </w:t>
      </w:r>
      <w:r w:rsidR="00945452" w:rsidRPr="00E93FBA">
        <w:rPr>
          <w:lang w:val="sk-SK"/>
        </w:rPr>
        <w:t>zapísaný do novej evidencie.</w:t>
      </w:r>
    </w:p>
    <w:p w14:paraId="1777DBCF" w14:textId="77777777" w:rsidR="003D7F6E" w:rsidRPr="00E93FBA" w:rsidRDefault="003D7F6E" w:rsidP="00CD3A13">
      <w:pPr>
        <w:jc w:val="both"/>
        <w:rPr>
          <w:lang w:val="sk-SK"/>
        </w:rPr>
      </w:pPr>
    </w:p>
    <w:p w14:paraId="004D9F36" w14:textId="77777777" w:rsidR="0020062F" w:rsidRPr="00E93FBA" w:rsidRDefault="0020062F" w:rsidP="00CD3A13">
      <w:pPr>
        <w:jc w:val="both"/>
        <w:rPr>
          <w:lang w:val="sk-SK"/>
        </w:rPr>
      </w:pPr>
    </w:p>
    <w:p w14:paraId="5282BB96" w14:textId="6525606E" w:rsidR="00B45615" w:rsidRPr="00E93FBA" w:rsidRDefault="00B45615" w:rsidP="005B2864">
      <w:pPr>
        <w:jc w:val="both"/>
        <w:rPr>
          <w:lang w:val="sk-SK"/>
        </w:rPr>
      </w:pPr>
      <w:r w:rsidRPr="00E93FBA">
        <w:rPr>
          <w:lang w:val="sk-SK"/>
        </w:rPr>
        <w:t>K čl. II</w:t>
      </w:r>
      <w:r w:rsidR="00C251CC" w:rsidRPr="00E93FBA">
        <w:rPr>
          <w:lang w:val="sk-SK"/>
        </w:rPr>
        <w:t xml:space="preserve"> (zákon o </w:t>
      </w:r>
      <w:r w:rsidR="009E0EF3" w:rsidRPr="00E93FBA">
        <w:rPr>
          <w:lang w:val="sk-SK"/>
        </w:rPr>
        <w:t xml:space="preserve">súdnych </w:t>
      </w:r>
      <w:r w:rsidR="00C251CC" w:rsidRPr="00E93FBA">
        <w:rPr>
          <w:lang w:val="sk-SK"/>
        </w:rPr>
        <w:t>poplatkoch)</w:t>
      </w:r>
    </w:p>
    <w:p w14:paraId="6029A3DA" w14:textId="1A321342" w:rsidR="00CA57F8" w:rsidRPr="00E93FBA" w:rsidRDefault="00CA57F8" w:rsidP="00CA57F8">
      <w:pPr>
        <w:jc w:val="both"/>
        <w:rPr>
          <w:lang w:val="sk-SK"/>
        </w:rPr>
      </w:pPr>
      <w:r w:rsidRPr="00E93FBA">
        <w:rPr>
          <w:lang w:val="sk-SK"/>
        </w:rPr>
        <w:t>Legislatívno-technická úprava súvisiaca s vypustením inštitútu IOM.</w:t>
      </w:r>
    </w:p>
    <w:p w14:paraId="42F443AD" w14:textId="2482612A" w:rsidR="009E0EF3" w:rsidRPr="00E93FBA" w:rsidRDefault="009E0EF3" w:rsidP="005B2864">
      <w:pPr>
        <w:jc w:val="both"/>
        <w:rPr>
          <w:lang w:val="sk-SK"/>
        </w:rPr>
      </w:pPr>
    </w:p>
    <w:p w14:paraId="38D649F8" w14:textId="77777777" w:rsidR="009E0EF3" w:rsidRPr="00E93FBA" w:rsidRDefault="009E0EF3" w:rsidP="005B2864">
      <w:pPr>
        <w:jc w:val="both"/>
        <w:rPr>
          <w:lang w:val="sk-SK"/>
        </w:rPr>
      </w:pPr>
    </w:p>
    <w:p w14:paraId="2D4B158B" w14:textId="2E5E6B8C" w:rsidR="009E0EF3" w:rsidRPr="00E93FBA" w:rsidRDefault="009E0EF3" w:rsidP="005B2864">
      <w:pPr>
        <w:jc w:val="both"/>
        <w:rPr>
          <w:lang w:val="sk-SK"/>
        </w:rPr>
      </w:pPr>
      <w:r w:rsidRPr="00E93FBA">
        <w:rPr>
          <w:lang w:val="sk-SK"/>
        </w:rPr>
        <w:t>K čl. III (zákon o správnych poplatkoch)</w:t>
      </w:r>
    </w:p>
    <w:p w14:paraId="500B6F3D" w14:textId="6F07D4D6" w:rsidR="0048162E" w:rsidRPr="00E93FBA" w:rsidRDefault="0048162E" w:rsidP="005B2864">
      <w:pPr>
        <w:jc w:val="both"/>
        <w:rPr>
          <w:lang w:val="sk-SK"/>
        </w:rPr>
      </w:pPr>
      <w:r w:rsidRPr="00E93FBA">
        <w:rPr>
          <w:lang w:val="sk-SK"/>
        </w:rPr>
        <w:t xml:space="preserve">K bodu 1 </w:t>
      </w:r>
      <w:r w:rsidR="00CC2BDE" w:rsidRPr="00E93FBA">
        <w:rPr>
          <w:lang w:val="sk-SK"/>
        </w:rPr>
        <w:t>(§ 4):</w:t>
      </w:r>
    </w:p>
    <w:p w14:paraId="67CC0DF5" w14:textId="385A1AC3" w:rsidR="00CC2BDE" w:rsidRDefault="00592274" w:rsidP="005B2864">
      <w:pPr>
        <w:jc w:val="both"/>
        <w:rPr>
          <w:bCs/>
          <w:lang w:val="sk-SK"/>
        </w:rPr>
      </w:pPr>
      <w:r w:rsidRPr="00E93FBA">
        <w:rPr>
          <w:bCs/>
          <w:lang w:val="sk-SK"/>
        </w:rPr>
        <w:t xml:space="preserve">Navrhuje sa zavedenie oslobodenia od správneho poplatku pri prevode správy majetku štátu (generálne oslobodenie na všetky spoplatnené úkony a konania správnych orgánov). </w:t>
      </w:r>
    </w:p>
    <w:p w14:paraId="39790CA7" w14:textId="77777777" w:rsidR="00487F2F" w:rsidRPr="00487F2F" w:rsidRDefault="00487F2F" w:rsidP="00487F2F">
      <w:pPr>
        <w:jc w:val="both"/>
        <w:rPr>
          <w:lang w:val="sk-SK"/>
        </w:rPr>
      </w:pPr>
      <w:r w:rsidRPr="00487F2F">
        <w:rPr>
          <w:lang w:val="sk-SK"/>
        </w:rPr>
        <w:t>S prevodom správy majetku štátu, ktoré realizujú správcovia majetku štátu, súvisí potreba uhradiť správne poplatky (najčastejšie súvisiace so zmenami v katastri nehnuteľností, výpismi z katastra, v evidencii vozidiel, prípadne ostatnými úkonmi). Správcovia majetku štátu sú legislatívne zadefinovaní v § 1 ods. 1 zákona č. 278/1993 Z. z. o správe majetku štátu v znení neskorších právnych predpisov ako</w:t>
      </w:r>
    </w:p>
    <w:p w14:paraId="73E72E1E" w14:textId="77777777" w:rsidR="00487F2F" w:rsidRPr="00487F2F" w:rsidRDefault="00487F2F" w:rsidP="006A4EF3">
      <w:pPr>
        <w:pStyle w:val="Odsekzoznamu"/>
        <w:numPr>
          <w:ilvl w:val="0"/>
          <w:numId w:val="2"/>
        </w:numPr>
        <w:spacing w:after="160" w:line="256" w:lineRule="auto"/>
        <w:jc w:val="both"/>
        <w:rPr>
          <w:rFonts w:ascii="Times New Roman" w:hAnsi="Times New Roman"/>
          <w:sz w:val="24"/>
          <w:szCs w:val="24"/>
        </w:rPr>
      </w:pPr>
      <w:r w:rsidRPr="00487F2F">
        <w:rPr>
          <w:rFonts w:ascii="Times New Roman" w:hAnsi="Times New Roman"/>
          <w:sz w:val="24"/>
          <w:szCs w:val="24"/>
        </w:rPr>
        <w:t>štátna rozpočtová organizácia a štátna príspevková organizácia,</w:t>
      </w:r>
    </w:p>
    <w:p w14:paraId="06E131BC" w14:textId="77777777" w:rsidR="00487F2F" w:rsidRPr="00487F2F" w:rsidRDefault="00487F2F" w:rsidP="006A4EF3">
      <w:pPr>
        <w:pStyle w:val="Odsekzoznamu"/>
        <w:numPr>
          <w:ilvl w:val="0"/>
          <w:numId w:val="2"/>
        </w:numPr>
        <w:spacing w:after="160" w:line="256" w:lineRule="auto"/>
        <w:jc w:val="both"/>
        <w:rPr>
          <w:rFonts w:ascii="Times New Roman" w:hAnsi="Times New Roman"/>
          <w:sz w:val="24"/>
          <w:szCs w:val="24"/>
        </w:rPr>
      </w:pPr>
      <w:r w:rsidRPr="00487F2F">
        <w:rPr>
          <w:rFonts w:ascii="Times New Roman" w:hAnsi="Times New Roman"/>
          <w:sz w:val="24"/>
          <w:szCs w:val="24"/>
        </w:rPr>
        <w:t>štátny fond,</w:t>
      </w:r>
    </w:p>
    <w:p w14:paraId="083D9E17" w14:textId="77777777" w:rsidR="00487F2F" w:rsidRPr="00487F2F" w:rsidRDefault="00487F2F" w:rsidP="006A4EF3">
      <w:pPr>
        <w:pStyle w:val="Odsekzoznamu"/>
        <w:numPr>
          <w:ilvl w:val="0"/>
          <w:numId w:val="2"/>
        </w:numPr>
        <w:spacing w:after="160" w:line="256" w:lineRule="auto"/>
        <w:jc w:val="both"/>
        <w:rPr>
          <w:rFonts w:ascii="Times New Roman" w:hAnsi="Times New Roman"/>
          <w:sz w:val="24"/>
          <w:szCs w:val="24"/>
        </w:rPr>
      </w:pPr>
      <w:r w:rsidRPr="00487F2F">
        <w:rPr>
          <w:rFonts w:ascii="Times New Roman" w:hAnsi="Times New Roman"/>
          <w:sz w:val="24"/>
          <w:szCs w:val="24"/>
        </w:rPr>
        <w:t>právnická osoba zriadená osobitným zákonom ak na základe zákona spravujú majetok štátu,</w:t>
      </w:r>
    </w:p>
    <w:p w14:paraId="3EE692F3" w14:textId="77777777" w:rsidR="00487F2F" w:rsidRPr="00487F2F" w:rsidRDefault="00487F2F" w:rsidP="006A4EF3">
      <w:pPr>
        <w:pStyle w:val="Odsekzoznamu"/>
        <w:numPr>
          <w:ilvl w:val="0"/>
          <w:numId w:val="2"/>
        </w:numPr>
        <w:spacing w:after="0" w:line="256" w:lineRule="auto"/>
        <w:jc w:val="both"/>
        <w:rPr>
          <w:rFonts w:ascii="Times New Roman" w:hAnsi="Times New Roman"/>
          <w:sz w:val="24"/>
          <w:szCs w:val="24"/>
        </w:rPr>
      </w:pPr>
      <w:r w:rsidRPr="00487F2F">
        <w:rPr>
          <w:rFonts w:ascii="Times New Roman" w:hAnsi="Times New Roman"/>
          <w:sz w:val="24"/>
          <w:szCs w:val="24"/>
        </w:rPr>
        <w:t>štátny orgán bez právnej subjektivity, ak podľa zákona o správe majetku štátu alebo osobitného predpisu spravuje majetok štátu.</w:t>
      </w:r>
    </w:p>
    <w:p w14:paraId="2EA04FC4" w14:textId="77777777" w:rsidR="00487F2F" w:rsidRPr="00487F2F" w:rsidRDefault="00487F2F" w:rsidP="00487F2F">
      <w:pPr>
        <w:jc w:val="both"/>
        <w:rPr>
          <w:sz w:val="12"/>
          <w:szCs w:val="12"/>
          <w:lang w:val="sk-SK"/>
        </w:rPr>
      </w:pPr>
    </w:p>
    <w:p w14:paraId="5720E3B9" w14:textId="73C186C6" w:rsidR="00487F2F" w:rsidRPr="00487F2F" w:rsidRDefault="004B1320" w:rsidP="00487F2F">
      <w:pPr>
        <w:jc w:val="both"/>
        <w:rPr>
          <w:lang w:val="sk-SK"/>
        </w:rPr>
      </w:pPr>
      <w:r>
        <w:rPr>
          <w:lang w:val="sk-SK"/>
        </w:rPr>
        <w:t>Keďže</w:t>
      </w:r>
      <w:r w:rsidR="00487F2F" w:rsidRPr="00487F2F">
        <w:rPr>
          <w:lang w:val="sk-SK"/>
        </w:rPr>
        <w:t xml:space="preserve"> ide o organizácie štátnej správy, úhrada správneho poplatku pri prevode správy majetku štátu predstavuje na jednej strane výdavok štátneho rozpočtu a zároveň na druhej strane príjem do štátneho rozpočtu. Rozpočtovo je teda tento poplatok neutrálny, avšak organizácia platiaca poplatok musí v rozpočte nájsť dané prostriedky na realizovanie prevodu správu.</w:t>
      </w:r>
    </w:p>
    <w:p w14:paraId="23CD2206" w14:textId="625C5543" w:rsidR="00487F2F" w:rsidRPr="00487F2F" w:rsidRDefault="00487F2F" w:rsidP="00487F2F">
      <w:pPr>
        <w:jc w:val="both"/>
        <w:rPr>
          <w:lang w:val="sk-SK"/>
        </w:rPr>
      </w:pPr>
      <w:r w:rsidRPr="00487F2F">
        <w:rPr>
          <w:lang w:val="sk-SK"/>
        </w:rPr>
        <w:t>Nadbytočnosť tohto správneho poplatku v procese prevodu správy majetku štátu bola identifikovaná v priebehu mapovania a analýzy stavu podporných a administratívnych procesov vo vybraných inštitúciách verejnej správy a návrh optimalizovaných a unifikovaných podporných a administratívnych procesov (ďalej len „</w:t>
      </w:r>
      <w:r w:rsidRPr="00331AF2">
        <w:rPr>
          <w:lang w:val="sk-SK"/>
        </w:rPr>
        <w:t>mapovanie CES</w:t>
      </w:r>
      <w:r w:rsidRPr="00487F2F">
        <w:rPr>
          <w:lang w:val="sk-SK"/>
        </w:rPr>
        <w:t>“) v roku 2020.</w:t>
      </w:r>
    </w:p>
    <w:p w14:paraId="0F9F16A6" w14:textId="77777777" w:rsidR="00487F2F" w:rsidRPr="00487F2F" w:rsidRDefault="00487F2F" w:rsidP="00487F2F">
      <w:pPr>
        <w:jc w:val="both"/>
        <w:rPr>
          <w:lang w:val="sk-SK"/>
        </w:rPr>
      </w:pPr>
      <w:r w:rsidRPr="00487F2F">
        <w:rPr>
          <w:lang w:val="sk-SK"/>
        </w:rPr>
        <w:t>V dotazníkovom prieskume k mapovaniu CES odpovedali dopytované štátne organizácie (spolu cca 460), že správny poplatok za prevod správy majetku sa dotýka:</w:t>
      </w:r>
    </w:p>
    <w:p w14:paraId="6534A94E" w14:textId="77777777" w:rsidR="00487F2F" w:rsidRPr="00487F2F" w:rsidRDefault="00487F2F" w:rsidP="006A4EF3">
      <w:pPr>
        <w:pStyle w:val="Odsekzoznamu"/>
        <w:numPr>
          <w:ilvl w:val="0"/>
          <w:numId w:val="3"/>
        </w:numPr>
        <w:spacing w:after="160" w:line="256" w:lineRule="auto"/>
        <w:jc w:val="both"/>
        <w:rPr>
          <w:rFonts w:ascii="Times New Roman" w:hAnsi="Times New Roman"/>
          <w:sz w:val="24"/>
          <w:szCs w:val="24"/>
        </w:rPr>
      </w:pPr>
      <w:r w:rsidRPr="00487F2F">
        <w:rPr>
          <w:rFonts w:ascii="Times New Roman" w:hAnsi="Times New Roman"/>
          <w:sz w:val="24"/>
          <w:szCs w:val="24"/>
        </w:rPr>
        <w:t>11 % organizácií štátnej správy platí správny poplatok ako organizácia ponúkajúca majetok,</w:t>
      </w:r>
    </w:p>
    <w:p w14:paraId="30500EB9" w14:textId="77777777" w:rsidR="00487F2F" w:rsidRPr="00487F2F" w:rsidRDefault="00487F2F" w:rsidP="006A4EF3">
      <w:pPr>
        <w:pStyle w:val="Odsekzoznamu"/>
        <w:numPr>
          <w:ilvl w:val="0"/>
          <w:numId w:val="3"/>
        </w:numPr>
        <w:spacing w:after="160" w:line="256" w:lineRule="auto"/>
        <w:jc w:val="both"/>
        <w:rPr>
          <w:rFonts w:ascii="Times New Roman" w:hAnsi="Times New Roman"/>
          <w:sz w:val="24"/>
          <w:szCs w:val="24"/>
        </w:rPr>
      </w:pPr>
      <w:r w:rsidRPr="00487F2F">
        <w:rPr>
          <w:rFonts w:ascii="Times New Roman" w:hAnsi="Times New Roman"/>
          <w:sz w:val="24"/>
          <w:szCs w:val="24"/>
        </w:rPr>
        <w:t>25 % organizácií štátnej správy platí správny poplatok ako organizácia prijímajúca majetok.</w:t>
      </w:r>
    </w:p>
    <w:p w14:paraId="0A518C94" w14:textId="77777777" w:rsidR="00487F2F" w:rsidRPr="00487F2F" w:rsidRDefault="00487F2F" w:rsidP="00487F2F">
      <w:pPr>
        <w:jc w:val="both"/>
        <w:rPr>
          <w:lang w:val="sk-SK"/>
        </w:rPr>
      </w:pPr>
      <w:r w:rsidRPr="00487F2F">
        <w:rPr>
          <w:lang w:val="sk-SK"/>
        </w:rPr>
        <w:t xml:space="preserve">Budovanie Centrálneho ekonomického systému je založené na implementovaní efektívnej elektronizácie podporných a administratívnych procesov, a to vrátane procesov správy a evidencie majetku štátu. Svojimi technickými a metodickými nastaveniami sa snaží CES plniť požiadavky na informatizáciu a elektronizáciu v štátnej správe.    </w:t>
      </w:r>
    </w:p>
    <w:p w14:paraId="758AB42C" w14:textId="77777777" w:rsidR="00487F2F" w:rsidRPr="00487F2F" w:rsidRDefault="00487F2F" w:rsidP="00487F2F">
      <w:pPr>
        <w:jc w:val="both"/>
        <w:rPr>
          <w:lang w:val="sk-SK"/>
        </w:rPr>
      </w:pPr>
      <w:r w:rsidRPr="00487F2F">
        <w:rPr>
          <w:lang w:val="sk-SK"/>
        </w:rPr>
        <w:t xml:space="preserve">Cieľom navrhovanej zmeny je odstránenie administratívnej záťaže pri prevode správy majetku štátu. Odstránenie tejto administratívnej záťaže by malo pozitívny vplyv na efektívnejší výkon </w:t>
      </w:r>
      <w:r w:rsidRPr="00487F2F">
        <w:rPr>
          <w:lang w:val="sk-SK"/>
        </w:rPr>
        <w:lastRenderedPageBreak/>
        <w:t xml:space="preserve">elektronických služieb v rámci štátnej správy (štátna organizácia poskytuje napr. služby katastra inej štátnej organizácii). </w:t>
      </w:r>
    </w:p>
    <w:p w14:paraId="3EFE76B7" w14:textId="608FC633" w:rsidR="00487F2F" w:rsidRPr="00E93FBA" w:rsidRDefault="006A4EF3" w:rsidP="005B2864">
      <w:pPr>
        <w:jc w:val="both"/>
        <w:rPr>
          <w:bCs/>
          <w:lang w:val="sk-SK"/>
        </w:rPr>
      </w:pPr>
      <w:r w:rsidRPr="00E93FBA">
        <w:rPr>
          <w:bCs/>
          <w:lang w:val="sk-SK"/>
        </w:rPr>
        <w:t>Dôvodom úpravy v predkladanom návrhu zákona je, že táto požiadavka vznikla v spojení s aktuálnymi realizáciami projektov informačných technológií verejnej správy.</w:t>
      </w:r>
    </w:p>
    <w:p w14:paraId="13A69CB3" w14:textId="77777777" w:rsidR="00592274" w:rsidRPr="00E93FBA" w:rsidRDefault="00592274" w:rsidP="005B2864">
      <w:pPr>
        <w:jc w:val="both"/>
        <w:rPr>
          <w:lang w:val="sk-SK"/>
        </w:rPr>
      </w:pPr>
    </w:p>
    <w:p w14:paraId="5FC55552" w14:textId="09462296" w:rsidR="0012220E" w:rsidRPr="00E93FBA" w:rsidRDefault="0012220E" w:rsidP="005B2864">
      <w:pPr>
        <w:jc w:val="both"/>
        <w:rPr>
          <w:lang w:val="sk-SK"/>
        </w:rPr>
      </w:pPr>
      <w:r w:rsidRPr="00E93FBA">
        <w:rPr>
          <w:lang w:val="sk-SK"/>
        </w:rPr>
        <w:t xml:space="preserve">K bodom </w:t>
      </w:r>
      <w:r w:rsidR="0048162E" w:rsidRPr="00E93FBA">
        <w:rPr>
          <w:lang w:val="sk-SK"/>
        </w:rPr>
        <w:t xml:space="preserve">2 až </w:t>
      </w:r>
      <w:r w:rsidR="00355C85">
        <w:rPr>
          <w:lang w:val="sk-SK"/>
        </w:rPr>
        <w:t>6</w:t>
      </w:r>
      <w:r w:rsidR="0048162E" w:rsidRPr="00E93FBA">
        <w:rPr>
          <w:lang w:val="sk-SK"/>
        </w:rPr>
        <w:t>:</w:t>
      </w:r>
    </w:p>
    <w:p w14:paraId="31F7AE99" w14:textId="64DBCFF2" w:rsidR="00C251CC" w:rsidRPr="00E93FBA" w:rsidRDefault="0025426F" w:rsidP="005B2864">
      <w:pPr>
        <w:jc w:val="both"/>
        <w:rPr>
          <w:lang w:val="sk-SK"/>
        </w:rPr>
      </w:pPr>
      <w:r w:rsidRPr="00E93FBA">
        <w:rPr>
          <w:lang w:val="sk-SK"/>
        </w:rPr>
        <w:t>Legislatívno-technická úprava súvisiaca so zmenami v regulácii zaručenej konverzie</w:t>
      </w:r>
      <w:r w:rsidR="009E0EF3" w:rsidRPr="00E93FBA">
        <w:rPr>
          <w:lang w:val="sk-SK"/>
        </w:rPr>
        <w:t xml:space="preserve"> a s vypustením inštitútu IOM</w:t>
      </w:r>
      <w:r w:rsidRPr="00E93FBA">
        <w:rPr>
          <w:lang w:val="sk-SK"/>
        </w:rPr>
        <w:t>.</w:t>
      </w:r>
    </w:p>
    <w:p w14:paraId="2DB99F3F" w14:textId="77777777" w:rsidR="00C251CC" w:rsidRPr="00E93FBA" w:rsidRDefault="00C251CC" w:rsidP="005B2864">
      <w:pPr>
        <w:jc w:val="both"/>
        <w:rPr>
          <w:lang w:val="sk-SK"/>
        </w:rPr>
      </w:pPr>
    </w:p>
    <w:p w14:paraId="14B34C7A" w14:textId="328A5B46" w:rsidR="00B269D5" w:rsidRPr="00E93FBA" w:rsidRDefault="00B269D5" w:rsidP="005B2864">
      <w:pPr>
        <w:jc w:val="both"/>
        <w:rPr>
          <w:lang w:val="sk-SK"/>
        </w:rPr>
      </w:pPr>
    </w:p>
    <w:p w14:paraId="00DC4920" w14:textId="6A03DF41" w:rsidR="00D00856" w:rsidRPr="00E93FBA" w:rsidRDefault="00D00856" w:rsidP="005B2864">
      <w:pPr>
        <w:jc w:val="both"/>
        <w:rPr>
          <w:lang w:val="sk-SK"/>
        </w:rPr>
      </w:pPr>
      <w:r w:rsidRPr="00E93FBA">
        <w:rPr>
          <w:lang w:val="sk-SK"/>
        </w:rPr>
        <w:t>K čl. IV (zákon o katastri nehnuteľností):</w:t>
      </w:r>
    </w:p>
    <w:p w14:paraId="144F2B35" w14:textId="77777777" w:rsidR="00D00856" w:rsidRPr="00E93FBA" w:rsidRDefault="00D00856" w:rsidP="00D00856">
      <w:pPr>
        <w:jc w:val="both"/>
        <w:rPr>
          <w:lang w:val="sk-SK"/>
        </w:rPr>
      </w:pPr>
      <w:r w:rsidRPr="00E93FBA">
        <w:rPr>
          <w:lang w:val="sk-SK"/>
        </w:rPr>
        <w:t>Legislatívno-technická úprava súvisiaca s vypustením inštitútu IOM.</w:t>
      </w:r>
    </w:p>
    <w:p w14:paraId="3198A3E5" w14:textId="77777777" w:rsidR="00D00856" w:rsidRPr="00E93FBA" w:rsidRDefault="00D00856" w:rsidP="005B2864">
      <w:pPr>
        <w:jc w:val="both"/>
        <w:rPr>
          <w:lang w:val="sk-SK"/>
        </w:rPr>
      </w:pPr>
    </w:p>
    <w:p w14:paraId="7B9684D5" w14:textId="77777777" w:rsidR="00D00856" w:rsidRPr="00E93FBA" w:rsidRDefault="00D00856" w:rsidP="005B2864">
      <w:pPr>
        <w:jc w:val="both"/>
        <w:rPr>
          <w:lang w:val="sk-SK"/>
        </w:rPr>
      </w:pPr>
    </w:p>
    <w:p w14:paraId="53C5C896" w14:textId="79C352CD" w:rsidR="00B269D5" w:rsidRPr="00E93FBA" w:rsidRDefault="00B269D5" w:rsidP="005B2864">
      <w:pPr>
        <w:jc w:val="both"/>
        <w:rPr>
          <w:lang w:val="sk-SK"/>
        </w:rPr>
      </w:pPr>
      <w:r w:rsidRPr="00E93FBA">
        <w:rPr>
          <w:lang w:val="sk-SK"/>
        </w:rPr>
        <w:t xml:space="preserve">K čl. </w:t>
      </w:r>
      <w:r w:rsidR="00D00856" w:rsidRPr="00E93FBA">
        <w:rPr>
          <w:lang w:val="sk-SK"/>
        </w:rPr>
        <w:t xml:space="preserve">V </w:t>
      </w:r>
      <w:r w:rsidRPr="00E93FBA">
        <w:rPr>
          <w:lang w:val="sk-SK"/>
        </w:rPr>
        <w:t>(zákon o štátnej správe v školstve a školskej samospráve)</w:t>
      </w:r>
    </w:p>
    <w:p w14:paraId="4D78CD83" w14:textId="554C6AB2" w:rsidR="00CA7DD4" w:rsidRPr="00E93FBA" w:rsidRDefault="00CA7DD4" w:rsidP="00CA7DD4">
      <w:pPr>
        <w:jc w:val="both"/>
        <w:rPr>
          <w:lang w:val="sk-SK"/>
        </w:rPr>
      </w:pPr>
      <w:r w:rsidRPr="00E93FBA">
        <w:rPr>
          <w:lang w:val="sk-SK"/>
        </w:rPr>
        <w:t xml:space="preserve">Legislatívno-technické úpravy súvisiace so zmenami v § 12 </w:t>
      </w:r>
      <w:r w:rsidR="00501625" w:rsidRPr="00E93FBA">
        <w:rPr>
          <w:lang w:val="sk-SK"/>
        </w:rPr>
        <w:t>ods. 1</w:t>
      </w:r>
      <w:r w:rsidR="008312BD" w:rsidRPr="00E93FBA">
        <w:rPr>
          <w:lang w:val="sk-SK"/>
        </w:rPr>
        <w:t>0</w:t>
      </w:r>
      <w:r w:rsidR="00501625" w:rsidRPr="00E93FBA">
        <w:rPr>
          <w:lang w:val="sk-SK"/>
        </w:rPr>
        <w:t xml:space="preserve"> zákona o e-Governmente</w:t>
      </w:r>
      <w:r w:rsidRPr="00E93FBA">
        <w:rPr>
          <w:lang w:val="sk-SK"/>
        </w:rPr>
        <w:t>.</w:t>
      </w:r>
    </w:p>
    <w:p w14:paraId="76053B84" w14:textId="77777777" w:rsidR="00B269D5" w:rsidRPr="00E93FBA" w:rsidRDefault="00B269D5" w:rsidP="005B2864">
      <w:pPr>
        <w:jc w:val="both"/>
        <w:rPr>
          <w:lang w:val="sk-SK"/>
        </w:rPr>
      </w:pPr>
    </w:p>
    <w:p w14:paraId="4B72CCBF" w14:textId="3D6B874B" w:rsidR="00B269D5" w:rsidRPr="00E93FBA" w:rsidRDefault="00B269D5" w:rsidP="005B2864">
      <w:pPr>
        <w:jc w:val="both"/>
        <w:rPr>
          <w:lang w:val="sk-SK"/>
        </w:rPr>
      </w:pPr>
    </w:p>
    <w:p w14:paraId="61321C17" w14:textId="69323A13" w:rsidR="003E2B0D" w:rsidRPr="00E93FBA" w:rsidRDefault="003E2B0D" w:rsidP="005B2864">
      <w:pPr>
        <w:jc w:val="both"/>
        <w:rPr>
          <w:lang w:val="sk-SK"/>
        </w:rPr>
      </w:pPr>
      <w:r w:rsidRPr="00E93FBA">
        <w:rPr>
          <w:lang w:val="sk-SK"/>
        </w:rPr>
        <w:t>K čl. VI (zákon o registri trestov):</w:t>
      </w:r>
    </w:p>
    <w:p w14:paraId="6F6E62D1" w14:textId="77777777" w:rsidR="003E2B0D" w:rsidRPr="00E93FBA" w:rsidRDefault="003E2B0D" w:rsidP="003E2B0D">
      <w:pPr>
        <w:jc w:val="both"/>
        <w:rPr>
          <w:lang w:val="sk-SK"/>
        </w:rPr>
      </w:pPr>
      <w:r w:rsidRPr="00E93FBA">
        <w:rPr>
          <w:lang w:val="sk-SK"/>
        </w:rPr>
        <w:t>Legislatívno-technická úprava súvisiaca s vypustením inštitútu IOM.</w:t>
      </w:r>
    </w:p>
    <w:p w14:paraId="46EAED21" w14:textId="68E6DA16" w:rsidR="003E2B0D" w:rsidRPr="00E93FBA" w:rsidRDefault="003E2B0D" w:rsidP="005B2864">
      <w:pPr>
        <w:jc w:val="both"/>
        <w:rPr>
          <w:lang w:val="sk-SK"/>
        </w:rPr>
      </w:pPr>
    </w:p>
    <w:p w14:paraId="4CAFFA06" w14:textId="77777777" w:rsidR="00726766" w:rsidRPr="00E93FBA" w:rsidRDefault="00726766" w:rsidP="005B2864">
      <w:pPr>
        <w:jc w:val="both"/>
        <w:rPr>
          <w:lang w:val="sk-SK"/>
        </w:rPr>
      </w:pPr>
    </w:p>
    <w:p w14:paraId="0C845A43" w14:textId="03A43BD4" w:rsidR="00726766" w:rsidRPr="00E93FBA" w:rsidRDefault="00726766" w:rsidP="005B2864">
      <w:pPr>
        <w:jc w:val="both"/>
        <w:rPr>
          <w:lang w:val="sk-SK"/>
        </w:rPr>
      </w:pPr>
      <w:r w:rsidRPr="00E93FBA">
        <w:rPr>
          <w:lang w:val="sk-SK"/>
        </w:rPr>
        <w:t>K čl. VII (daňový poriadok)</w:t>
      </w:r>
    </w:p>
    <w:p w14:paraId="36DA0A4F" w14:textId="0A915FB5" w:rsidR="00B43D86" w:rsidRPr="00E93FBA" w:rsidRDefault="00B43D86" w:rsidP="00B43D86">
      <w:pPr>
        <w:jc w:val="both"/>
        <w:rPr>
          <w:lang w:val="sk-SK"/>
        </w:rPr>
      </w:pPr>
      <w:r w:rsidRPr="00E93FBA">
        <w:rPr>
          <w:lang w:val="sk-SK"/>
        </w:rPr>
        <w:t xml:space="preserve">K bodu </w:t>
      </w:r>
      <w:r w:rsidR="005C06E5">
        <w:rPr>
          <w:lang w:val="sk-SK"/>
        </w:rPr>
        <w:t>1</w:t>
      </w:r>
      <w:r w:rsidRPr="00E93FBA">
        <w:rPr>
          <w:lang w:val="sk-SK"/>
        </w:rPr>
        <w:t xml:space="preserve"> (odkaz 29):</w:t>
      </w:r>
    </w:p>
    <w:p w14:paraId="65CA5409" w14:textId="77777777" w:rsidR="00B43D86" w:rsidRPr="00E93FBA" w:rsidRDefault="00B43D86" w:rsidP="00B43D86">
      <w:pPr>
        <w:jc w:val="both"/>
        <w:rPr>
          <w:lang w:val="sk-SK"/>
        </w:rPr>
      </w:pPr>
      <w:r w:rsidRPr="00E93FBA">
        <w:rPr>
          <w:lang w:val="sk-SK"/>
        </w:rPr>
        <w:t>Navrhuje sa upraviť znenie poznámky pod čiarou, a to z dôvodu, že odkazovalo na právny predpis, ktorý sa na účely doručovania už nepoužíva. Aj touto zmenou sa vyjadruje fakt, že na účely doručovania úradných dokumentov správcom dane sa doručuje do elektronických schránok podľa zákona o e-Governmente a postupom zákona o e-Governmente.</w:t>
      </w:r>
    </w:p>
    <w:p w14:paraId="1E06C738" w14:textId="77777777" w:rsidR="00B43D86" w:rsidRPr="00E93FBA" w:rsidRDefault="00B43D86" w:rsidP="00B43D86">
      <w:pPr>
        <w:jc w:val="both"/>
        <w:rPr>
          <w:lang w:val="sk-SK"/>
        </w:rPr>
      </w:pPr>
    </w:p>
    <w:p w14:paraId="0515830B" w14:textId="06114F91" w:rsidR="00B43D86" w:rsidRPr="00E93FBA" w:rsidRDefault="00B43D86" w:rsidP="00B43D86">
      <w:pPr>
        <w:jc w:val="both"/>
        <w:rPr>
          <w:lang w:val="sk-SK"/>
        </w:rPr>
      </w:pPr>
      <w:r w:rsidRPr="00E93FBA">
        <w:rPr>
          <w:lang w:val="sk-SK"/>
        </w:rPr>
        <w:t xml:space="preserve">K bodu </w:t>
      </w:r>
      <w:r w:rsidR="005C06E5">
        <w:rPr>
          <w:lang w:val="sk-SK"/>
        </w:rPr>
        <w:t>2</w:t>
      </w:r>
      <w:r w:rsidRPr="00E93FBA">
        <w:rPr>
          <w:lang w:val="sk-SK"/>
        </w:rPr>
        <w:t xml:space="preserve"> (§ 32 ods. 4):</w:t>
      </w:r>
    </w:p>
    <w:p w14:paraId="2550EC5A" w14:textId="21B9C732" w:rsidR="00B43D86" w:rsidRPr="00E93FBA" w:rsidRDefault="00B43D86" w:rsidP="00B43D86">
      <w:pPr>
        <w:jc w:val="both"/>
        <w:rPr>
          <w:lang w:val="sk-SK"/>
        </w:rPr>
      </w:pPr>
      <w:r w:rsidRPr="00E93FBA">
        <w:rPr>
          <w:lang w:val="sk-SK"/>
        </w:rPr>
        <w:t>Zákon o e-Governmente na účely zriaďovania schránok vychádza z pravidla „jedna schránka pre jedno právne postavenie“ a tieto právne postavenia sa v prípade konania podľa Daňového poriadku nezhodujú s postavením daňového subjektu (správca dane nemusí nevyhnutne rozlišovať medzi fyzickou osobou a fyzickou osobou podnikateľom, obe postavenie môžu byť subsumované pod daňový subjekt). Z uvedeného dôvodu sa navrhuje explicitne vyjadriť pravidlo, podľa ktorého správca dane v takomto prípade má možnosť voľby, do ktorej schránky (do schránky</w:t>
      </w:r>
      <w:r w:rsidR="004B1320">
        <w:rPr>
          <w:lang w:val="sk-SK"/>
        </w:rPr>
        <w:t>,</w:t>
      </w:r>
      <w:r w:rsidRPr="00E93FBA">
        <w:rPr>
          <w:lang w:val="sk-SK"/>
        </w:rPr>
        <w:t xml:space="preserve"> pre ktoré právne postavenie) elektronický dokument doručí. Doručenie do ktorejkoľvek z aktivovaných schránok bude na účely daňového konania riadnym doručením, ak má daňový subjekt viacero elektronických schránok.</w:t>
      </w:r>
    </w:p>
    <w:p w14:paraId="2C880ABE" w14:textId="77777777" w:rsidR="00B43D86" w:rsidRPr="00E93FBA" w:rsidRDefault="00B43D86" w:rsidP="00B43D86">
      <w:pPr>
        <w:jc w:val="both"/>
        <w:rPr>
          <w:lang w:val="sk-SK"/>
        </w:rPr>
      </w:pPr>
    </w:p>
    <w:p w14:paraId="7A10F0E3" w14:textId="6126129D" w:rsidR="00B43D86" w:rsidRPr="00E93FBA" w:rsidRDefault="00B43D86" w:rsidP="00B43D86">
      <w:pPr>
        <w:jc w:val="both"/>
        <w:rPr>
          <w:lang w:val="sk-SK"/>
        </w:rPr>
      </w:pPr>
      <w:r w:rsidRPr="00E93FBA">
        <w:rPr>
          <w:lang w:val="sk-SK"/>
        </w:rPr>
        <w:t xml:space="preserve">K bodu </w:t>
      </w:r>
      <w:r w:rsidR="005C06E5">
        <w:rPr>
          <w:lang w:val="sk-SK"/>
        </w:rPr>
        <w:t>3</w:t>
      </w:r>
      <w:r w:rsidRPr="00E93FBA">
        <w:rPr>
          <w:lang w:val="sk-SK"/>
        </w:rPr>
        <w:t xml:space="preserve"> (§ 33 ods. 3):</w:t>
      </w:r>
    </w:p>
    <w:p w14:paraId="4053AA6D" w14:textId="2B055717" w:rsidR="00726766" w:rsidRPr="00E93FBA" w:rsidRDefault="00B43D86" w:rsidP="00B43D86">
      <w:pPr>
        <w:jc w:val="both"/>
        <w:rPr>
          <w:lang w:val="sk-SK"/>
        </w:rPr>
      </w:pPr>
      <w:r w:rsidRPr="00E93FBA">
        <w:rPr>
          <w:lang w:val="sk-SK"/>
        </w:rPr>
        <w:t xml:space="preserve">Elektronická osobná schránka ako inštitút zostáva zachovaná, pre doručenie v prípadoch, kedy sa podľa osobitných predpisov nedoručuje do elektronickej schránky podľa zákona o e-Governmente. Na tento účel zostáva zachovaná aj úprava § 32 ods. 5 a 6. Aby sa predišlo prípadným výkladovým nejasnostiam navrhuje sa ustanoviť, že </w:t>
      </w:r>
      <w:r w:rsidR="001B2A04">
        <w:rPr>
          <w:lang w:val="sk-SK"/>
        </w:rPr>
        <w:t>ak sa doručuje</w:t>
      </w:r>
      <w:r w:rsidR="007148E7">
        <w:rPr>
          <w:lang w:val="sk-SK"/>
        </w:rPr>
        <w:t xml:space="preserve"> podľa zákona o e-Governmente, tak </w:t>
      </w:r>
      <w:r w:rsidRPr="00E93FBA">
        <w:rPr>
          <w:lang w:val="sk-SK"/>
        </w:rPr>
        <w:t>komunikácia cez elektronickú osobnú schránku nenahrádza doručovanie do elektronickej schránky podľa zákona o e-Governmente.</w:t>
      </w:r>
    </w:p>
    <w:p w14:paraId="7B497247" w14:textId="37052B06" w:rsidR="003E2B0D" w:rsidRPr="00E93FBA" w:rsidRDefault="003E2B0D" w:rsidP="005B2864">
      <w:pPr>
        <w:jc w:val="both"/>
        <w:rPr>
          <w:lang w:val="sk-SK"/>
        </w:rPr>
      </w:pPr>
    </w:p>
    <w:p w14:paraId="7982BA5E" w14:textId="77777777" w:rsidR="00946F54" w:rsidRPr="00E93FBA" w:rsidRDefault="00946F54" w:rsidP="005B2864">
      <w:pPr>
        <w:jc w:val="both"/>
        <w:rPr>
          <w:lang w:val="sk-SK"/>
        </w:rPr>
      </w:pPr>
    </w:p>
    <w:p w14:paraId="32FBF24D" w14:textId="54E8F9AC" w:rsidR="00C1372C" w:rsidRPr="00E93FBA" w:rsidRDefault="003E2B0D" w:rsidP="005B2864">
      <w:pPr>
        <w:jc w:val="both"/>
        <w:rPr>
          <w:lang w:val="sk-SK"/>
        </w:rPr>
      </w:pPr>
      <w:r w:rsidRPr="00E93FBA">
        <w:rPr>
          <w:lang w:val="sk-SK"/>
        </w:rPr>
        <w:t>K čl. V</w:t>
      </w:r>
      <w:r w:rsidR="00726766" w:rsidRPr="00E93FBA">
        <w:rPr>
          <w:lang w:val="sk-SK"/>
        </w:rPr>
        <w:t>I</w:t>
      </w:r>
      <w:r w:rsidRPr="00E93FBA">
        <w:rPr>
          <w:lang w:val="sk-SK"/>
        </w:rPr>
        <w:t xml:space="preserve">II </w:t>
      </w:r>
      <w:r w:rsidR="009A1C6A" w:rsidRPr="00E93FBA">
        <w:rPr>
          <w:lang w:val="sk-SK"/>
        </w:rPr>
        <w:t>(zákon o pozemkových spoločenstvách):</w:t>
      </w:r>
    </w:p>
    <w:p w14:paraId="73FD6F01" w14:textId="21B88337" w:rsidR="00657D51" w:rsidRPr="00E93FBA" w:rsidRDefault="009A1C6A" w:rsidP="005B2864">
      <w:pPr>
        <w:jc w:val="both"/>
        <w:rPr>
          <w:lang w:val="sk-SK"/>
        </w:rPr>
      </w:pPr>
      <w:r w:rsidRPr="00E93FBA">
        <w:rPr>
          <w:lang w:val="sk-SK"/>
        </w:rPr>
        <w:lastRenderedPageBreak/>
        <w:t>S cieľom sfunkčnenia a zefektívnenia procesu aktivácie elektronických schránok pozemkových spoločenstiev, keď je nevyhnutná jednoznačná identifikácia osôb oprávnených konať za spoločenstvo, vrátane osoby oprávnenej pristupovať a disponovať s elektronickou schránkou spoločenstva. Obdobný návrh bol uplatnený už v rámci tzv. návrhu zákona o údajoch, avšak tento zákon nebol postúpený do ďalšieho legislatívneho procesu. Údaje umožňujúce prístup sú preto až do súčasnosti riešené prostredníctvom provizórnych riešení a ich aplikácia je problematická. Preto sa navrhuje zaradenie týchto ustanovení do novely zákona o e-</w:t>
      </w:r>
      <w:r w:rsidR="00657D51" w:rsidRPr="00E93FBA">
        <w:rPr>
          <w:lang w:val="sk-SK"/>
        </w:rPr>
        <w:t>Governmente</w:t>
      </w:r>
      <w:r w:rsidRPr="00E93FBA">
        <w:rPr>
          <w:lang w:val="sk-SK"/>
        </w:rPr>
        <w:t xml:space="preserve">, s ktorým problematika priamo súvisí a umožní sa tým zabezpečenie riadneho a trvalého riešenia prístupu oprávnených osôb k elektronickým schránkam. </w:t>
      </w:r>
    </w:p>
    <w:p w14:paraId="2B914C48" w14:textId="77777777" w:rsidR="00657D51" w:rsidRPr="00E93FBA" w:rsidRDefault="00657D51" w:rsidP="005B2864">
      <w:pPr>
        <w:jc w:val="both"/>
        <w:rPr>
          <w:lang w:val="sk-SK"/>
        </w:rPr>
      </w:pPr>
    </w:p>
    <w:p w14:paraId="5F25CA2F" w14:textId="339B80F3" w:rsidR="00ED2893" w:rsidRPr="00E93FBA" w:rsidRDefault="00657D51" w:rsidP="005B2864">
      <w:pPr>
        <w:jc w:val="both"/>
        <w:rPr>
          <w:lang w:val="sk-SK"/>
        </w:rPr>
      </w:pPr>
      <w:r w:rsidRPr="00E93FBA">
        <w:rPr>
          <w:lang w:val="sk-SK"/>
        </w:rPr>
        <w:t>K bodu 1</w:t>
      </w:r>
      <w:r w:rsidR="00ED2893" w:rsidRPr="00E93FBA">
        <w:rPr>
          <w:lang w:val="sk-SK"/>
        </w:rPr>
        <w:t xml:space="preserve"> [§ 23 ods. 1 písm. e)]</w:t>
      </w:r>
      <w:r w:rsidR="009A1C6A" w:rsidRPr="00E93FBA">
        <w:rPr>
          <w:lang w:val="sk-SK"/>
        </w:rPr>
        <w:t xml:space="preserve">: </w:t>
      </w:r>
    </w:p>
    <w:p w14:paraId="7B3E1ADB" w14:textId="77777777" w:rsidR="00ED2893" w:rsidRPr="00E93FBA" w:rsidRDefault="009A1C6A" w:rsidP="005B2864">
      <w:pPr>
        <w:jc w:val="both"/>
        <w:rPr>
          <w:lang w:val="sk-SK"/>
        </w:rPr>
      </w:pPr>
      <w:r w:rsidRPr="00E93FBA">
        <w:rPr>
          <w:lang w:val="sk-SK"/>
        </w:rPr>
        <w:t xml:space="preserve">Z hľadiska potreby komplexnosti a nezameniteľnosti údajov o členoch volených orgánov pozemkových spoločenstiev a osôb oprávnených konať za pozemkové spoločenstvo je vhodné, aby jednoznačný osobný identifikátor bol uvedený aj pri členoch výboru a dozornej rady. </w:t>
      </w:r>
    </w:p>
    <w:p w14:paraId="1419205F" w14:textId="77777777" w:rsidR="00ED2893" w:rsidRPr="00E93FBA" w:rsidRDefault="00ED2893" w:rsidP="005B2864">
      <w:pPr>
        <w:jc w:val="both"/>
        <w:rPr>
          <w:lang w:val="sk-SK"/>
        </w:rPr>
      </w:pPr>
    </w:p>
    <w:p w14:paraId="2980ACAE" w14:textId="43148085" w:rsidR="00ED2893" w:rsidRPr="00E93FBA" w:rsidRDefault="00ED2893" w:rsidP="005B2864">
      <w:pPr>
        <w:jc w:val="both"/>
        <w:rPr>
          <w:lang w:val="sk-SK"/>
        </w:rPr>
      </w:pPr>
      <w:r w:rsidRPr="00E93FBA">
        <w:rPr>
          <w:lang w:val="sk-SK"/>
        </w:rPr>
        <w:t>K</w:t>
      </w:r>
      <w:r w:rsidR="009A1C6A" w:rsidRPr="00E93FBA">
        <w:rPr>
          <w:lang w:val="sk-SK"/>
        </w:rPr>
        <w:t xml:space="preserve"> bodu 2</w:t>
      </w:r>
      <w:r w:rsidRPr="00E93FBA">
        <w:rPr>
          <w:lang w:val="sk-SK"/>
        </w:rPr>
        <w:t xml:space="preserve"> [§ 23 ods. 1 písm. f)]</w:t>
      </w:r>
      <w:r w:rsidR="009A1C6A" w:rsidRPr="00E93FBA">
        <w:rPr>
          <w:lang w:val="sk-SK"/>
        </w:rPr>
        <w:t xml:space="preserve">: </w:t>
      </w:r>
    </w:p>
    <w:p w14:paraId="3B14612D" w14:textId="77777777" w:rsidR="00226EEB" w:rsidRPr="00E93FBA" w:rsidRDefault="009A1C6A" w:rsidP="005B2864">
      <w:pPr>
        <w:jc w:val="both"/>
        <w:rPr>
          <w:lang w:val="sk-SK"/>
        </w:rPr>
      </w:pPr>
      <w:r w:rsidRPr="00E93FBA">
        <w:rPr>
          <w:lang w:val="sk-SK"/>
        </w:rPr>
        <w:t xml:space="preserve">Z hľadiska jednoznačnosti priradenia oprávnení vstupovať do elektronickej schránky spoločenstva a nakladať s ňou je vhodné osobitne uvádzať fyzickú osobu oprávnenú nakladať s touto elektronickou schránkou spoločenstva a to najmä v prípadoch, ak toto oprávnenie nemá predseda spoločenstva, alebo ak je za predsedu alebo člena spoločenstva zvolená právnická osoba, ktorá je členom spoločenstva. </w:t>
      </w:r>
    </w:p>
    <w:p w14:paraId="72E94F45" w14:textId="77777777" w:rsidR="00226EEB" w:rsidRPr="00E93FBA" w:rsidRDefault="00226EEB" w:rsidP="005B2864">
      <w:pPr>
        <w:jc w:val="both"/>
        <w:rPr>
          <w:lang w:val="sk-SK"/>
        </w:rPr>
      </w:pPr>
    </w:p>
    <w:p w14:paraId="0C536D63" w14:textId="04934BFB" w:rsidR="00226EEB" w:rsidRPr="00E93FBA" w:rsidRDefault="00226EEB" w:rsidP="005B2864">
      <w:pPr>
        <w:jc w:val="both"/>
        <w:rPr>
          <w:lang w:val="sk-SK"/>
        </w:rPr>
      </w:pPr>
      <w:r w:rsidRPr="00E93FBA">
        <w:rPr>
          <w:lang w:val="sk-SK"/>
        </w:rPr>
        <w:t>K</w:t>
      </w:r>
      <w:r w:rsidR="009A1C6A" w:rsidRPr="00E93FBA">
        <w:rPr>
          <w:lang w:val="sk-SK"/>
        </w:rPr>
        <w:t xml:space="preserve"> bodu 3</w:t>
      </w:r>
      <w:r w:rsidRPr="00E93FBA">
        <w:rPr>
          <w:lang w:val="sk-SK"/>
        </w:rPr>
        <w:t xml:space="preserve"> (§ 23 ods. 3)</w:t>
      </w:r>
      <w:r w:rsidR="009A1C6A" w:rsidRPr="00E93FBA">
        <w:rPr>
          <w:lang w:val="sk-SK"/>
        </w:rPr>
        <w:t>:</w:t>
      </w:r>
    </w:p>
    <w:p w14:paraId="612471F4" w14:textId="21D6919C" w:rsidR="00226EEB" w:rsidRPr="00E93FBA" w:rsidRDefault="009A1C6A" w:rsidP="005B2864">
      <w:pPr>
        <w:jc w:val="both"/>
        <w:rPr>
          <w:lang w:val="sk-SK"/>
        </w:rPr>
      </w:pPr>
      <w:r w:rsidRPr="00E93FBA">
        <w:rPr>
          <w:lang w:val="sk-SK"/>
        </w:rPr>
        <w:t xml:space="preserve">Z dôvodu ochrany osobných údajov sa vo verejne prístupnom registri navrhuje nezverejňovať dátum narodenia a rodné číslo fyzickej osoby. Ochranu rodného čísla, ako osobného údaju, je potrebné zabezpečiť aj pri vydávaní výpisu z registra pozemkových spoločenstiev. Údaj o dátume narodenia však navrhujeme ponechať ako súčasť výpisu vzhľadom na to, že výpis býva používaný pri komunikácii s orgánmi verejnej správy, poisťovňami, bankami a pod., kedy je potrebná nezameniteľná identifikácia osôb. </w:t>
      </w:r>
    </w:p>
    <w:p w14:paraId="19B7B701" w14:textId="77777777" w:rsidR="00226EEB" w:rsidRPr="00E93FBA" w:rsidRDefault="00226EEB" w:rsidP="005B2864">
      <w:pPr>
        <w:jc w:val="both"/>
        <w:rPr>
          <w:lang w:val="sk-SK"/>
        </w:rPr>
      </w:pPr>
    </w:p>
    <w:p w14:paraId="3D608241" w14:textId="7BC52B97" w:rsidR="00226EEB" w:rsidRPr="00E93FBA" w:rsidRDefault="00226EEB" w:rsidP="005B2864">
      <w:pPr>
        <w:jc w:val="both"/>
        <w:rPr>
          <w:lang w:val="sk-SK"/>
        </w:rPr>
      </w:pPr>
      <w:r w:rsidRPr="00E93FBA">
        <w:rPr>
          <w:lang w:val="sk-SK"/>
        </w:rPr>
        <w:t>K</w:t>
      </w:r>
      <w:r w:rsidR="009A1C6A" w:rsidRPr="00E93FBA">
        <w:rPr>
          <w:lang w:val="sk-SK"/>
        </w:rPr>
        <w:t xml:space="preserve"> bodu 4</w:t>
      </w:r>
      <w:r w:rsidRPr="00E93FBA">
        <w:rPr>
          <w:lang w:val="sk-SK"/>
        </w:rPr>
        <w:t xml:space="preserve"> (§ 25 ods. 1)</w:t>
      </w:r>
      <w:r w:rsidR="009A1C6A" w:rsidRPr="00E93FBA">
        <w:rPr>
          <w:lang w:val="sk-SK"/>
        </w:rPr>
        <w:t xml:space="preserve">: </w:t>
      </w:r>
    </w:p>
    <w:p w14:paraId="6AD028D5" w14:textId="3787614B" w:rsidR="00226EEB" w:rsidRPr="00E93FBA" w:rsidRDefault="009A1C6A" w:rsidP="005B2864">
      <w:pPr>
        <w:jc w:val="both"/>
        <w:rPr>
          <w:lang w:val="sk-SK"/>
        </w:rPr>
      </w:pPr>
      <w:r w:rsidRPr="00E93FBA">
        <w:rPr>
          <w:lang w:val="sk-SK"/>
        </w:rPr>
        <w:t>Z</w:t>
      </w:r>
      <w:r w:rsidR="00226EEB" w:rsidRPr="00E93FBA">
        <w:rPr>
          <w:lang w:val="sk-SK"/>
        </w:rPr>
        <w:t> </w:t>
      </w:r>
      <w:r w:rsidRPr="00E93FBA">
        <w:rPr>
          <w:lang w:val="sk-SK"/>
        </w:rPr>
        <w:t>hľadiska princípu znižovania administratívnej záťaže sa neohlasujú zmeny údajov, ktoré si orgány verejnej moci získavajú z</w:t>
      </w:r>
      <w:r w:rsidR="00226EEB" w:rsidRPr="00E93FBA">
        <w:rPr>
          <w:lang w:val="sk-SK"/>
        </w:rPr>
        <w:t> </w:t>
      </w:r>
      <w:r w:rsidRPr="00E93FBA">
        <w:rPr>
          <w:lang w:val="sk-SK"/>
        </w:rPr>
        <w:t>úradnej povinnosti. Ide najmä o</w:t>
      </w:r>
      <w:r w:rsidR="00226EEB" w:rsidRPr="00E93FBA">
        <w:rPr>
          <w:lang w:val="sk-SK"/>
        </w:rPr>
        <w:t> </w:t>
      </w:r>
      <w:r w:rsidRPr="00E93FBA">
        <w:rPr>
          <w:lang w:val="sk-SK"/>
        </w:rPr>
        <w:t>údaje, ktoré sú orgány povinné získavať prostredníctvom referencovania príslušných hodnôt z</w:t>
      </w:r>
      <w:r w:rsidR="00226EEB" w:rsidRPr="00E93FBA">
        <w:rPr>
          <w:lang w:val="sk-SK"/>
        </w:rPr>
        <w:t> </w:t>
      </w:r>
      <w:r w:rsidRPr="00E93FBA">
        <w:rPr>
          <w:lang w:val="sk-SK"/>
        </w:rPr>
        <w:t xml:space="preserve">referencovaných údajov. </w:t>
      </w:r>
    </w:p>
    <w:p w14:paraId="725563DD" w14:textId="77777777" w:rsidR="00226EEB" w:rsidRPr="00E93FBA" w:rsidRDefault="00226EEB" w:rsidP="005B2864">
      <w:pPr>
        <w:jc w:val="both"/>
        <w:rPr>
          <w:lang w:val="sk-SK"/>
        </w:rPr>
      </w:pPr>
    </w:p>
    <w:p w14:paraId="7F46FDA8" w14:textId="4185CF0B" w:rsidR="00226EEB" w:rsidRPr="00E93FBA" w:rsidRDefault="00226EEB" w:rsidP="005B2864">
      <w:pPr>
        <w:jc w:val="both"/>
        <w:rPr>
          <w:lang w:val="sk-SK"/>
        </w:rPr>
      </w:pPr>
      <w:r w:rsidRPr="00E93FBA">
        <w:rPr>
          <w:lang w:val="sk-SK"/>
        </w:rPr>
        <w:t>K</w:t>
      </w:r>
      <w:r w:rsidR="009A1C6A" w:rsidRPr="00E93FBA">
        <w:rPr>
          <w:lang w:val="sk-SK"/>
        </w:rPr>
        <w:t xml:space="preserve"> bodu 5</w:t>
      </w:r>
      <w:r w:rsidRPr="00E93FBA">
        <w:rPr>
          <w:lang w:val="sk-SK"/>
        </w:rPr>
        <w:t xml:space="preserve"> (§ 28 ods. 1)</w:t>
      </w:r>
      <w:r w:rsidR="009A1C6A" w:rsidRPr="00E93FBA">
        <w:rPr>
          <w:lang w:val="sk-SK"/>
        </w:rPr>
        <w:t xml:space="preserve">: </w:t>
      </w:r>
    </w:p>
    <w:p w14:paraId="7074D7CE" w14:textId="77777777" w:rsidR="00226EEB" w:rsidRPr="00E93FBA" w:rsidRDefault="009A1C6A" w:rsidP="005B2864">
      <w:pPr>
        <w:jc w:val="both"/>
        <w:rPr>
          <w:lang w:val="sk-SK"/>
        </w:rPr>
      </w:pPr>
      <w:r w:rsidRPr="00E93FBA">
        <w:rPr>
          <w:lang w:val="sk-SK"/>
        </w:rPr>
        <w:t xml:space="preserve">Povinnosť oznámiť údaje o rodnom čísle je potrebné účinne vynútiť, preto je potrebné, aby túto povinnosť mohol v prípade nesplnenia účinne vynútiť okresný úrad v rámci štátneho dozoru. </w:t>
      </w:r>
    </w:p>
    <w:p w14:paraId="459C99D2" w14:textId="77777777" w:rsidR="00226EEB" w:rsidRPr="00E93FBA" w:rsidRDefault="00226EEB" w:rsidP="005B2864">
      <w:pPr>
        <w:jc w:val="both"/>
        <w:rPr>
          <w:lang w:val="sk-SK"/>
        </w:rPr>
      </w:pPr>
    </w:p>
    <w:p w14:paraId="7670FC01" w14:textId="4564B190" w:rsidR="00226EEB" w:rsidRPr="00E93FBA" w:rsidRDefault="00226EEB" w:rsidP="005B2864">
      <w:pPr>
        <w:jc w:val="both"/>
        <w:rPr>
          <w:lang w:val="sk-SK"/>
        </w:rPr>
      </w:pPr>
      <w:r w:rsidRPr="00E93FBA">
        <w:rPr>
          <w:lang w:val="sk-SK"/>
        </w:rPr>
        <w:t>K</w:t>
      </w:r>
      <w:r w:rsidR="009A1C6A" w:rsidRPr="00E93FBA">
        <w:rPr>
          <w:lang w:val="sk-SK"/>
        </w:rPr>
        <w:t xml:space="preserve"> bodu 6</w:t>
      </w:r>
      <w:r w:rsidRPr="00E93FBA">
        <w:rPr>
          <w:lang w:val="sk-SK"/>
        </w:rPr>
        <w:t xml:space="preserve"> (§ 32c)</w:t>
      </w:r>
      <w:r w:rsidR="009A1C6A" w:rsidRPr="00E93FBA">
        <w:rPr>
          <w:lang w:val="sk-SK"/>
        </w:rPr>
        <w:t xml:space="preserve">: </w:t>
      </w:r>
    </w:p>
    <w:p w14:paraId="1EF654D2" w14:textId="3C99E19C" w:rsidR="009A1C6A" w:rsidRPr="00E93FBA" w:rsidRDefault="009A1C6A" w:rsidP="005B2864">
      <w:pPr>
        <w:jc w:val="both"/>
        <w:rPr>
          <w:lang w:val="sk-SK"/>
        </w:rPr>
      </w:pPr>
      <w:r w:rsidRPr="00E93FBA">
        <w:rPr>
          <w:lang w:val="sk-SK"/>
        </w:rPr>
        <w:t>V rámci prechodných ustanovení sa dopĺňa povinnosť pozemkových spoločenstiev oznámiť údaje o rodnom čísle k už zapísaným osobám konať za spoločenstvo a osobám v orgánoch spoločenstva tak, aby boli údaje v zdrojoch registra pre potreby jednoznačnej identifikácie osôb úplné. Keďže ide o dodatočný zápis údajov, nie o zápis zmien v orgánoch spoločenstva, nemožno tento návrh na zápis vyplývajúci zo zákonnej povinnosti považovať za takú zmenu údajov, ktorá by oprávňovala na výber správneho poplatku súvisiaceho so zápisom zmien na základe rozhodnutia pozemkového spoločenstva.</w:t>
      </w:r>
    </w:p>
    <w:p w14:paraId="3F819186" w14:textId="77777777" w:rsidR="00C1372C" w:rsidRPr="00E93FBA" w:rsidRDefault="00C1372C" w:rsidP="005B2864">
      <w:pPr>
        <w:jc w:val="both"/>
        <w:rPr>
          <w:lang w:val="sk-SK"/>
        </w:rPr>
      </w:pPr>
    </w:p>
    <w:p w14:paraId="035E5BC3" w14:textId="77777777" w:rsidR="00226EEB" w:rsidRPr="00E93FBA" w:rsidRDefault="00226EEB" w:rsidP="005B2864">
      <w:pPr>
        <w:jc w:val="both"/>
        <w:rPr>
          <w:lang w:val="sk-SK"/>
        </w:rPr>
      </w:pPr>
    </w:p>
    <w:p w14:paraId="5C504BD6" w14:textId="07D7E9DF" w:rsidR="003E2B0D" w:rsidRPr="00E93FBA" w:rsidRDefault="00C1372C" w:rsidP="005B2864">
      <w:pPr>
        <w:jc w:val="both"/>
        <w:rPr>
          <w:lang w:val="sk-SK"/>
        </w:rPr>
      </w:pPr>
      <w:r w:rsidRPr="00E93FBA">
        <w:rPr>
          <w:lang w:val="sk-SK"/>
        </w:rPr>
        <w:lastRenderedPageBreak/>
        <w:t>K čl. IX</w:t>
      </w:r>
      <w:r w:rsidR="00946F54" w:rsidRPr="00E93FBA">
        <w:rPr>
          <w:lang w:val="sk-SK"/>
        </w:rPr>
        <w:t xml:space="preserve"> </w:t>
      </w:r>
      <w:r w:rsidR="003E2B0D" w:rsidRPr="00E93FBA">
        <w:rPr>
          <w:lang w:val="sk-SK"/>
        </w:rPr>
        <w:t>(zákon o upomínacom konaní):</w:t>
      </w:r>
    </w:p>
    <w:p w14:paraId="5D774B9B" w14:textId="30ED943E" w:rsidR="003E2B0D" w:rsidRPr="00E93FBA" w:rsidRDefault="003E2B0D" w:rsidP="005B2864">
      <w:pPr>
        <w:jc w:val="both"/>
        <w:rPr>
          <w:lang w:val="sk-SK"/>
        </w:rPr>
      </w:pPr>
      <w:r w:rsidRPr="00E93FBA">
        <w:rPr>
          <w:lang w:val="sk-SK"/>
        </w:rPr>
        <w:t>Legislatívno-technická úprava súvisiaca s vypustením inštitútu IOM.</w:t>
      </w:r>
    </w:p>
    <w:p w14:paraId="3B7BDEDE" w14:textId="77777777" w:rsidR="003E2B0D" w:rsidRPr="00E93FBA" w:rsidRDefault="003E2B0D" w:rsidP="005B2864">
      <w:pPr>
        <w:jc w:val="both"/>
        <w:rPr>
          <w:lang w:val="sk-SK"/>
        </w:rPr>
      </w:pPr>
    </w:p>
    <w:p w14:paraId="79FE6AD3" w14:textId="77777777" w:rsidR="00226EEB" w:rsidRPr="00E93FBA" w:rsidRDefault="00226EEB" w:rsidP="005B2864">
      <w:pPr>
        <w:jc w:val="both"/>
        <w:rPr>
          <w:lang w:val="sk-SK"/>
        </w:rPr>
      </w:pPr>
    </w:p>
    <w:p w14:paraId="1F9359E8" w14:textId="0B9B7831" w:rsidR="00164FE5" w:rsidRPr="00E93FBA" w:rsidRDefault="00164FE5" w:rsidP="005B2864">
      <w:pPr>
        <w:jc w:val="both"/>
        <w:rPr>
          <w:lang w:val="sk-SK"/>
        </w:rPr>
      </w:pPr>
      <w:r w:rsidRPr="00E93FBA">
        <w:rPr>
          <w:lang w:val="sk-SK"/>
        </w:rPr>
        <w:t xml:space="preserve">K čl. </w:t>
      </w:r>
      <w:r w:rsidR="00726766" w:rsidRPr="00E93FBA">
        <w:rPr>
          <w:lang w:val="sk-SK"/>
        </w:rPr>
        <w:t>X</w:t>
      </w:r>
      <w:r w:rsidRPr="00E93FBA">
        <w:rPr>
          <w:lang w:val="sk-SK"/>
        </w:rPr>
        <w:t xml:space="preserve"> (zákon o informačných technológiách vo verejnej správe)</w:t>
      </w:r>
    </w:p>
    <w:p w14:paraId="272BE88F" w14:textId="77777777" w:rsidR="0046630A" w:rsidRPr="00E93FBA" w:rsidRDefault="0046630A" w:rsidP="005B2864">
      <w:pPr>
        <w:jc w:val="both"/>
        <w:rPr>
          <w:lang w:val="sk-SK"/>
        </w:rPr>
      </w:pPr>
    </w:p>
    <w:p w14:paraId="1BF3846C" w14:textId="73693BE6" w:rsidR="006D1410" w:rsidRPr="00E93FBA" w:rsidRDefault="000E1866" w:rsidP="005B2864">
      <w:pPr>
        <w:jc w:val="both"/>
        <w:rPr>
          <w:lang w:val="sk-SK"/>
        </w:rPr>
      </w:pPr>
      <w:r w:rsidRPr="00E93FBA">
        <w:rPr>
          <w:lang w:val="sk-SK"/>
        </w:rPr>
        <w:t xml:space="preserve">K bodu 1 </w:t>
      </w:r>
      <w:r w:rsidR="00164FE5" w:rsidRPr="00E93FBA">
        <w:rPr>
          <w:lang w:val="sk-SK"/>
        </w:rPr>
        <w:t>[</w:t>
      </w:r>
      <w:r w:rsidRPr="00E93FBA">
        <w:rPr>
          <w:lang w:val="sk-SK"/>
        </w:rPr>
        <w:t xml:space="preserve">§ 3 písmeno </w:t>
      </w:r>
      <w:r w:rsidR="00164FE5" w:rsidRPr="00E93FBA">
        <w:rPr>
          <w:lang w:val="sk-SK"/>
        </w:rPr>
        <w:t xml:space="preserve">c)]: </w:t>
      </w:r>
    </w:p>
    <w:p w14:paraId="5F58C4B2" w14:textId="2087C921" w:rsidR="001179D0" w:rsidRPr="00E93FBA" w:rsidRDefault="00164FE5" w:rsidP="005B2864">
      <w:pPr>
        <w:jc w:val="both"/>
        <w:rPr>
          <w:lang w:val="sk-SK"/>
        </w:rPr>
      </w:pPr>
      <w:r w:rsidRPr="00E93FBA">
        <w:rPr>
          <w:lang w:val="sk-SK"/>
        </w:rPr>
        <w:t>Legislatívno-technická úprava</w:t>
      </w:r>
      <w:r w:rsidR="001179D0" w:rsidRPr="00E93FBA">
        <w:rPr>
          <w:lang w:val="sk-SK"/>
        </w:rPr>
        <w:t>.</w:t>
      </w:r>
    </w:p>
    <w:p w14:paraId="1BEBAA8C" w14:textId="469901F1" w:rsidR="005E4A3B" w:rsidRPr="00E93FBA" w:rsidRDefault="005E4A3B" w:rsidP="005B2864">
      <w:pPr>
        <w:jc w:val="both"/>
        <w:rPr>
          <w:lang w:val="sk-SK"/>
        </w:rPr>
      </w:pPr>
    </w:p>
    <w:p w14:paraId="76EC57FC" w14:textId="255FEF3A" w:rsidR="005E4A3B" w:rsidRPr="00E93FBA" w:rsidRDefault="005E4A3B" w:rsidP="005B2864">
      <w:pPr>
        <w:jc w:val="both"/>
        <w:rPr>
          <w:lang w:val="sk-SK"/>
        </w:rPr>
      </w:pPr>
      <w:r w:rsidRPr="00E93FBA">
        <w:rPr>
          <w:lang w:val="sk-SK"/>
        </w:rPr>
        <w:t xml:space="preserve">K bodu </w:t>
      </w:r>
      <w:r w:rsidR="001179D0" w:rsidRPr="00E93FBA">
        <w:rPr>
          <w:lang w:val="sk-SK"/>
        </w:rPr>
        <w:t>2</w:t>
      </w:r>
      <w:r w:rsidRPr="00E93FBA">
        <w:rPr>
          <w:lang w:val="sk-SK"/>
        </w:rPr>
        <w:t xml:space="preserve"> </w:t>
      </w:r>
      <w:r w:rsidR="001179D0" w:rsidRPr="00E93FBA">
        <w:rPr>
          <w:lang w:val="sk-SK"/>
        </w:rPr>
        <w:t xml:space="preserve">[§ </w:t>
      </w:r>
      <w:r w:rsidRPr="00E93FBA">
        <w:rPr>
          <w:lang w:val="sk-SK"/>
        </w:rPr>
        <w:t>4 písm. b</w:t>
      </w:r>
      <w:r w:rsidR="001179D0" w:rsidRPr="00E93FBA">
        <w:rPr>
          <w:lang w:val="sk-SK"/>
        </w:rPr>
        <w:t>)]:</w:t>
      </w:r>
    </w:p>
    <w:p w14:paraId="108D608E" w14:textId="41FD75A4" w:rsidR="00F22E85" w:rsidRPr="00E93FBA" w:rsidRDefault="00226440" w:rsidP="005B2864">
      <w:pPr>
        <w:jc w:val="both"/>
        <w:rPr>
          <w:lang w:val="sk-SK"/>
        </w:rPr>
      </w:pPr>
      <w:r w:rsidRPr="00E93FBA">
        <w:rPr>
          <w:lang w:val="sk-SK"/>
        </w:rPr>
        <w:t xml:space="preserve">Legislatívno-technická úprava </w:t>
      </w:r>
      <w:r w:rsidR="00F22E85" w:rsidRPr="00E93FBA">
        <w:rPr>
          <w:lang w:val="sk-SK"/>
        </w:rPr>
        <w:t>súvisiaca so spresnením pravidiel využívania Govnetu.</w:t>
      </w:r>
    </w:p>
    <w:p w14:paraId="3F487BB1" w14:textId="2F60588B" w:rsidR="00F22E85" w:rsidRPr="00E93FBA" w:rsidRDefault="00F22E85" w:rsidP="005B2864">
      <w:pPr>
        <w:jc w:val="both"/>
        <w:rPr>
          <w:lang w:val="sk-SK"/>
        </w:rPr>
      </w:pPr>
    </w:p>
    <w:p w14:paraId="76FC3CF5" w14:textId="3B85CEC6" w:rsidR="009F6E13" w:rsidRPr="00E93FBA" w:rsidRDefault="009F6E13" w:rsidP="005B2864">
      <w:pPr>
        <w:jc w:val="both"/>
        <w:rPr>
          <w:lang w:val="sk-SK"/>
        </w:rPr>
      </w:pPr>
      <w:r w:rsidRPr="00E93FBA">
        <w:rPr>
          <w:lang w:val="sk-SK"/>
        </w:rPr>
        <w:t>K bodu 3 [§ 6 ods. 1 písm. e)]:</w:t>
      </w:r>
    </w:p>
    <w:p w14:paraId="350655AE" w14:textId="4105E7E1" w:rsidR="009F6E13" w:rsidRPr="00E93FBA" w:rsidRDefault="00A10136" w:rsidP="005B2864">
      <w:pPr>
        <w:jc w:val="both"/>
        <w:rPr>
          <w:lang w:val="sk-SK"/>
        </w:rPr>
      </w:pPr>
      <w:r w:rsidRPr="00E93FBA">
        <w:rPr>
          <w:lang w:val="sk-SK"/>
        </w:rPr>
        <w:t>V spojení s kompetenciami orgánu riadenia</w:t>
      </w:r>
      <w:r w:rsidR="00810B16" w:rsidRPr="00E93FBA">
        <w:rPr>
          <w:lang w:val="sk-SK"/>
        </w:rPr>
        <w:t xml:space="preserve"> vo vzťahu k schvaľovaniu veľkých projektov a veľkých zmlúv v prevádzke sa navrhuje explicitne vyjadriť, že orgán vedenia, rovnako ako aj orgán riadenia sú o.i. povinní vykonávať správu </w:t>
      </w:r>
      <w:r w:rsidR="002F25E5">
        <w:rPr>
          <w:lang w:val="sk-SK"/>
        </w:rPr>
        <w:t>informačných technológií verejnej správy</w:t>
      </w:r>
      <w:r w:rsidR="002F25E5" w:rsidRPr="00E93FBA">
        <w:rPr>
          <w:lang w:val="sk-SK"/>
        </w:rPr>
        <w:t xml:space="preserve"> </w:t>
      </w:r>
      <w:r w:rsidR="00810B16" w:rsidRPr="00E93FBA">
        <w:rPr>
          <w:lang w:val="sk-SK"/>
        </w:rPr>
        <w:t>aj s ohľadom na faktory</w:t>
      </w:r>
      <w:r w:rsidR="00C15417" w:rsidRPr="00E93FBA">
        <w:rPr>
          <w:lang w:val="sk-SK"/>
        </w:rPr>
        <w:t xml:space="preserve">, akými sú úlohy, ktoré musia plniť podľa všeobecne záväzných právnych predpisov, resp. </w:t>
      </w:r>
      <w:r w:rsidR="001C607C" w:rsidRPr="00E93FBA">
        <w:rPr>
          <w:lang w:val="sk-SK"/>
        </w:rPr>
        <w:t>potreba reagovať na požiadavky koncových užívateľov.</w:t>
      </w:r>
    </w:p>
    <w:p w14:paraId="2C1F8025" w14:textId="77777777" w:rsidR="009F6E13" w:rsidRPr="00E93FBA" w:rsidRDefault="009F6E13" w:rsidP="005B2864">
      <w:pPr>
        <w:jc w:val="both"/>
        <w:rPr>
          <w:lang w:val="sk-SK"/>
        </w:rPr>
      </w:pPr>
    </w:p>
    <w:p w14:paraId="1E31A417" w14:textId="1DE5FA5A" w:rsidR="00F22E85" w:rsidRPr="00E93FBA" w:rsidRDefault="00F22E85" w:rsidP="005B2864">
      <w:pPr>
        <w:jc w:val="both"/>
        <w:rPr>
          <w:lang w:val="sk-SK"/>
        </w:rPr>
      </w:pPr>
      <w:r w:rsidRPr="00E93FBA">
        <w:rPr>
          <w:lang w:val="sk-SK"/>
        </w:rPr>
        <w:t>K</w:t>
      </w:r>
      <w:r w:rsidR="005C76E4" w:rsidRPr="00E93FBA">
        <w:rPr>
          <w:lang w:val="sk-SK"/>
        </w:rPr>
        <w:t> </w:t>
      </w:r>
      <w:r w:rsidRPr="00E93FBA">
        <w:rPr>
          <w:lang w:val="sk-SK"/>
        </w:rPr>
        <w:t>bod</w:t>
      </w:r>
      <w:r w:rsidR="005C76E4" w:rsidRPr="00E93FBA">
        <w:rPr>
          <w:lang w:val="sk-SK"/>
        </w:rPr>
        <w:t xml:space="preserve">om </w:t>
      </w:r>
      <w:r w:rsidR="00C001D2" w:rsidRPr="00E93FBA">
        <w:rPr>
          <w:lang w:val="sk-SK"/>
        </w:rPr>
        <w:t>4</w:t>
      </w:r>
      <w:r w:rsidR="005C76E4" w:rsidRPr="00E93FBA">
        <w:rPr>
          <w:lang w:val="sk-SK"/>
        </w:rPr>
        <w:t xml:space="preserve"> a</w:t>
      </w:r>
      <w:r w:rsidR="00CD09E1">
        <w:rPr>
          <w:lang w:val="sk-SK"/>
        </w:rPr>
        <w:t>ž</w:t>
      </w:r>
      <w:r w:rsidR="008B1C87" w:rsidRPr="00E93FBA">
        <w:rPr>
          <w:lang w:val="sk-SK"/>
        </w:rPr>
        <w:t xml:space="preserve"> </w:t>
      </w:r>
      <w:r w:rsidR="00CD09E1">
        <w:rPr>
          <w:lang w:val="sk-SK"/>
        </w:rPr>
        <w:t>7</w:t>
      </w:r>
      <w:r w:rsidR="00CD09E1" w:rsidRPr="00E93FBA">
        <w:rPr>
          <w:lang w:val="sk-SK"/>
        </w:rPr>
        <w:t xml:space="preserve"> </w:t>
      </w:r>
      <w:r w:rsidRPr="00E93FBA">
        <w:rPr>
          <w:lang w:val="sk-SK"/>
        </w:rPr>
        <w:t xml:space="preserve">(§ </w:t>
      </w:r>
      <w:r w:rsidR="005C76E4" w:rsidRPr="00E93FBA">
        <w:rPr>
          <w:lang w:val="sk-SK"/>
        </w:rPr>
        <w:t xml:space="preserve">9 </w:t>
      </w:r>
      <w:r w:rsidRPr="00E93FBA">
        <w:rPr>
          <w:lang w:val="sk-SK"/>
        </w:rPr>
        <w:t>ods.</w:t>
      </w:r>
      <w:r w:rsidR="005C76E4" w:rsidRPr="00E93FBA">
        <w:rPr>
          <w:lang w:val="sk-SK"/>
        </w:rPr>
        <w:t xml:space="preserve"> 1 a</w:t>
      </w:r>
      <w:r w:rsidRPr="00E93FBA">
        <w:rPr>
          <w:lang w:val="sk-SK"/>
        </w:rPr>
        <w:t xml:space="preserve"> 2):</w:t>
      </w:r>
    </w:p>
    <w:p w14:paraId="43DE48FA" w14:textId="1B103F75" w:rsidR="00C822EC" w:rsidRPr="00E93FBA" w:rsidRDefault="00A50914" w:rsidP="005B2864">
      <w:pPr>
        <w:jc w:val="both"/>
        <w:rPr>
          <w:lang w:val="sk-SK"/>
        </w:rPr>
      </w:pPr>
      <w:r w:rsidRPr="00E93FBA">
        <w:rPr>
          <w:lang w:val="sk-SK"/>
        </w:rPr>
        <w:t>Navrhovaná zmena súvisí so zmen</w:t>
      </w:r>
      <w:r w:rsidR="0025313E" w:rsidRPr="00E93FBA">
        <w:rPr>
          <w:lang w:val="sk-SK"/>
        </w:rPr>
        <w:t>ou</w:t>
      </w:r>
      <w:r w:rsidRPr="00E93FBA">
        <w:rPr>
          <w:lang w:val="sk-SK"/>
        </w:rPr>
        <w:t xml:space="preserve"> v povinnostiach v oblasti </w:t>
      </w:r>
      <w:r w:rsidR="00B661B5" w:rsidRPr="00E93FBA">
        <w:rPr>
          <w:lang w:val="sk-SK"/>
        </w:rPr>
        <w:t xml:space="preserve">riadenia </w:t>
      </w:r>
      <w:r w:rsidRPr="00E93FBA">
        <w:rPr>
          <w:lang w:val="sk-SK"/>
        </w:rPr>
        <w:t>prevádzky</w:t>
      </w:r>
      <w:r w:rsidR="00C96F90" w:rsidRPr="00E93FBA">
        <w:rPr>
          <w:lang w:val="sk-SK"/>
        </w:rPr>
        <w:t xml:space="preserve"> (§ 16)</w:t>
      </w:r>
      <w:r w:rsidR="00F64E57" w:rsidRPr="00E93FBA">
        <w:rPr>
          <w:lang w:val="sk-SK"/>
        </w:rPr>
        <w:t xml:space="preserve"> a jej podstatou je vytvorenie zoznamu, ktorý na rôzne účely v rámci riadenia prevádzky bude ustanovovať pre orgán riadenia záväzné hodnoty. </w:t>
      </w:r>
      <w:r w:rsidR="0048279D" w:rsidRPr="00E93FBA">
        <w:rPr>
          <w:lang w:val="sk-SK"/>
        </w:rPr>
        <w:t>Ide vo všetkých troch prípadoch (dostupnosť, spoločné aktíva a monitorované údaje) o</w:t>
      </w:r>
      <w:r w:rsidR="004C7409" w:rsidRPr="00E93FBA">
        <w:rPr>
          <w:lang w:val="sk-SK"/>
        </w:rPr>
        <w:t xml:space="preserve"> povinnosti, ktoré sú zákonom orgánu riadenia uložené. Obsah evidencie teda nebude ukladať nové povinnosti, bude </w:t>
      </w:r>
      <w:r w:rsidR="00A553E2" w:rsidRPr="00E93FBA">
        <w:rPr>
          <w:lang w:val="sk-SK"/>
        </w:rPr>
        <w:t>spresňovať obsah</w:t>
      </w:r>
      <w:r w:rsidR="00865134" w:rsidRPr="00E93FBA">
        <w:rPr>
          <w:lang w:val="sk-SK"/>
        </w:rPr>
        <w:t xml:space="preserve"> zákonom ustanovenej povinnosti a zabezpečí jej jednotné plnenie.</w:t>
      </w:r>
    </w:p>
    <w:p w14:paraId="41074033" w14:textId="4B378520" w:rsidR="00865134" w:rsidRPr="00E93FBA" w:rsidRDefault="00865134" w:rsidP="005B2864">
      <w:pPr>
        <w:jc w:val="both"/>
        <w:rPr>
          <w:lang w:val="sk-SK"/>
        </w:rPr>
      </w:pPr>
      <w:r w:rsidRPr="00E93FBA">
        <w:rPr>
          <w:lang w:val="sk-SK"/>
        </w:rPr>
        <w:t xml:space="preserve">Vzhľadom na to, že obsah evidencie bude z povahy veci dynamický a bude predstavovať </w:t>
      </w:r>
      <w:r w:rsidR="00A83DF7" w:rsidRPr="00E93FBA">
        <w:rPr>
          <w:lang w:val="sk-SK"/>
        </w:rPr>
        <w:t>svojho druhu technické popisy a údaje, navrhuje sa zvoliť rovnaký režim, aký už roky platí pre referenčné údaje.</w:t>
      </w:r>
    </w:p>
    <w:p w14:paraId="7B005CDC" w14:textId="2A810235" w:rsidR="00A50914" w:rsidRPr="00E93FBA" w:rsidRDefault="00A50914" w:rsidP="005B2864">
      <w:pPr>
        <w:jc w:val="both"/>
        <w:rPr>
          <w:lang w:val="sk-SK"/>
        </w:rPr>
      </w:pPr>
    </w:p>
    <w:p w14:paraId="323E7249" w14:textId="1AC21C19" w:rsidR="008B1C87" w:rsidRPr="00E93FBA" w:rsidRDefault="008B1C87" w:rsidP="005B2864">
      <w:pPr>
        <w:jc w:val="both"/>
        <w:rPr>
          <w:lang w:val="sk-SK"/>
        </w:rPr>
      </w:pPr>
      <w:r w:rsidRPr="00E93FBA">
        <w:rPr>
          <w:lang w:val="sk-SK"/>
        </w:rPr>
        <w:t xml:space="preserve">K bodu </w:t>
      </w:r>
      <w:r w:rsidR="00CD09E1">
        <w:rPr>
          <w:lang w:val="sk-SK"/>
        </w:rPr>
        <w:t>6</w:t>
      </w:r>
      <w:r w:rsidRPr="00E93FBA">
        <w:rPr>
          <w:lang w:val="sk-SK"/>
        </w:rPr>
        <w:t xml:space="preserve"> [§ 9 ods. 1 písm. t)]:</w:t>
      </w:r>
    </w:p>
    <w:p w14:paraId="529F414E" w14:textId="77777777" w:rsidR="008B1C87" w:rsidRPr="00E93FBA" w:rsidRDefault="008B1C87" w:rsidP="008B1C87">
      <w:pPr>
        <w:jc w:val="both"/>
        <w:rPr>
          <w:lang w:val="sk-SK"/>
        </w:rPr>
      </w:pPr>
      <w:r w:rsidRPr="00E93FBA">
        <w:rPr>
          <w:lang w:val="sk-SK"/>
        </w:rPr>
        <w:t>Legislatívno-technická úprava súvisiaca s vypustením inštitútu IOM.</w:t>
      </w:r>
    </w:p>
    <w:p w14:paraId="476E33A4" w14:textId="77777777" w:rsidR="008B1C87" w:rsidRPr="00E93FBA" w:rsidRDefault="008B1C87" w:rsidP="005B2864">
      <w:pPr>
        <w:jc w:val="both"/>
        <w:rPr>
          <w:lang w:val="sk-SK"/>
        </w:rPr>
      </w:pPr>
    </w:p>
    <w:p w14:paraId="78C2FF32" w14:textId="23BCB6E9" w:rsidR="00D94B77" w:rsidRPr="00E93FBA" w:rsidRDefault="00D94B77" w:rsidP="005B2864">
      <w:pPr>
        <w:jc w:val="both"/>
        <w:rPr>
          <w:lang w:val="sk-SK"/>
        </w:rPr>
      </w:pPr>
      <w:r w:rsidRPr="00E93FBA">
        <w:rPr>
          <w:lang w:val="sk-SK"/>
        </w:rPr>
        <w:t>K</w:t>
      </w:r>
      <w:r w:rsidR="0017518E" w:rsidRPr="00E93FBA">
        <w:rPr>
          <w:lang w:val="sk-SK"/>
        </w:rPr>
        <w:t> </w:t>
      </w:r>
      <w:r w:rsidRPr="00E93FBA">
        <w:rPr>
          <w:lang w:val="sk-SK"/>
        </w:rPr>
        <w:t>bod</w:t>
      </w:r>
      <w:r w:rsidR="0017518E" w:rsidRPr="00E93FBA">
        <w:rPr>
          <w:lang w:val="sk-SK"/>
        </w:rPr>
        <w:t xml:space="preserve">u </w:t>
      </w:r>
      <w:r w:rsidR="00F07944">
        <w:rPr>
          <w:lang w:val="sk-SK"/>
        </w:rPr>
        <w:t>8</w:t>
      </w:r>
      <w:r w:rsidR="00C34D1D" w:rsidRPr="00E93FBA">
        <w:rPr>
          <w:lang w:val="sk-SK"/>
        </w:rPr>
        <w:t xml:space="preserve"> </w:t>
      </w:r>
      <w:r w:rsidRPr="00E93FBA">
        <w:rPr>
          <w:lang w:val="sk-SK"/>
        </w:rPr>
        <w:t>(§ 9 ods. 4):</w:t>
      </w:r>
    </w:p>
    <w:p w14:paraId="73BBE140" w14:textId="74D5C387" w:rsidR="00D94B77" w:rsidRPr="00E93FBA" w:rsidRDefault="00D94B77" w:rsidP="005B2864">
      <w:pPr>
        <w:jc w:val="both"/>
        <w:rPr>
          <w:lang w:val="sk-SK"/>
        </w:rPr>
      </w:pPr>
      <w:r w:rsidRPr="00E93FBA">
        <w:rPr>
          <w:lang w:val="sk-SK"/>
        </w:rPr>
        <w:t>Legislatívno-technická úprava.</w:t>
      </w:r>
    </w:p>
    <w:p w14:paraId="0B257AE2" w14:textId="77777777" w:rsidR="00D94B77" w:rsidRPr="00E93FBA" w:rsidRDefault="00D94B77" w:rsidP="005B2864">
      <w:pPr>
        <w:jc w:val="both"/>
        <w:rPr>
          <w:lang w:val="sk-SK"/>
        </w:rPr>
      </w:pPr>
    </w:p>
    <w:p w14:paraId="7F4EA463" w14:textId="1CAEB55F" w:rsidR="00D94B77" w:rsidRPr="00E93FBA" w:rsidRDefault="00DA1C9C" w:rsidP="005B2864">
      <w:pPr>
        <w:jc w:val="both"/>
        <w:rPr>
          <w:lang w:val="sk-SK"/>
        </w:rPr>
      </w:pPr>
      <w:r w:rsidRPr="00E93FBA">
        <w:rPr>
          <w:lang w:val="sk-SK"/>
        </w:rPr>
        <w:t xml:space="preserve">K bodom </w:t>
      </w:r>
      <w:r w:rsidR="00F07944">
        <w:rPr>
          <w:lang w:val="sk-SK"/>
        </w:rPr>
        <w:t>9</w:t>
      </w:r>
      <w:r w:rsidRPr="00E93FBA">
        <w:rPr>
          <w:lang w:val="sk-SK"/>
        </w:rPr>
        <w:t xml:space="preserve"> až </w:t>
      </w:r>
      <w:r w:rsidR="00F07944" w:rsidRPr="00E93FBA">
        <w:rPr>
          <w:lang w:val="sk-SK"/>
        </w:rPr>
        <w:t>1</w:t>
      </w:r>
      <w:r w:rsidR="00F07944">
        <w:rPr>
          <w:lang w:val="sk-SK"/>
        </w:rPr>
        <w:t>6</w:t>
      </w:r>
      <w:r w:rsidR="00F07944" w:rsidRPr="00E93FBA">
        <w:rPr>
          <w:lang w:val="sk-SK"/>
        </w:rPr>
        <w:t xml:space="preserve"> </w:t>
      </w:r>
      <w:r w:rsidRPr="00E93FBA">
        <w:rPr>
          <w:lang w:val="sk-SK"/>
        </w:rPr>
        <w:t>(§ 11 až 16):</w:t>
      </w:r>
    </w:p>
    <w:p w14:paraId="02BD75E5" w14:textId="1A9D7490" w:rsidR="001A0F13" w:rsidRPr="00E93FBA" w:rsidRDefault="0090666D" w:rsidP="005B2864">
      <w:pPr>
        <w:jc w:val="both"/>
        <w:rPr>
          <w:lang w:val="sk-SK"/>
        </w:rPr>
      </w:pPr>
      <w:r w:rsidRPr="00E93FBA">
        <w:rPr>
          <w:lang w:val="sk-SK"/>
        </w:rPr>
        <w:t xml:space="preserve">Zmeny v oblasti riadenia prevádzky smerujú primárne do dvoch oblastí. Prvou oblasťou je </w:t>
      </w:r>
      <w:r w:rsidR="00376604" w:rsidRPr="00E93FBA">
        <w:rPr>
          <w:lang w:val="sk-SK"/>
        </w:rPr>
        <w:t xml:space="preserve">príprava zákonného titulu na </w:t>
      </w:r>
      <w:r w:rsidR="004F20FA" w:rsidRPr="00E93FBA">
        <w:rPr>
          <w:lang w:val="sk-SK"/>
        </w:rPr>
        <w:t xml:space="preserve">ustanovenie podrobností postupu pri </w:t>
      </w:r>
      <w:r w:rsidR="00F85747" w:rsidRPr="00E93FBA">
        <w:rPr>
          <w:lang w:val="sk-SK"/>
        </w:rPr>
        <w:t xml:space="preserve">zmluvách </w:t>
      </w:r>
      <w:r w:rsidR="004F20FA" w:rsidRPr="00E93FBA">
        <w:rPr>
          <w:lang w:val="sk-SK"/>
        </w:rPr>
        <w:t xml:space="preserve">v prevádzke, ktoré sú definované ako </w:t>
      </w:r>
      <w:r w:rsidR="00F85747" w:rsidRPr="00E93FBA">
        <w:rPr>
          <w:lang w:val="sk-SK"/>
        </w:rPr>
        <w:t>právny vzťah, ktorého predmetom je činnosť potrebná na zabezpečenie prevádzky informačnej technológie verejnej správy, riešenia servisných požiadaviek, alebo činnosť spočívajúca v riešení zmenových požiadaviek v prevádzke vrátane úpravy, rozvoja, opravy informačnej technológie verejnej správy alebo odstránenia prevádzkového incidentu na informačnej technológii verejnej správy</w:t>
      </w:r>
      <w:r w:rsidR="0077239B" w:rsidRPr="00E93FBA">
        <w:rPr>
          <w:lang w:val="sk-SK"/>
        </w:rPr>
        <w:t xml:space="preserve">. </w:t>
      </w:r>
      <w:r w:rsidR="00F85747" w:rsidRPr="00E93FBA">
        <w:rPr>
          <w:lang w:val="sk-SK"/>
        </w:rPr>
        <w:t xml:space="preserve">Inak povedané, v praxi pôjde primárne o tzv. zmluvy o SLA, ako aj zmluvné záväzky na rozvoj </w:t>
      </w:r>
      <w:r w:rsidR="002F25E5">
        <w:rPr>
          <w:lang w:val="sk-SK"/>
        </w:rPr>
        <w:t>informačných technológií verejnej správy</w:t>
      </w:r>
      <w:r w:rsidR="00F85747" w:rsidRPr="00E93FBA">
        <w:rPr>
          <w:lang w:val="sk-SK"/>
        </w:rPr>
        <w:t xml:space="preserve">. </w:t>
      </w:r>
      <w:r w:rsidR="0077239B" w:rsidRPr="00E93FBA">
        <w:rPr>
          <w:lang w:val="sk-SK"/>
        </w:rPr>
        <w:t xml:space="preserve">Pre tento typ </w:t>
      </w:r>
      <w:r w:rsidR="00410F3C" w:rsidRPr="00E93FBA">
        <w:rPr>
          <w:lang w:val="sk-SK"/>
        </w:rPr>
        <w:t xml:space="preserve">zmlúv </w:t>
      </w:r>
      <w:r w:rsidR="0077239B" w:rsidRPr="00E93FBA">
        <w:rPr>
          <w:lang w:val="sk-SK"/>
        </w:rPr>
        <w:t>sa vytvára osobitná kategória z</w:t>
      </w:r>
      <w:r w:rsidR="00A20FCD" w:rsidRPr="00E93FBA">
        <w:rPr>
          <w:lang w:val="sk-SK"/>
        </w:rPr>
        <w:t xml:space="preserve"> </w:t>
      </w:r>
      <w:r w:rsidR="0077239B" w:rsidRPr="00E93FBA">
        <w:rPr>
          <w:lang w:val="sk-SK"/>
        </w:rPr>
        <w:t xml:space="preserve">hľadiska posudzovania veľkosti, ako aj osobitné splnomocňovacie ustanovenie na úpravu podrobností </w:t>
      </w:r>
      <w:r w:rsidR="00410F3C" w:rsidRPr="00E93FBA">
        <w:rPr>
          <w:lang w:val="sk-SK"/>
        </w:rPr>
        <w:t xml:space="preserve">ich </w:t>
      </w:r>
      <w:r w:rsidR="00A20FCD" w:rsidRPr="00E93FBA">
        <w:rPr>
          <w:lang w:val="sk-SK"/>
        </w:rPr>
        <w:t xml:space="preserve">správy a realizácie. Je tomu tak preto, že </w:t>
      </w:r>
      <w:r w:rsidR="00410F3C" w:rsidRPr="00E93FBA">
        <w:rPr>
          <w:lang w:val="sk-SK"/>
        </w:rPr>
        <w:t>tieto zmluvy</w:t>
      </w:r>
      <w:r w:rsidR="00A20FCD" w:rsidRPr="00E93FBA">
        <w:rPr>
          <w:lang w:val="sk-SK"/>
        </w:rPr>
        <w:t xml:space="preserve"> v prevádzke z povahy veci majú odlišný režim riadenia, než „bežné“ projekty a tento fakt sa chce reflektovať aj na zákonnej úrovni a následne na úrovni podrobností vo vykonávacom predpise.</w:t>
      </w:r>
    </w:p>
    <w:p w14:paraId="64494133" w14:textId="77777777" w:rsidR="00E93FBA" w:rsidRPr="00D85AFD" w:rsidRDefault="00E93FBA" w:rsidP="00E93FBA">
      <w:pPr>
        <w:jc w:val="both"/>
        <w:rPr>
          <w:bCs/>
          <w:lang w:val="sk-SK"/>
        </w:rPr>
      </w:pPr>
      <w:r w:rsidRPr="00D85AFD">
        <w:rPr>
          <w:bCs/>
          <w:lang w:val="sk-SK"/>
        </w:rPr>
        <w:lastRenderedPageBreak/>
        <w:t xml:space="preserve">Pojmy vo vzťahu k prevádzke bude upravovať pripravovaná vyhláška o zabezpečení prevádzky, servisu, podpory, monitoringu a hodnotenia informačných technológií verejnej správy. Logika usporiadania bude taká, že servisnou požiadavkou sa bude rozumieť požiadavka na činnosť iniciovaná používateľom informačnej technológie, ktorá je v rozsahu poskytovanej služby alebo iniciuje vytvorenie zmenovej požiadavky, v prípade že nie je v rozsahu poskytovanej služby. Následne potom požiadavka na činnosti, ktoré sú mimo rozsah poskytovanej služby konštituujú zmenovú požiadavku. Zmenou v prevádzke sa bude rozumieť činnosť, ktorej účelom je úprava, rozvoj, oprava informačnej technológie alebo odstránenie prevádzkového incidentu na informačnej technológii. </w:t>
      </w:r>
    </w:p>
    <w:p w14:paraId="5070B7E9" w14:textId="258D7947" w:rsidR="00E93FBA" w:rsidRPr="00D85AFD" w:rsidRDefault="00E93FBA" w:rsidP="00E93FBA">
      <w:pPr>
        <w:jc w:val="both"/>
        <w:rPr>
          <w:bCs/>
          <w:lang w:val="sk-SK"/>
        </w:rPr>
      </w:pPr>
      <w:r w:rsidRPr="00D85AFD">
        <w:rPr>
          <w:bCs/>
          <w:lang w:val="sk-SK"/>
        </w:rPr>
        <w:t xml:space="preserve">Vo vzťahu k projektom upravuje príslušné pojmy vyhláška č. 85/2020 Z. z. o riadení projektov v znení neskorších predpisov. Základným pojmom je projekt, ktorý je definovaný (aj) cez požiadavku úpravy </w:t>
      </w:r>
      <w:r w:rsidR="004B1320">
        <w:rPr>
          <w:bCs/>
          <w:lang w:val="sk-SK"/>
        </w:rPr>
        <w:t>informačných technológií verejnej správy</w:t>
      </w:r>
      <w:r w:rsidR="004B1320" w:rsidRPr="00D85AFD">
        <w:rPr>
          <w:bCs/>
          <w:lang w:val="sk-SK"/>
        </w:rPr>
        <w:t xml:space="preserve"> </w:t>
      </w:r>
      <w:r w:rsidRPr="00D85AFD">
        <w:rPr>
          <w:bCs/>
          <w:lang w:val="sk-SK"/>
        </w:rPr>
        <w:t xml:space="preserve">prostredníctvom zmenových požiadaviek. Zmenové požiadavky v projekte sú následne definované cez účel, ktorým je  činnosť, ktorej účelom je modernizácia, úprava a rozvoj informačnej technológie verejnej správy. </w:t>
      </w:r>
    </w:p>
    <w:p w14:paraId="7CFB14E5" w14:textId="37918661" w:rsidR="00E93FBA" w:rsidRPr="00D85AFD" w:rsidRDefault="00E93FBA" w:rsidP="00E93FBA">
      <w:pPr>
        <w:jc w:val="both"/>
        <w:rPr>
          <w:bCs/>
          <w:lang w:val="sk-SK"/>
        </w:rPr>
      </w:pPr>
      <w:r w:rsidRPr="00D85AFD">
        <w:rPr>
          <w:bCs/>
          <w:lang w:val="sk-SK"/>
        </w:rPr>
        <w:t xml:space="preserve">Základným kritériom pre rozlišovanie zmenových požiadaviek v prevádzke a v projekte je rozdiel v sledovanom cieli a následne aj dopad na úžitkovú hodnotu </w:t>
      </w:r>
      <w:r w:rsidR="002F25E5">
        <w:rPr>
          <w:bCs/>
          <w:lang w:val="sk-SK"/>
        </w:rPr>
        <w:t>informačn</w:t>
      </w:r>
      <w:r w:rsidR="00943834">
        <w:rPr>
          <w:bCs/>
          <w:lang w:val="sk-SK"/>
        </w:rPr>
        <w:t>ých</w:t>
      </w:r>
      <w:r w:rsidR="002F25E5">
        <w:rPr>
          <w:bCs/>
          <w:lang w:val="sk-SK"/>
        </w:rPr>
        <w:t xml:space="preserve"> technológ</w:t>
      </w:r>
      <w:r w:rsidR="00943834">
        <w:rPr>
          <w:bCs/>
          <w:lang w:val="sk-SK"/>
        </w:rPr>
        <w:t>ií</w:t>
      </w:r>
      <w:r w:rsidR="002F25E5">
        <w:rPr>
          <w:bCs/>
          <w:lang w:val="sk-SK"/>
        </w:rPr>
        <w:t xml:space="preserve"> verejnej správy</w:t>
      </w:r>
      <w:r w:rsidRPr="00D85AFD">
        <w:rPr>
          <w:bCs/>
          <w:lang w:val="sk-SK"/>
        </w:rPr>
        <w:t xml:space="preserve">. Správa v prevádzke je totiž z povahy veci činnosťou primárne plánovanou a opakovanou, ktorej cieľom je primárne poskytovanie reakcií na požiadavky používateľa a riešenie prevádzkových incidentov (najmä obnovenie prevádzky služby, zaznamenanie, splnenie alebo nesplnenie servisnej požiadavky používateľa, diagnostikovanie, eskalácia a vyriešenie prevádzkového incidentu). Následne aj dopad na úžitkovú hodnotu </w:t>
      </w:r>
      <w:r w:rsidR="002F25E5">
        <w:rPr>
          <w:bCs/>
          <w:lang w:val="sk-SK"/>
        </w:rPr>
        <w:t>informačn</w:t>
      </w:r>
      <w:r w:rsidR="00943834">
        <w:rPr>
          <w:bCs/>
          <w:lang w:val="sk-SK"/>
        </w:rPr>
        <w:t>ých</w:t>
      </w:r>
      <w:r w:rsidR="002F25E5">
        <w:rPr>
          <w:bCs/>
          <w:lang w:val="sk-SK"/>
        </w:rPr>
        <w:t xml:space="preserve"> technológi</w:t>
      </w:r>
      <w:r w:rsidR="00943834">
        <w:rPr>
          <w:bCs/>
          <w:lang w:val="sk-SK"/>
        </w:rPr>
        <w:t>í</w:t>
      </w:r>
      <w:r w:rsidR="002F25E5">
        <w:rPr>
          <w:bCs/>
          <w:lang w:val="sk-SK"/>
        </w:rPr>
        <w:t xml:space="preserve"> verejnej správy</w:t>
      </w:r>
      <w:r w:rsidR="002F25E5" w:rsidRPr="00D85AFD">
        <w:rPr>
          <w:bCs/>
          <w:lang w:val="sk-SK"/>
        </w:rPr>
        <w:t xml:space="preserve"> </w:t>
      </w:r>
      <w:r w:rsidRPr="00D85AFD">
        <w:rPr>
          <w:bCs/>
          <w:lang w:val="sk-SK"/>
        </w:rPr>
        <w:t xml:space="preserve">v rámci správy prevádzky a zmien v prevádzke je iný, ako v prípade projektu. </w:t>
      </w:r>
      <w:r w:rsidR="002F25E5">
        <w:rPr>
          <w:bCs/>
          <w:lang w:val="sk-SK"/>
        </w:rPr>
        <w:t> To znamená</w:t>
      </w:r>
      <w:r w:rsidRPr="00D85AFD">
        <w:rPr>
          <w:bCs/>
          <w:lang w:val="sk-SK"/>
        </w:rPr>
        <w:t>,</w:t>
      </w:r>
      <w:r w:rsidR="002F25E5">
        <w:rPr>
          <w:bCs/>
          <w:lang w:val="sk-SK"/>
        </w:rPr>
        <w:t xml:space="preserve"> že</w:t>
      </w:r>
      <w:r w:rsidRPr="00D85AFD">
        <w:rPr>
          <w:bCs/>
          <w:lang w:val="sk-SK"/>
        </w:rPr>
        <w:t xml:space="preserve"> z pohľadu zmien v prevádzke ide primárne o udržanie, opravu a zlepšenie v priamej väzbe na danú službu, </w:t>
      </w:r>
      <w:r w:rsidR="004B1320">
        <w:rPr>
          <w:bCs/>
          <w:lang w:val="sk-SK"/>
        </w:rPr>
        <w:t>zatiaľ čo</w:t>
      </w:r>
      <w:r w:rsidR="004B1320" w:rsidRPr="00D85AFD">
        <w:rPr>
          <w:bCs/>
          <w:lang w:val="sk-SK"/>
        </w:rPr>
        <w:t xml:space="preserve"> </w:t>
      </w:r>
      <w:r w:rsidRPr="00D85AFD">
        <w:rPr>
          <w:bCs/>
          <w:lang w:val="sk-SK"/>
        </w:rPr>
        <w:t>pri projekte ide primárne o zavedenie nov</w:t>
      </w:r>
      <w:r w:rsidR="00943834">
        <w:rPr>
          <w:bCs/>
          <w:lang w:val="sk-SK"/>
        </w:rPr>
        <w:t>ých</w:t>
      </w:r>
      <w:r w:rsidRPr="00D85AFD">
        <w:rPr>
          <w:bCs/>
          <w:lang w:val="sk-SK"/>
        </w:rPr>
        <w:t xml:space="preserve"> </w:t>
      </w:r>
      <w:r w:rsidR="002F25E5">
        <w:rPr>
          <w:bCs/>
          <w:lang w:val="sk-SK"/>
        </w:rPr>
        <w:t>informačn</w:t>
      </w:r>
      <w:r w:rsidR="00943834">
        <w:rPr>
          <w:bCs/>
          <w:lang w:val="sk-SK"/>
        </w:rPr>
        <w:t>ých</w:t>
      </w:r>
      <w:r w:rsidR="002F25E5">
        <w:rPr>
          <w:bCs/>
          <w:lang w:val="sk-SK"/>
        </w:rPr>
        <w:t xml:space="preserve"> technológi</w:t>
      </w:r>
      <w:r w:rsidR="00943834">
        <w:rPr>
          <w:bCs/>
          <w:lang w:val="sk-SK"/>
        </w:rPr>
        <w:t>í</w:t>
      </w:r>
      <w:r w:rsidR="002F25E5">
        <w:rPr>
          <w:bCs/>
          <w:lang w:val="sk-SK"/>
        </w:rPr>
        <w:t xml:space="preserve"> verejnej správy</w:t>
      </w:r>
      <w:r w:rsidR="002F25E5" w:rsidRPr="00D85AFD">
        <w:rPr>
          <w:bCs/>
          <w:lang w:val="sk-SK"/>
        </w:rPr>
        <w:t xml:space="preserve"> </w:t>
      </w:r>
      <w:r w:rsidRPr="00D85AFD">
        <w:rPr>
          <w:bCs/>
          <w:lang w:val="sk-SK"/>
        </w:rPr>
        <w:t>a v prípade zmeny o takú zmenu, ktorej cieľom je zvýšenie hodnoty dan</w:t>
      </w:r>
      <w:r w:rsidR="00943834">
        <w:rPr>
          <w:bCs/>
          <w:lang w:val="sk-SK"/>
        </w:rPr>
        <w:t>ých</w:t>
      </w:r>
      <w:r w:rsidRPr="00D85AFD">
        <w:rPr>
          <w:bCs/>
          <w:lang w:val="sk-SK"/>
        </w:rPr>
        <w:t xml:space="preserve"> </w:t>
      </w:r>
      <w:r w:rsidR="002F25E5">
        <w:rPr>
          <w:bCs/>
          <w:lang w:val="sk-SK"/>
        </w:rPr>
        <w:t>informačn</w:t>
      </w:r>
      <w:r w:rsidR="00943834">
        <w:rPr>
          <w:bCs/>
          <w:lang w:val="sk-SK"/>
        </w:rPr>
        <w:t>ých</w:t>
      </w:r>
      <w:r w:rsidR="002F25E5">
        <w:rPr>
          <w:bCs/>
          <w:lang w:val="sk-SK"/>
        </w:rPr>
        <w:t xml:space="preserve"> technológi</w:t>
      </w:r>
      <w:r w:rsidR="00943834">
        <w:rPr>
          <w:bCs/>
          <w:lang w:val="sk-SK"/>
        </w:rPr>
        <w:t>í</w:t>
      </w:r>
      <w:r w:rsidR="002F25E5">
        <w:rPr>
          <w:bCs/>
          <w:lang w:val="sk-SK"/>
        </w:rPr>
        <w:t xml:space="preserve"> verejnej správy</w:t>
      </w:r>
      <w:r w:rsidR="002F25E5" w:rsidRPr="00D85AFD">
        <w:rPr>
          <w:bCs/>
          <w:lang w:val="sk-SK"/>
        </w:rPr>
        <w:t xml:space="preserve"> </w:t>
      </w:r>
      <w:r w:rsidRPr="00D85AFD">
        <w:rPr>
          <w:bCs/>
          <w:lang w:val="sk-SK"/>
        </w:rPr>
        <w:t xml:space="preserve">a nie „len“ </w:t>
      </w:r>
      <w:r w:rsidR="00943834">
        <w:rPr>
          <w:bCs/>
          <w:lang w:val="sk-SK"/>
        </w:rPr>
        <w:t>ich</w:t>
      </w:r>
      <w:r w:rsidR="002F25E5" w:rsidRPr="00D85AFD">
        <w:rPr>
          <w:bCs/>
          <w:lang w:val="sk-SK"/>
        </w:rPr>
        <w:t xml:space="preserve"> </w:t>
      </w:r>
      <w:r w:rsidRPr="00D85AFD">
        <w:rPr>
          <w:bCs/>
          <w:lang w:val="sk-SK"/>
        </w:rPr>
        <w:t>riadna prevádzka.</w:t>
      </w:r>
    </w:p>
    <w:p w14:paraId="6A75C9D1" w14:textId="77777777" w:rsidR="00E93FBA" w:rsidRPr="00D85AFD" w:rsidRDefault="00E93FBA" w:rsidP="00E93FBA">
      <w:pPr>
        <w:jc w:val="both"/>
        <w:rPr>
          <w:bCs/>
          <w:lang w:val="sk-SK"/>
        </w:rPr>
      </w:pPr>
      <w:r w:rsidRPr="00D85AFD">
        <w:rPr>
          <w:bCs/>
          <w:lang w:val="sk-SK"/>
        </w:rPr>
        <w:t>Z uvedeného vyplýva aj základný cieľ pre delenie zmien v projekte a v prevádzke, ktorým je umožnenie realizácie zmien v prevádzke primárne podľa metodiky a štandardu COBIT 2019 a nevyžadovanie postupov podľa PRINCE 2.</w:t>
      </w:r>
    </w:p>
    <w:p w14:paraId="5BD0B23A" w14:textId="77777777" w:rsidR="003E399D" w:rsidRPr="00E93FBA" w:rsidRDefault="003E399D" w:rsidP="005B2864">
      <w:pPr>
        <w:jc w:val="both"/>
        <w:rPr>
          <w:lang w:val="sk-SK"/>
        </w:rPr>
      </w:pPr>
    </w:p>
    <w:p w14:paraId="752FFDE1" w14:textId="68542D74" w:rsidR="00842178" w:rsidRPr="00E93FBA" w:rsidRDefault="00842178" w:rsidP="005B2864">
      <w:pPr>
        <w:jc w:val="both"/>
        <w:rPr>
          <w:lang w:val="sk-SK"/>
        </w:rPr>
      </w:pPr>
      <w:r w:rsidRPr="00E93FBA">
        <w:rPr>
          <w:lang w:val="sk-SK"/>
        </w:rPr>
        <w:t>Druhou oblasťou je úprava zákonného rozdelenia a základu pre nastavenie riadenia prevádzky a samotné riadenie prevádzky, s</w:t>
      </w:r>
      <w:r w:rsidR="00011F5E" w:rsidRPr="00E93FBA">
        <w:rPr>
          <w:lang w:val="sk-SK"/>
        </w:rPr>
        <w:t xml:space="preserve">o súčasným doplnením osobitného splnomocňovacieho ustanovenia na </w:t>
      </w:r>
      <w:r w:rsidR="00423CD5" w:rsidRPr="00E93FBA">
        <w:rPr>
          <w:lang w:val="sk-SK"/>
        </w:rPr>
        <w:t>úpravu</w:t>
      </w:r>
      <w:r w:rsidR="00011F5E" w:rsidRPr="00E93FBA">
        <w:rPr>
          <w:lang w:val="sk-SK"/>
        </w:rPr>
        <w:t xml:space="preserve"> príslušných podrobností vo vykonávacom predpise.</w:t>
      </w:r>
      <w:r w:rsidR="00423CD5" w:rsidRPr="00E93FBA">
        <w:rPr>
          <w:lang w:val="sk-SK"/>
        </w:rPr>
        <w:t xml:space="preserve"> </w:t>
      </w:r>
      <w:r w:rsidR="0025313E" w:rsidRPr="00E93FBA">
        <w:rPr>
          <w:lang w:val="sk-SK"/>
        </w:rPr>
        <w:t>D</w:t>
      </w:r>
      <w:r w:rsidR="00AC2AAC" w:rsidRPr="00E93FBA">
        <w:rPr>
          <w:lang w:val="sk-SK"/>
        </w:rPr>
        <w:t xml:space="preserve">ôvodom tejto úpravy sú potreby aplikačnej praxe, najmä fakt, že v praxi je riadenie prevádzky </w:t>
      </w:r>
      <w:r w:rsidR="00A973AF" w:rsidRPr="00E93FBA">
        <w:rPr>
          <w:lang w:val="sk-SK"/>
        </w:rPr>
        <w:t xml:space="preserve">spravované dominantne v súlade s metodikou </w:t>
      </w:r>
      <w:r w:rsidR="00CD51A9" w:rsidRPr="00E93FBA">
        <w:rPr>
          <w:lang w:val="sk-SK"/>
        </w:rPr>
        <w:t xml:space="preserve">a štandardom </w:t>
      </w:r>
      <w:r w:rsidR="0018106D" w:rsidRPr="00E93FBA">
        <w:rPr>
          <w:lang w:val="sk-SK"/>
        </w:rPr>
        <w:t>COBIT 2019</w:t>
      </w:r>
      <w:r w:rsidR="00A973AF" w:rsidRPr="00E93FBA">
        <w:rPr>
          <w:lang w:val="sk-SK"/>
        </w:rPr>
        <w:t>, čomu úprava dnešného zákona síce nebráni, ale</w:t>
      </w:r>
      <w:r w:rsidR="00226EE7" w:rsidRPr="00E93FBA">
        <w:rPr>
          <w:lang w:val="sk-SK"/>
        </w:rPr>
        <w:t xml:space="preserve"> nie je systémovo nastaven</w:t>
      </w:r>
      <w:r w:rsidR="002F463E" w:rsidRPr="00E93FBA">
        <w:rPr>
          <w:lang w:val="sk-SK"/>
        </w:rPr>
        <w:t>á</w:t>
      </w:r>
      <w:r w:rsidR="00226EE7" w:rsidRPr="00E93FBA">
        <w:rPr>
          <w:lang w:val="sk-SK"/>
        </w:rPr>
        <w:t xml:space="preserve"> pre potreby tejto metodiky. Z uvedeného dôvodu sa navrhujú úpravy v § 16 ods. 2 </w:t>
      </w:r>
      <w:r w:rsidR="00D22224" w:rsidRPr="00E93FBA">
        <w:rPr>
          <w:lang w:val="sk-SK"/>
        </w:rPr>
        <w:t>až 4</w:t>
      </w:r>
      <w:r w:rsidR="00226EE7" w:rsidRPr="00E93FBA">
        <w:rPr>
          <w:lang w:val="sk-SK"/>
        </w:rPr>
        <w:t>.</w:t>
      </w:r>
    </w:p>
    <w:p w14:paraId="130EFEED" w14:textId="61FDA141" w:rsidR="00F22E85" w:rsidRPr="00E93FBA" w:rsidRDefault="00F22E85" w:rsidP="00F22E85">
      <w:pPr>
        <w:jc w:val="both"/>
        <w:rPr>
          <w:lang w:val="sk-SK"/>
        </w:rPr>
      </w:pPr>
    </w:p>
    <w:p w14:paraId="5D5DBDFF" w14:textId="7570B3FB" w:rsidR="00A86BDB" w:rsidRPr="00E93FBA" w:rsidRDefault="00A86BDB" w:rsidP="00F22E85">
      <w:pPr>
        <w:jc w:val="both"/>
        <w:rPr>
          <w:lang w:val="sk-SK"/>
        </w:rPr>
      </w:pPr>
      <w:r w:rsidRPr="00E93FBA">
        <w:rPr>
          <w:lang w:val="sk-SK"/>
        </w:rPr>
        <w:t xml:space="preserve">K bodu </w:t>
      </w:r>
      <w:r w:rsidR="001A0F13" w:rsidRPr="00E93FBA">
        <w:rPr>
          <w:lang w:val="sk-SK"/>
        </w:rPr>
        <w:t>1</w:t>
      </w:r>
      <w:r w:rsidR="00F07944">
        <w:rPr>
          <w:lang w:val="sk-SK"/>
        </w:rPr>
        <w:t>7</w:t>
      </w:r>
      <w:r w:rsidRPr="00E93FBA">
        <w:rPr>
          <w:lang w:val="sk-SK"/>
        </w:rPr>
        <w:t xml:space="preserve"> (§ 24a</w:t>
      </w:r>
      <w:r w:rsidR="001A0F13" w:rsidRPr="00E93FBA">
        <w:rPr>
          <w:lang w:val="sk-SK"/>
        </w:rPr>
        <w:t xml:space="preserve"> a 24b</w:t>
      </w:r>
      <w:r w:rsidRPr="00E93FBA">
        <w:rPr>
          <w:lang w:val="sk-SK"/>
        </w:rPr>
        <w:t xml:space="preserve">): </w:t>
      </w:r>
    </w:p>
    <w:p w14:paraId="2A9CE997" w14:textId="7C440EC5" w:rsidR="001A0F13" w:rsidRPr="00E93FBA" w:rsidRDefault="001A0F13" w:rsidP="00A86BDB">
      <w:pPr>
        <w:jc w:val="both"/>
        <w:rPr>
          <w:lang w:val="sk-SK"/>
        </w:rPr>
      </w:pPr>
      <w:r w:rsidRPr="00E93FBA">
        <w:rPr>
          <w:lang w:val="sk-SK"/>
        </w:rPr>
        <w:t>K § 24a</w:t>
      </w:r>
    </w:p>
    <w:p w14:paraId="6E1132D7" w14:textId="64DD047D" w:rsidR="00A86BDB" w:rsidRPr="00E93FBA" w:rsidRDefault="00A86BDB" w:rsidP="00A86BDB">
      <w:pPr>
        <w:jc w:val="both"/>
        <w:rPr>
          <w:lang w:val="sk-SK"/>
        </w:rPr>
      </w:pPr>
      <w:r w:rsidRPr="00E93FBA">
        <w:rPr>
          <w:lang w:val="sk-SK"/>
        </w:rPr>
        <w:t>Právna úprava vládneho cloudu z hľadiska svojho obsahu a účelu súvisí so správou informačných technológií verejnej správy a s povinnosťami orgánov riadenia a orgánu vedenia (</w:t>
      </w:r>
      <w:r w:rsidR="004B1320">
        <w:rPr>
          <w:lang w:val="sk-SK"/>
        </w:rPr>
        <w:t>ministerstvo investícií</w:t>
      </w:r>
      <w:r w:rsidRPr="00E93FBA">
        <w:rPr>
          <w:lang w:val="sk-SK"/>
        </w:rPr>
        <w:t>), preto sa navrhuje jej presun do zákona č. 95/2019 Z. z. o informačných technológiách verejnej správy</w:t>
      </w:r>
      <w:r w:rsidR="00237D40" w:rsidRPr="00E93FBA">
        <w:rPr>
          <w:lang w:val="sk-SK"/>
        </w:rPr>
        <w:t xml:space="preserve"> a o zmene a doplnení niektorých zákonov v znení neskorších predpisov</w:t>
      </w:r>
      <w:r w:rsidRPr="00E93FBA">
        <w:rPr>
          <w:lang w:val="sk-SK"/>
        </w:rPr>
        <w:t xml:space="preserve">. Nakoľko tento zákon upravuje okrem všeobecných štandardov informačných technológií verejnej správy, ako aj štandardy cloud computingu a využívania cloudových služieb, právna úprava pravidiel využívania vládnych cloudových služieb a vedenia evidencie </w:t>
      </w:r>
      <w:r w:rsidRPr="00E93FBA">
        <w:rPr>
          <w:lang w:val="sk-SK"/>
        </w:rPr>
        <w:lastRenderedPageBreak/>
        <w:t xml:space="preserve">vládnych cloudových služieb je vhodnejšia v rámci legislatívy informačných technológií verejnej správy. </w:t>
      </w:r>
    </w:p>
    <w:p w14:paraId="100D756B" w14:textId="00B93BF3" w:rsidR="00A86BDB" w:rsidRPr="00E93FBA" w:rsidRDefault="00A86BDB" w:rsidP="00A86BDB">
      <w:pPr>
        <w:jc w:val="both"/>
        <w:rPr>
          <w:lang w:val="sk-SK"/>
        </w:rPr>
      </w:pPr>
      <w:r w:rsidRPr="00E93FBA">
        <w:rPr>
          <w:lang w:val="sk-SK"/>
        </w:rPr>
        <w:t xml:space="preserve">S cieľom zosúladiť text pojmovo aj koncepčne s pôsobnosťou zákona </w:t>
      </w:r>
      <w:r w:rsidR="004C2158" w:rsidRPr="00E93FBA">
        <w:rPr>
          <w:lang w:val="sk-SK"/>
        </w:rPr>
        <w:t>č. 95/2019 Z. z. o informačných technológiách verejnej správy a o zmene a doplnení niektorých zákonov v znení neskorších predpisov</w:t>
      </w:r>
      <w:r w:rsidR="004C2158" w:rsidRPr="00E93FBA" w:rsidDel="004C2158">
        <w:rPr>
          <w:lang w:val="sk-SK"/>
        </w:rPr>
        <w:t xml:space="preserve"> </w:t>
      </w:r>
      <w:r w:rsidRPr="00E93FBA">
        <w:rPr>
          <w:lang w:val="sk-SK"/>
        </w:rPr>
        <w:t xml:space="preserve">sa navrhuje nahradiť pojem „orgán verejnej moci“ pojmom „orgán riadenia“, pričom </w:t>
      </w:r>
      <w:r w:rsidR="008372B9">
        <w:rPr>
          <w:lang w:val="sk-SK"/>
        </w:rPr>
        <w:t>povinnosť používať vládne cloudové služby bude definovaná</w:t>
      </w:r>
      <w:r w:rsidR="001E68DE">
        <w:rPr>
          <w:lang w:val="sk-SK"/>
        </w:rPr>
        <w:t xml:space="preserve"> v závislosti od</w:t>
      </w:r>
      <w:r w:rsidR="008372B9">
        <w:rPr>
          <w:lang w:val="sk-SK"/>
        </w:rPr>
        <w:t xml:space="preserve"> </w:t>
      </w:r>
      <w:r w:rsidR="001E68DE">
        <w:rPr>
          <w:lang w:val="sk-SK"/>
        </w:rPr>
        <w:t>úrovne</w:t>
      </w:r>
      <w:r w:rsidR="008372B9">
        <w:rPr>
          <w:lang w:val="sk-SK"/>
        </w:rPr>
        <w:t xml:space="preserve"> </w:t>
      </w:r>
      <w:r w:rsidR="001E68DE">
        <w:rPr>
          <w:lang w:val="sk-SK"/>
        </w:rPr>
        <w:t>vládnych cloudových</w:t>
      </w:r>
      <w:r w:rsidR="008F0455">
        <w:rPr>
          <w:lang w:val="sk-SK"/>
        </w:rPr>
        <w:t xml:space="preserve"> s</w:t>
      </w:r>
      <w:r w:rsidR="001E68DE">
        <w:rPr>
          <w:lang w:val="sk-SK"/>
        </w:rPr>
        <w:t xml:space="preserve">lužieb, ktoré budú ustanovené </w:t>
      </w:r>
      <w:r w:rsidR="008372B9">
        <w:rPr>
          <w:lang w:val="sk-SK"/>
        </w:rPr>
        <w:t xml:space="preserve">podľa úrovne bezpečnosti </w:t>
      </w:r>
      <w:r w:rsidR="008F0455">
        <w:rPr>
          <w:lang w:val="sk-SK"/>
        </w:rPr>
        <w:t xml:space="preserve">v nadväznosti na kategorizáciu </w:t>
      </w:r>
      <w:r w:rsidR="003826A4">
        <w:rPr>
          <w:lang w:val="sk-SK"/>
        </w:rPr>
        <w:t>údajov</w:t>
      </w:r>
      <w:r w:rsidR="001E68DE">
        <w:rPr>
          <w:lang w:val="sk-SK"/>
        </w:rPr>
        <w:t>, ktorých sa</w:t>
      </w:r>
      <w:r w:rsidR="008F0455" w:rsidRPr="008F0455">
        <w:rPr>
          <w:lang w:val="sk-SK"/>
        </w:rPr>
        <w:t xml:space="preserve"> používanie </w:t>
      </w:r>
      <w:r w:rsidR="001E68DE">
        <w:rPr>
          <w:lang w:val="sk-SK"/>
        </w:rPr>
        <w:t xml:space="preserve">cloudových služieb </w:t>
      </w:r>
      <w:r w:rsidR="008F0455" w:rsidRPr="008F0455">
        <w:rPr>
          <w:lang w:val="sk-SK"/>
        </w:rPr>
        <w:t>týka.</w:t>
      </w:r>
      <w:r w:rsidR="003826A4">
        <w:rPr>
          <w:lang w:val="sk-SK"/>
        </w:rPr>
        <w:t xml:space="preserve">. </w:t>
      </w:r>
    </w:p>
    <w:p w14:paraId="0B646855" w14:textId="3B633C3D" w:rsidR="00B7594D" w:rsidRPr="00E93FBA" w:rsidRDefault="00B7594D" w:rsidP="00A86BDB">
      <w:pPr>
        <w:jc w:val="both"/>
        <w:rPr>
          <w:lang w:val="sk-SK"/>
        </w:rPr>
      </w:pPr>
      <w:r w:rsidRPr="00E93FBA">
        <w:rPr>
          <w:lang w:val="sk-SK"/>
        </w:rPr>
        <w:t>Vzhľadom na stav technológií a záruky, aké štandardné cloudové služby dnes poskytujú sa navrhuje vytvoriť priestor na používanie aj iných než vládnych cloudových služieb</w:t>
      </w:r>
      <w:r w:rsidR="003003E3" w:rsidRPr="00E93FBA">
        <w:rPr>
          <w:lang w:val="sk-SK"/>
        </w:rPr>
        <w:t>, a to od úrovne, ktorú ustanovia štandardy cloud computingu.</w:t>
      </w:r>
      <w:r w:rsidR="00132588" w:rsidRPr="00132588">
        <w:rPr>
          <w:lang w:val="sk-SK"/>
        </w:rPr>
        <w:t xml:space="preserve"> </w:t>
      </w:r>
      <w:r w:rsidR="00132588">
        <w:rPr>
          <w:lang w:val="sk-SK"/>
        </w:rPr>
        <w:t>V praxi to napríklad znamená, že orgán riadenia bude povinný pri výkone verejnej moci podľa zákona o e-Governmente použiť príslušnú úroveň vládnych cloudových služieb</w:t>
      </w:r>
      <w:r w:rsidR="004B1320">
        <w:rPr>
          <w:lang w:val="sk-SK"/>
        </w:rPr>
        <w:t>.</w:t>
      </w:r>
    </w:p>
    <w:p w14:paraId="10904874" w14:textId="6E5F2286" w:rsidR="001A0F13" w:rsidRPr="00E93FBA" w:rsidRDefault="001A0F13" w:rsidP="00A86BDB">
      <w:pPr>
        <w:jc w:val="both"/>
        <w:rPr>
          <w:lang w:val="sk-SK"/>
        </w:rPr>
      </w:pPr>
    </w:p>
    <w:p w14:paraId="17E96442" w14:textId="52BC5328" w:rsidR="00A86BDB" w:rsidRPr="00E93FBA" w:rsidRDefault="001A0F13" w:rsidP="00A86BDB">
      <w:pPr>
        <w:jc w:val="both"/>
        <w:rPr>
          <w:lang w:val="sk-SK"/>
        </w:rPr>
      </w:pPr>
      <w:r w:rsidRPr="00E93FBA">
        <w:rPr>
          <w:lang w:val="sk-SK"/>
        </w:rPr>
        <w:t xml:space="preserve">K </w:t>
      </w:r>
      <w:r w:rsidR="00A86BDB" w:rsidRPr="00E93FBA">
        <w:rPr>
          <w:lang w:val="sk-SK"/>
        </w:rPr>
        <w:t>§ 24b</w:t>
      </w:r>
    </w:p>
    <w:p w14:paraId="0E5B807B" w14:textId="5D3D8EED" w:rsidR="00A86BDB" w:rsidRPr="00E93FBA" w:rsidRDefault="00A86BDB" w:rsidP="00A86BDB">
      <w:pPr>
        <w:jc w:val="both"/>
        <w:rPr>
          <w:lang w:val="sk-SK"/>
        </w:rPr>
      </w:pPr>
      <w:r w:rsidRPr="00E93FBA">
        <w:rPr>
          <w:lang w:val="sk-SK"/>
        </w:rPr>
        <w:t xml:space="preserve">Subjekty verejnej správy už dnes v zmysle štandardov používajú na bezpečnú a spoľahlivú vzájomnú komunikáciu elektronický komunikačný systém Govnet, ktorého prevádzkovateľom je </w:t>
      </w:r>
      <w:r w:rsidR="0025313E" w:rsidRPr="00E93FBA">
        <w:rPr>
          <w:lang w:val="sk-SK"/>
        </w:rPr>
        <w:t>Národná agentúra pre sieťové a elektronické služby</w:t>
      </w:r>
      <w:r w:rsidRPr="00E93FBA">
        <w:rPr>
          <w:lang w:val="sk-SK"/>
        </w:rPr>
        <w:t xml:space="preserve">. Navrhuje sa zjednotiť používanie elektronického komunikačného systému Govnet naprieč orgánmi riadenia, ktoré sú štátnou rozpočtovou organizáciou napojenou na štátny rozpočet, spresniť účel a pravidlá používania Govnetu, ako aj služieb, ktoré sú dostupné v Govnete, a to vo vykonávacom predpise </w:t>
      </w:r>
      <w:r w:rsidR="002F25E5">
        <w:rPr>
          <w:lang w:val="sk-SK"/>
        </w:rPr>
        <w:t>ministerstva investícií</w:t>
      </w:r>
      <w:r w:rsidRPr="00E93FBA">
        <w:rPr>
          <w:lang w:val="sk-SK"/>
        </w:rPr>
        <w:t xml:space="preserve">. </w:t>
      </w:r>
    </w:p>
    <w:p w14:paraId="75504D27" w14:textId="40D13556" w:rsidR="00A86BDB" w:rsidRPr="00E93FBA" w:rsidRDefault="00A86BDB" w:rsidP="00A86BDB">
      <w:pPr>
        <w:jc w:val="both"/>
        <w:rPr>
          <w:lang w:val="sk-SK"/>
        </w:rPr>
      </w:pPr>
    </w:p>
    <w:p w14:paraId="45A48E7C" w14:textId="76BDD84B" w:rsidR="00644B15" w:rsidRPr="00E93FBA" w:rsidRDefault="00644B15" w:rsidP="00A86BDB">
      <w:pPr>
        <w:jc w:val="both"/>
        <w:rPr>
          <w:lang w:val="sk-SK"/>
        </w:rPr>
      </w:pPr>
      <w:r w:rsidRPr="00E93FBA">
        <w:rPr>
          <w:lang w:val="sk-SK"/>
        </w:rPr>
        <w:t>K bodom 1</w:t>
      </w:r>
      <w:r w:rsidR="00F07944">
        <w:rPr>
          <w:lang w:val="sk-SK"/>
        </w:rPr>
        <w:t>8</w:t>
      </w:r>
      <w:r w:rsidRPr="00E93FBA">
        <w:rPr>
          <w:lang w:val="sk-SK"/>
        </w:rPr>
        <w:t xml:space="preserve"> a </w:t>
      </w:r>
      <w:r w:rsidR="00F07944" w:rsidRPr="00E93FBA">
        <w:rPr>
          <w:lang w:val="sk-SK"/>
        </w:rPr>
        <w:t>1</w:t>
      </w:r>
      <w:r w:rsidR="00F07944">
        <w:rPr>
          <w:lang w:val="sk-SK"/>
        </w:rPr>
        <w:t>9</w:t>
      </w:r>
      <w:r w:rsidR="00F07944" w:rsidRPr="00E93FBA">
        <w:rPr>
          <w:lang w:val="sk-SK"/>
        </w:rPr>
        <w:t xml:space="preserve"> </w:t>
      </w:r>
      <w:r w:rsidRPr="00E93FBA">
        <w:rPr>
          <w:lang w:val="sk-SK"/>
        </w:rPr>
        <w:t>(§ 26):</w:t>
      </w:r>
    </w:p>
    <w:p w14:paraId="3A5F4803" w14:textId="036123E6" w:rsidR="00644B15" w:rsidRPr="00E93FBA" w:rsidRDefault="00644B15" w:rsidP="00A86BDB">
      <w:pPr>
        <w:jc w:val="both"/>
        <w:rPr>
          <w:lang w:val="sk-SK"/>
        </w:rPr>
      </w:pPr>
      <w:r w:rsidRPr="00E93FBA">
        <w:rPr>
          <w:lang w:val="sk-SK"/>
        </w:rPr>
        <w:t xml:space="preserve">Úprava súvisiaca s vypustením inštitútu IOM, ktorej cieľom je ponechať výkon tejto činnosti IOM pre prevádzkovateľa, </w:t>
      </w:r>
      <w:r w:rsidR="0017518E" w:rsidRPr="00E93FBA">
        <w:rPr>
          <w:lang w:val="sk-SK"/>
        </w:rPr>
        <w:t xml:space="preserve">pre ktorého v zmysle </w:t>
      </w:r>
      <w:r w:rsidRPr="00E93FBA">
        <w:rPr>
          <w:lang w:val="sk-SK"/>
        </w:rPr>
        <w:t>dnešn</w:t>
      </w:r>
      <w:r w:rsidR="0017518E" w:rsidRPr="00E93FBA">
        <w:rPr>
          <w:lang w:val="sk-SK"/>
        </w:rPr>
        <w:t>ého</w:t>
      </w:r>
      <w:r w:rsidRPr="00E93FBA">
        <w:rPr>
          <w:lang w:val="sk-SK"/>
        </w:rPr>
        <w:t xml:space="preserve"> znen</w:t>
      </w:r>
      <w:r w:rsidR="0017518E" w:rsidRPr="00E93FBA">
        <w:rPr>
          <w:lang w:val="sk-SK"/>
        </w:rPr>
        <w:t>ia</w:t>
      </w:r>
      <w:r w:rsidRPr="00E93FBA">
        <w:rPr>
          <w:lang w:val="sk-SK"/>
        </w:rPr>
        <w:t xml:space="preserve"> § 26 </w:t>
      </w:r>
      <w:r w:rsidR="0017518E" w:rsidRPr="00E93FBA">
        <w:rPr>
          <w:lang w:val="sk-SK"/>
        </w:rPr>
        <w:t xml:space="preserve">explicitne oprávnenie nevyplývalo.  </w:t>
      </w:r>
    </w:p>
    <w:p w14:paraId="40AAF211" w14:textId="77777777" w:rsidR="0017518E" w:rsidRPr="00E93FBA" w:rsidRDefault="0017518E" w:rsidP="00A86BDB">
      <w:pPr>
        <w:jc w:val="both"/>
        <w:rPr>
          <w:lang w:val="sk-SK"/>
        </w:rPr>
      </w:pPr>
    </w:p>
    <w:p w14:paraId="34F7FEFB" w14:textId="267BF9BB" w:rsidR="00A86BDB" w:rsidRPr="00E93FBA" w:rsidRDefault="00A86BDB" w:rsidP="00A86BDB">
      <w:pPr>
        <w:jc w:val="both"/>
        <w:rPr>
          <w:lang w:val="sk-SK"/>
        </w:rPr>
      </w:pPr>
      <w:r w:rsidRPr="00E93FBA">
        <w:rPr>
          <w:lang w:val="sk-SK"/>
        </w:rPr>
        <w:t xml:space="preserve">K bodu </w:t>
      </w:r>
      <w:r w:rsidR="00F07944">
        <w:rPr>
          <w:lang w:val="sk-SK"/>
        </w:rPr>
        <w:t>20</w:t>
      </w:r>
      <w:r w:rsidR="00F07944" w:rsidRPr="00E93FBA">
        <w:rPr>
          <w:lang w:val="sk-SK"/>
        </w:rPr>
        <w:t xml:space="preserve"> </w:t>
      </w:r>
      <w:r w:rsidR="00377E75" w:rsidRPr="00E93FBA">
        <w:rPr>
          <w:lang w:val="sk-SK"/>
        </w:rPr>
        <w:t>[</w:t>
      </w:r>
      <w:r w:rsidRPr="00E93FBA">
        <w:rPr>
          <w:lang w:val="sk-SK"/>
        </w:rPr>
        <w:t>§ 29 ods. 1 písm. c</w:t>
      </w:r>
      <w:r w:rsidR="00377E75" w:rsidRPr="00E93FBA">
        <w:rPr>
          <w:lang w:val="sk-SK"/>
        </w:rPr>
        <w:t xml:space="preserve">)]: </w:t>
      </w:r>
    </w:p>
    <w:p w14:paraId="65702B18" w14:textId="7F62774E" w:rsidR="00A86BDB" w:rsidRPr="00E93FBA" w:rsidRDefault="00377E75" w:rsidP="00A86BDB">
      <w:pPr>
        <w:jc w:val="both"/>
        <w:rPr>
          <w:lang w:val="sk-SK"/>
        </w:rPr>
      </w:pPr>
      <w:r w:rsidRPr="00E93FBA">
        <w:rPr>
          <w:lang w:val="sk-SK"/>
        </w:rPr>
        <w:t xml:space="preserve">Legislatívno-technická úprava </w:t>
      </w:r>
      <w:r w:rsidR="00A86BDB" w:rsidRPr="00E93FBA">
        <w:rPr>
          <w:lang w:val="sk-SK"/>
        </w:rPr>
        <w:t>súvisiaca s úpravou vládneho cloudu.</w:t>
      </w:r>
    </w:p>
    <w:p w14:paraId="11E7CE6F" w14:textId="5340A140" w:rsidR="00A86BDB" w:rsidRPr="00E93FBA" w:rsidRDefault="00A86BDB" w:rsidP="00A86BDB">
      <w:pPr>
        <w:jc w:val="both"/>
        <w:rPr>
          <w:lang w:val="sk-SK"/>
        </w:rPr>
      </w:pPr>
    </w:p>
    <w:p w14:paraId="548262FE" w14:textId="09BFE15D" w:rsidR="00377E75" w:rsidRPr="00E93FBA" w:rsidRDefault="00377E75" w:rsidP="00377E75">
      <w:pPr>
        <w:jc w:val="both"/>
        <w:rPr>
          <w:lang w:val="sk-SK"/>
        </w:rPr>
      </w:pPr>
      <w:r w:rsidRPr="00E93FBA">
        <w:rPr>
          <w:lang w:val="sk-SK"/>
        </w:rPr>
        <w:t>K bod</w:t>
      </w:r>
      <w:r w:rsidR="00383F04" w:rsidRPr="00E93FBA">
        <w:rPr>
          <w:lang w:val="sk-SK"/>
        </w:rPr>
        <w:t>om</w:t>
      </w:r>
      <w:r w:rsidRPr="00E93FBA">
        <w:rPr>
          <w:lang w:val="sk-SK"/>
        </w:rPr>
        <w:t xml:space="preserve"> </w:t>
      </w:r>
      <w:r w:rsidR="009E3EE7" w:rsidRPr="00E93FBA">
        <w:rPr>
          <w:lang w:val="sk-SK"/>
        </w:rPr>
        <w:t>2</w:t>
      </w:r>
      <w:r w:rsidR="00CC5B74">
        <w:rPr>
          <w:lang w:val="sk-SK"/>
        </w:rPr>
        <w:t>1</w:t>
      </w:r>
      <w:r w:rsidR="009E3EE7" w:rsidRPr="00E93FBA">
        <w:rPr>
          <w:lang w:val="sk-SK"/>
        </w:rPr>
        <w:t xml:space="preserve"> </w:t>
      </w:r>
      <w:r w:rsidR="00656278" w:rsidRPr="00E93FBA">
        <w:rPr>
          <w:lang w:val="sk-SK"/>
        </w:rPr>
        <w:t>a </w:t>
      </w:r>
      <w:r w:rsidR="00CC5B74" w:rsidRPr="00E93FBA">
        <w:rPr>
          <w:lang w:val="sk-SK"/>
        </w:rPr>
        <w:t>2</w:t>
      </w:r>
      <w:r w:rsidR="00CC5B74">
        <w:rPr>
          <w:lang w:val="sk-SK"/>
        </w:rPr>
        <w:t>2</w:t>
      </w:r>
      <w:r w:rsidR="00CC5B74" w:rsidRPr="00E93FBA">
        <w:rPr>
          <w:lang w:val="sk-SK"/>
        </w:rPr>
        <w:t xml:space="preserve"> </w:t>
      </w:r>
      <w:r w:rsidRPr="00E93FBA">
        <w:rPr>
          <w:lang w:val="sk-SK"/>
        </w:rPr>
        <w:t>[§ 31 písm. c)</w:t>
      </w:r>
      <w:r w:rsidR="00383F04" w:rsidRPr="00E93FBA">
        <w:rPr>
          <w:lang w:val="sk-SK"/>
        </w:rPr>
        <w:t>, f) a g)</w:t>
      </w:r>
      <w:r w:rsidRPr="00E93FBA">
        <w:rPr>
          <w:lang w:val="sk-SK"/>
        </w:rPr>
        <w:t xml:space="preserve">]: </w:t>
      </w:r>
    </w:p>
    <w:p w14:paraId="291C9C9E" w14:textId="3C615D21" w:rsidR="00377E75" w:rsidRPr="00E93FBA" w:rsidRDefault="00377E75" w:rsidP="00377E75">
      <w:pPr>
        <w:jc w:val="both"/>
        <w:rPr>
          <w:lang w:val="sk-SK"/>
        </w:rPr>
      </w:pPr>
      <w:r w:rsidRPr="00E93FBA">
        <w:rPr>
          <w:lang w:val="sk-SK"/>
        </w:rPr>
        <w:t xml:space="preserve">Legislatívno-technická úprava súvisiaca s úpravou </w:t>
      </w:r>
      <w:r w:rsidR="00A571B4" w:rsidRPr="00E93FBA">
        <w:rPr>
          <w:lang w:val="sk-SK"/>
        </w:rPr>
        <w:t>podmienok prevádzky</w:t>
      </w:r>
      <w:r w:rsidRPr="00E93FBA">
        <w:rPr>
          <w:lang w:val="sk-SK"/>
        </w:rPr>
        <w:t>.</w:t>
      </w:r>
    </w:p>
    <w:p w14:paraId="1D383EA6" w14:textId="77777777" w:rsidR="00377E75" w:rsidRPr="00E93FBA" w:rsidRDefault="00377E75" w:rsidP="00A86BDB">
      <w:pPr>
        <w:jc w:val="both"/>
        <w:rPr>
          <w:lang w:val="sk-SK"/>
        </w:rPr>
      </w:pPr>
    </w:p>
    <w:p w14:paraId="7177083C" w14:textId="21355E51" w:rsidR="00A86BDB" w:rsidRPr="00E93FBA" w:rsidRDefault="00A86BDB" w:rsidP="00A86BDB">
      <w:pPr>
        <w:jc w:val="both"/>
        <w:rPr>
          <w:lang w:val="sk-SK"/>
        </w:rPr>
      </w:pPr>
      <w:r w:rsidRPr="00E93FBA">
        <w:rPr>
          <w:lang w:val="sk-SK"/>
        </w:rPr>
        <w:t xml:space="preserve">K bodu </w:t>
      </w:r>
      <w:r w:rsidR="00670187" w:rsidRPr="00E93FBA">
        <w:rPr>
          <w:lang w:val="sk-SK"/>
        </w:rPr>
        <w:t>2</w:t>
      </w:r>
      <w:r w:rsidR="00CC5B74">
        <w:rPr>
          <w:lang w:val="sk-SK"/>
        </w:rPr>
        <w:t>3</w:t>
      </w:r>
      <w:r w:rsidR="00670187" w:rsidRPr="00E93FBA">
        <w:rPr>
          <w:lang w:val="sk-SK"/>
        </w:rPr>
        <w:t xml:space="preserve"> </w:t>
      </w:r>
      <w:r w:rsidR="00383F04" w:rsidRPr="00E93FBA">
        <w:rPr>
          <w:lang w:val="sk-SK"/>
        </w:rPr>
        <w:t xml:space="preserve">[§ </w:t>
      </w:r>
      <w:r w:rsidRPr="00E93FBA">
        <w:rPr>
          <w:lang w:val="sk-SK"/>
        </w:rPr>
        <w:t xml:space="preserve">31 písmeno </w:t>
      </w:r>
      <w:r w:rsidR="00134935" w:rsidRPr="00E93FBA">
        <w:rPr>
          <w:lang w:val="sk-SK"/>
        </w:rPr>
        <w:t>m</w:t>
      </w:r>
      <w:r w:rsidR="00383F04" w:rsidRPr="00E93FBA">
        <w:rPr>
          <w:lang w:val="sk-SK"/>
        </w:rPr>
        <w:t>)</w:t>
      </w:r>
      <w:r w:rsidR="00A273C4" w:rsidRPr="00E93FBA">
        <w:rPr>
          <w:lang w:val="sk-SK"/>
        </w:rPr>
        <w:t xml:space="preserve"> a </w:t>
      </w:r>
      <w:r w:rsidR="00134935" w:rsidRPr="00E93FBA">
        <w:rPr>
          <w:lang w:val="sk-SK"/>
        </w:rPr>
        <w:t>n</w:t>
      </w:r>
      <w:r w:rsidR="00A273C4" w:rsidRPr="00E93FBA">
        <w:rPr>
          <w:lang w:val="sk-SK"/>
        </w:rPr>
        <w:t>)</w:t>
      </w:r>
      <w:r w:rsidR="00383F04" w:rsidRPr="00E93FBA">
        <w:rPr>
          <w:lang w:val="sk-SK"/>
        </w:rPr>
        <w:t>]:</w:t>
      </w:r>
    </w:p>
    <w:p w14:paraId="370D7CF2" w14:textId="18461152" w:rsidR="00A86BDB" w:rsidRPr="00E93FBA" w:rsidRDefault="00383F04" w:rsidP="00A86BDB">
      <w:pPr>
        <w:jc w:val="both"/>
        <w:rPr>
          <w:lang w:val="sk-SK"/>
        </w:rPr>
      </w:pPr>
      <w:r w:rsidRPr="00E93FBA">
        <w:rPr>
          <w:lang w:val="sk-SK"/>
        </w:rPr>
        <w:t xml:space="preserve">Legislatívno-technická úprava </w:t>
      </w:r>
      <w:r w:rsidR="00A86BDB" w:rsidRPr="00E93FBA">
        <w:rPr>
          <w:lang w:val="sk-SK"/>
        </w:rPr>
        <w:t xml:space="preserve">súvisiaca s úpravou </w:t>
      </w:r>
      <w:r w:rsidR="005B00FC" w:rsidRPr="00E93FBA">
        <w:rPr>
          <w:lang w:val="sk-SK"/>
        </w:rPr>
        <w:t>Govnetu</w:t>
      </w:r>
      <w:r w:rsidR="00670187" w:rsidRPr="00E93FBA">
        <w:rPr>
          <w:lang w:val="sk-SK"/>
        </w:rPr>
        <w:t xml:space="preserve"> a s úpravou v § 26 ods. 2</w:t>
      </w:r>
      <w:r w:rsidR="005B00FC" w:rsidRPr="00E93FBA">
        <w:rPr>
          <w:lang w:val="sk-SK"/>
        </w:rPr>
        <w:t xml:space="preserve">. </w:t>
      </w:r>
    </w:p>
    <w:p w14:paraId="56D6C36F" w14:textId="70A2BBDC" w:rsidR="00C762EA" w:rsidRPr="00E93FBA" w:rsidRDefault="00C762EA" w:rsidP="005B2864">
      <w:pPr>
        <w:jc w:val="both"/>
        <w:rPr>
          <w:lang w:val="sk-SK"/>
        </w:rPr>
      </w:pPr>
    </w:p>
    <w:p w14:paraId="414B723A" w14:textId="176FFF61" w:rsidR="00E75920" w:rsidRPr="00E93FBA" w:rsidRDefault="00E75920" w:rsidP="005B2864">
      <w:pPr>
        <w:jc w:val="both"/>
        <w:rPr>
          <w:lang w:val="sk-SK"/>
        </w:rPr>
      </w:pPr>
      <w:r w:rsidRPr="00E93FBA">
        <w:rPr>
          <w:lang w:val="sk-SK"/>
        </w:rPr>
        <w:t xml:space="preserve">K bodu </w:t>
      </w:r>
      <w:r w:rsidR="002B7AE5" w:rsidRPr="00E93FBA">
        <w:rPr>
          <w:lang w:val="sk-SK"/>
        </w:rPr>
        <w:t>2</w:t>
      </w:r>
      <w:r w:rsidR="00CC5B74">
        <w:rPr>
          <w:lang w:val="sk-SK"/>
        </w:rPr>
        <w:t>4</w:t>
      </w:r>
      <w:r w:rsidR="002B7AE5" w:rsidRPr="00E93FBA">
        <w:rPr>
          <w:lang w:val="sk-SK"/>
        </w:rPr>
        <w:t xml:space="preserve"> </w:t>
      </w:r>
      <w:r w:rsidRPr="00E93FBA">
        <w:rPr>
          <w:lang w:val="sk-SK"/>
        </w:rPr>
        <w:t>(§ 33a):</w:t>
      </w:r>
    </w:p>
    <w:p w14:paraId="75593C21" w14:textId="713E9D6C" w:rsidR="00E75920" w:rsidRPr="00E93FBA" w:rsidRDefault="0041195B" w:rsidP="005B2864">
      <w:pPr>
        <w:jc w:val="both"/>
        <w:rPr>
          <w:lang w:val="sk-SK"/>
        </w:rPr>
      </w:pPr>
      <w:r w:rsidRPr="00E93FBA">
        <w:rPr>
          <w:lang w:val="sk-SK"/>
        </w:rPr>
        <w:t xml:space="preserve">Z hľadiska zachovania kontinuity evidencie vládnych cloudových služieb a ich používania sa </w:t>
      </w:r>
      <w:r w:rsidR="009920F5" w:rsidRPr="00E93FBA">
        <w:rPr>
          <w:lang w:val="sk-SK"/>
        </w:rPr>
        <w:t>navrhuje</w:t>
      </w:r>
      <w:r w:rsidRPr="00E93FBA">
        <w:rPr>
          <w:lang w:val="sk-SK"/>
        </w:rPr>
        <w:t xml:space="preserve"> ustanoviť, že</w:t>
      </w:r>
      <w:r w:rsidR="009920F5" w:rsidRPr="00E93FBA">
        <w:rPr>
          <w:lang w:val="sk-SK"/>
        </w:rPr>
        <w:t xml:space="preserve"> vládny cloud, vládna cloudová služba a ich evidencia podľa doterajších predpisov (zákon o e-Governmente) sú vládnym cloudom, vládnou cloudovou službou a ich evidenciou podľa </w:t>
      </w:r>
      <w:r w:rsidR="00BB5384" w:rsidRPr="00E93FBA">
        <w:rPr>
          <w:lang w:val="sk-SK"/>
        </w:rPr>
        <w:t>č. 95/2019 Z. z. o informačných technológiách verejnej správy a o zmene a doplnení niektorých zákonov v znení neskorších predpisov</w:t>
      </w:r>
      <w:r w:rsidR="009920F5" w:rsidRPr="00E93FBA">
        <w:rPr>
          <w:lang w:val="sk-SK"/>
        </w:rPr>
        <w:t>.</w:t>
      </w:r>
    </w:p>
    <w:p w14:paraId="26485109" w14:textId="77777777" w:rsidR="00FE2A53" w:rsidRPr="00E93FBA" w:rsidRDefault="00FE2A53" w:rsidP="005B2864">
      <w:pPr>
        <w:jc w:val="both"/>
        <w:rPr>
          <w:i/>
          <w:iCs/>
          <w:lang w:val="sk-SK"/>
        </w:rPr>
      </w:pPr>
    </w:p>
    <w:p w14:paraId="4DBA88D3" w14:textId="77777777" w:rsidR="00E75920" w:rsidRPr="00E93FBA" w:rsidRDefault="00E75920" w:rsidP="005B2864">
      <w:pPr>
        <w:jc w:val="both"/>
        <w:rPr>
          <w:lang w:val="sk-SK"/>
        </w:rPr>
      </w:pPr>
    </w:p>
    <w:p w14:paraId="238B7826" w14:textId="6BADF94E" w:rsidR="00441ABD" w:rsidRPr="00E93FBA" w:rsidRDefault="00441ABD" w:rsidP="005B2864">
      <w:pPr>
        <w:jc w:val="both"/>
        <w:rPr>
          <w:lang w:val="sk-SK"/>
        </w:rPr>
      </w:pPr>
      <w:r w:rsidRPr="00E93FBA">
        <w:rPr>
          <w:lang w:val="sk-SK"/>
        </w:rPr>
        <w:t xml:space="preserve">K čl. </w:t>
      </w:r>
      <w:r w:rsidR="002B7AE5" w:rsidRPr="00E93FBA">
        <w:rPr>
          <w:lang w:val="sk-SK"/>
        </w:rPr>
        <w:t>X</w:t>
      </w:r>
      <w:r w:rsidR="00946F54" w:rsidRPr="00E93FBA">
        <w:rPr>
          <w:lang w:val="sk-SK"/>
        </w:rPr>
        <w:t>I</w:t>
      </w:r>
      <w:r w:rsidR="002B7AE5" w:rsidRPr="00E93FBA">
        <w:rPr>
          <w:lang w:val="sk-SK"/>
        </w:rPr>
        <w:t xml:space="preserve"> </w:t>
      </w:r>
      <w:r w:rsidR="008B1AF4" w:rsidRPr="00E93FBA">
        <w:rPr>
          <w:lang w:val="sk-SK"/>
        </w:rPr>
        <w:t>(účinnosť)</w:t>
      </w:r>
    </w:p>
    <w:p w14:paraId="51E63487" w14:textId="5EA18828" w:rsidR="00C77200" w:rsidRPr="00E93FBA" w:rsidRDefault="000915E0" w:rsidP="005B2864">
      <w:pPr>
        <w:jc w:val="both"/>
        <w:rPr>
          <w:lang w:val="sk-SK"/>
        </w:rPr>
      </w:pPr>
      <w:r w:rsidRPr="00E93FBA">
        <w:rPr>
          <w:lang w:val="sk-SK"/>
        </w:rPr>
        <w:t xml:space="preserve">Účinnosť </w:t>
      </w:r>
      <w:r w:rsidR="006F2D86" w:rsidRPr="00E93FBA">
        <w:rPr>
          <w:lang w:val="sk-SK"/>
        </w:rPr>
        <w:t xml:space="preserve">návrhu </w:t>
      </w:r>
      <w:r w:rsidRPr="00E93FBA">
        <w:rPr>
          <w:lang w:val="sk-SK"/>
        </w:rPr>
        <w:t xml:space="preserve">zákona sa navrhuje 1. </w:t>
      </w:r>
      <w:r w:rsidR="009E3EE7" w:rsidRPr="00E93FBA">
        <w:rPr>
          <w:lang w:val="sk-SK"/>
        </w:rPr>
        <w:t xml:space="preserve">októbra </w:t>
      </w:r>
      <w:r w:rsidRPr="00E93FBA">
        <w:rPr>
          <w:lang w:val="sk-SK"/>
        </w:rPr>
        <w:t>2022</w:t>
      </w:r>
      <w:r w:rsidR="00E75920" w:rsidRPr="00E93FBA">
        <w:rPr>
          <w:lang w:val="sk-SK"/>
        </w:rPr>
        <w:t>, s odložením účinnosti</w:t>
      </w:r>
      <w:r w:rsidR="008E4D76" w:rsidRPr="00E93FBA">
        <w:rPr>
          <w:lang w:val="sk-SK"/>
        </w:rPr>
        <w:t xml:space="preserve"> zmien v zaručenej konverzii a zrušení vyhlášky o alternatívnom autentifikátore na 1. </w:t>
      </w:r>
      <w:r w:rsidR="009E3EE7" w:rsidRPr="00E93FBA">
        <w:rPr>
          <w:lang w:val="sk-SK"/>
        </w:rPr>
        <w:t xml:space="preserve">október </w:t>
      </w:r>
      <w:r w:rsidR="008E4D76" w:rsidRPr="00E93FBA">
        <w:rPr>
          <w:lang w:val="sk-SK"/>
        </w:rPr>
        <w:t>2024</w:t>
      </w:r>
      <w:r w:rsidRPr="00E93FBA">
        <w:rPr>
          <w:lang w:val="sk-SK"/>
        </w:rPr>
        <w:t>.</w:t>
      </w:r>
    </w:p>
    <w:p w14:paraId="718F9FEA" w14:textId="77777777" w:rsidR="00086C00" w:rsidRDefault="00086C00" w:rsidP="00086C00">
      <w:pPr>
        <w:rPr>
          <w:lang w:val="sk-SK"/>
        </w:rPr>
      </w:pPr>
    </w:p>
    <w:p w14:paraId="5D8C6320" w14:textId="02D6DACE" w:rsidR="00086C00" w:rsidRPr="002B6327" w:rsidRDefault="00086C00" w:rsidP="00086C00">
      <w:pPr>
        <w:rPr>
          <w:lang w:val="sk-SK"/>
        </w:rPr>
      </w:pPr>
      <w:r>
        <w:rPr>
          <w:lang w:val="sk-SK"/>
        </w:rPr>
        <w:t>V Bratislave 26</w:t>
      </w:r>
      <w:r w:rsidRPr="002B6327">
        <w:rPr>
          <w:lang w:val="sk-SK"/>
        </w:rPr>
        <w:t>. mája 2022.</w:t>
      </w:r>
    </w:p>
    <w:p w14:paraId="6DC3BD5B" w14:textId="77777777" w:rsidR="00086C00" w:rsidRPr="0062444D" w:rsidRDefault="00086C00" w:rsidP="00086C00">
      <w:pPr>
        <w:jc w:val="center"/>
        <w:rPr>
          <w:b/>
        </w:rPr>
      </w:pPr>
    </w:p>
    <w:p w14:paraId="09443A22" w14:textId="77777777" w:rsidR="00086C00" w:rsidRPr="0062444D" w:rsidRDefault="00086C00" w:rsidP="00086C00">
      <w:pPr>
        <w:jc w:val="center"/>
        <w:rPr>
          <w:b/>
        </w:rPr>
      </w:pPr>
    </w:p>
    <w:p w14:paraId="1976D763" w14:textId="77777777" w:rsidR="00086C00" w:rsidRPr="0062444D" w:rsidRDefault="00086C00" w:rsidP="00086C00">
      <w:pPr>
        <w:jc w:val="center"/>
        <w:rPr>
          <w:b/>
        </w:rPr>
      </w:pPr>
    </w:p>
    <w:p w14:paraId="7F31AACE" w14:textId="4F4ED806" w:rsidR="00086C00" w:rsidRPr="00B542CA" w:rsidRDefault="005F2B90" w:rsidP="00086C00">
      <w:pPr>
        <w:pStyle w:val="Bezriadkovania"/>
        <w:jc w:val="center"/>
        <w:rPr>
          <w:rFonts w:ascii="Times New Roman" w:hAnsi="Times New Roman" w:cs="Times New Roman"/>
          <w:b/>
          <w:sz w:val="24"/>
          <w:szCs w:val="24"/>
        </w:rPr>
      </w:pPr>
      <w:r>
        <w:rPr>
          <w:rFonts w:ascii="Times New Roman" w:hAnsi="Times New Roman" w:cs="Times New Roman"/>
          <w:b/>
          <w:sz w:val="24"/>
          <w:szCs w:val="24"/>
        </w:rPr>
        <w:t>Eduard Heger</w:t>
      </w:r>
      <w:r w:rsidR="007D65EE">
        <w:rPr>
          <w:rFonts w:ascii="Times New Roman" w:hAnsi="Times New Roman" w:cs="Times New Roman"/>
          <w:b/>
          <w:sz w:val="24"/>
          <w:szCs w:val="24"/>
        </w:rPr>
        <w:t xml:space="preserve"> </w:t>
      </w:r>
      <w:r w:rsidR="00BA67E8">
        <w:rPr>
          <w:rFonts w:ascii="Times New Roman" w:hAnsi="Times New Roman" w:cs="Times New Roman"/>
          <w:b/>
          <w:sz w:val="24"/>
          <w:szCs w:val="24"/>
        </w:rPr>
        <w:t>v. r.</w:t>
      </w:r>
    </w:p>
    <w:p w14:paraId="2F72A9BB" w14:textId="77777777" w:rsidR="00086C00" w:rsidRPr="0062444D" w:rsidRDefault="00086C00" w:rsidP="00086C00">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predseda vlády</w:t>
      </w:r>
    </w:p>
    <w:p w14:paraId="5CE63F60" w14:textId="77777777" w:rsidR="00086C00" w:rsidRPr="0062444D" w:rsidRDefault="00086C00" w:rsidP="00086C00">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Slovenskej republiky</w:t>
      </w:r>
    </w:p>
    <w:p w14:paraId="081A3AEB" w14:textId="77777777" w:rsidR="00086C00" w:rsidRPr="0062444D" w:rsidRDefault="00086C00" w:rsidP="00086C00">
      <w:pPr>
        <w:pStyle w:val="Bezriadkovania"/>
        <w:jc w:val="center"/>
        <w:rPr>
          <w:rFonts w:ascii="Times New Roman" w:hAnsi="Times New Roman" w:cs="Times New Roman"/>
          <w:sz w:val="24"/>
          <w:szCs w:val="24"/>
        </w:rPr>
      </w:pPr>
    </w:p>
    <w:p w14:paraId="7152F234" w14:textId="77777777" w:rsidR="00086C00" w:rsidRPr="0062444D" w:rsidRDefault="00086C00" w:rsidP="00086C00">
      <w:pPr>
        <w:pStyle w:val="Bezriadkovania"/>
        <w:jc w:val="center"/>
        <w:rPr>
          <w:rFonts w:ascii="Times New Roman" w:hAnsi="Times New Roman" w:cs="Times New Roman"/>
          <w:sz w:val="24"/>
          <w:szCs w:val="24"/>
        </w:rPr>
      </w:pPr>
    </w:p>
    <w:p w14:paraId="1622B4DF" w14:textId="77777777" w:rsidR="00086C00" w:rsidRPr="0062444D" w:rsidRDefault="00086C00" w:rsidP="00086C00">
      <w:pPr>
        <w:pStyle w:val="Bezriadkovania"/>
        <w:jc w:val="center"/>
        <w:rPr>
          <w:rFonts w:ascii="Times New Roman" w:hAnsi="Times New Roman" w:cs="Times New Roman"/>
          <w:sz w:val="24"/>
          <w:szCs w:val="24"/>
        </w:rPr>
      </w:pPr>
    </w:p>
    <w:p w14:paraId="4C818BC7" w14:textId="77777777" w:rsidR="00086C00" w:rsidRPr="0062444D" w:rsidRDefault="00086C00" w:rsidP="00086C00">
      <w:pPr>
        <w:pStyle w:val="Bezriadkovania"/>
        <w:jc w:val="center"/>
        <w:rPr>
          <w:rFonts w:ascii="Times New Roman" w:hAnsi="Times New Roman" w:cs="Times New Roman"/>
          <w:sz w:val="24"/>
          <w:szCs w:val="24"/>
        </w:rPr>
      </w:pPr>
    </w:p>
    <w:p w14:paraId="20DC370C" w14:textId="77777777" w:rsidR="00086C00" w:rsidRPr="0062444D" w:rsidRDefault="00086C00" w:rsidP="00086C00">
      <w:pPr>
        <w:pStyle w:val="Bezriadkovania"/>
        <w:jc w:val="center"/>
        <w:rPr>
          <w:rFonts w:ascii="Times New Roman" w:hAnsi="Times New Roman" w:cs="Times New Roman"/>
          <w:sz w:val="24"/>
          <w:szCs w:val="24"/>
        </w:rPr>
      </w:pPr>
    </w:p>
    <w:p w14:paraId="3B389476" w14:textId="449A6E15" w:rsidR="00086C00" w:rsidRPr="00B542CA" w:rsidRDefault="005F2B90" w:rsidP="00086C00">
      <w:pPr>
        <w:pStyle w:val="Bezriadkovania"/>
        <w:jc w:val="center"/>
        <w:rPr>
          <w:rFonts w:ascii="Times New Roman" w:hAnsi="Times New Roman" w:cs="Times New Roman"/>
          <w:b/>
          <w:sz w:val="24"/>
          <w:szCs w:val="24"/>
        </w:rPr>
      </w:pPr>
      <w:r>
        <w:rPr>
          <w:rFonts w:ascii="Times New Roman" w:hAnsi="Times New Roman" w:cs="Times New Roman"/>
          <w:b/>
          <w:sz w:val="24"/>
          <w:szCs w:val="24"/>
        </w:rPr>
        <w:t>Veronika Remišová</w:t>
      </w:r>
      <w:r w:rsidR="00BA67E8">
        <w:rPr>
          <w:rFonts w:ascii="Times New Roman" w:hAnsi="Times New Roman" w:cs="Times New Roman"/>
          <w:b/>
          <w:sz w:val="24"/>
          <w:szCs w:val="24"/>
        </w:rPr>
        <w:t xml:space="preserve"> v. r.</w:t>
      </w:r>
    </w:p>
    <w:p w14:paraId="04A44930" w14:textId="77777777" w:rsidR="00086C00" w:rsidRPr="0062444D" w:rsidRDefault="00086C00" w:rsidP="00086C00">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podpredsedníčka vlády a ministerka investícií,</w:t>
      </w:r>
    </w:p>
    <w:p w14:paraId="2D987381" w14:textId="77777777" w:rsidR="00086C00" w:rsidRPr="0062444D" w:rsidRDefault="00086C00" w:rsidP="00086C00">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 xml:space="preserve">regionálneho rozvoja a informatizácie </w:t>
      </w:r>
    </w:p>
    <w:p w14:paraId="583FBDF3" w14:textId="77777777" w:rsidR="007C3F79" w:rsidRPr="00E93FBA" w:rsidRDefault="007C3F79" w:rsidP="000F7927">
      <w:pPr>
        <w:spacing w:before="120"/>
        <w:rPr>
          <w:lang w:val="sk-SK"/>
        </w:rPr>
      </w:pPr>
      <w:bookmarkStart w:id="3" w:name="_GoBack"/>
      <w:bookmarkEnd w:id="3"/>
    </w:p>
    <w:sectPr w:rsidR="007C3F79" w:rsidRPr="00E93FBA" w:rsidSect="007B0A46">
      <w:footerReference w:type="default" r:id="rId2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62D1A" w14:textId="77777777" w:rsidR="00FF4CD7" w:rsidRDefault="00FF4CD7" w:rsidP="00EE02C0">
      <w:r>
        <w:separator/>
      </w:r>
    </w:p>
  </w:endnote>
  <w:endnote w:type="continuationSeparator" w:id="0">
    <w:p w14:paraId="6FB6C414" w14:textId="77777777" w:rsidR="00FF4CD7" w:rsidRDefault="00FF4CD7" w:rsidP="00EE02C0">
      <w:r>
        <w:continuationSeparator/>
      </w:r>
    </w:p>
  </w:endnote>
  <w:endnote w:type="continuationNotice" w:id="1">
    <w:p w14:paraId="2F448834" w14:textId="77777777" w:rsidR="00FF4CD7" w:rsidRDefault="00FF4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6265B" w14:textId="77777777" w:rsidR="00FF4CD7" w:rsidRDefault="00FF4CD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61A24E9" w14:textId="77777777" w:rsidR="00FF4CD7" w:rsidRDefault="00FF4CD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592505"/>
      <w:docPartObj>
        <w:docPartGallery w:val="Page Numbers (Bottom of Page)"/>
        <w:docPartUnique/>
      </w:docPartObj>
    </w:sdtPr>
    <w:sdtEndPr/>
    <w:sdtContent>
      <w:p w14:paraId="3BE870A3" w14:textId="24D7D336" w:rsidR="001C7FA0" w:rsidRDefault="001C7FA0">
        <w:pPr>
          <w:pStyle w:val="Pta"/>
          <w:jc w:val="center"/>
        </w:pPr>
        <w:r>
          <w:fldChar w:fldCharType="begin"/>
        </w:r>
        <w:r>
          <w:instrText>PAGE   \* MERGEFORMAT</w:instrText>
        </w:r>
        <w:r>
          <w:fldChar w:fldCharType="separate"/>
        </w:r>
        <w:r w:rsidR="00BA67E8">
          <w:rPr>
            <w:noProof/>
          </w:rPr>
          <w:t>11</w:t>
        </w:r>
        <w:r>
          <w:fldChar w:fldCharType="end"/>
        </w:r>
      </w:p>
    </w:sdtContent>
  </w:sdt>
  <w:p w14:paraId="3AA38B71" w14:textId="77777777" w:rsidR="00FF4CD7" w:rsidRDefault="00FF4CD7">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495652"/>
      <w:docPartObj>
        <w:docPartGallery w:val="Page Numbers (Bottom of Page)"/>
        <w:docPartUnique/>
      </w:docPartObj>
    </w:sdtPr>
    <w:sdtEndPr/>
    <w:sdtContent>
      <w:p w14:paraId="12C6B80C" w14:textId="6E5771AC" w:rsidR="001C7FA0" w:rsidRDefault="001C7FA0">
        <w:pPr>
          <w:pStyle w:val="Pta"/>
          <w:jc w:val="center"/>
        </w:pPr>
        <w:r>
          <w:fldChar w:fldCharType="begin"/>
        </w:r>
        <w:r>
          <w:instrText>PAGE   \* MERGEFORMAT</w:instrText>
        </w:r>
        <w:r>
          <w:fldChar w:fldCharType="separate"/>
        </w:r>
        <w:r w:rsidR="00BA67E8">
          <w:rPr>
            <w:noProof/>
          </w:rPr>
          <w:t>21</w:t>
        </w:r>
        <w:r>
          <w:fldChar w:fldCharType="end"/>
        </w:r>
      </w:p>
    </w:sdtContent>
  </w:sdt>
  <w:p w14:paraId="688D5962" w14:textId="77777777" w:rsidR="00FF4CD7" w:rsidRDefault="00FF4CD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879962"/>
      <w:docPartObj>
        <w:docPartGallery w:val="Page Numbers (Bottom of Page)"/>
        <w:docPartUnique/>
      </w:docPartObj>
    </w:sdtPr>
    <w:sdtEndPr/>
    <w:sdtContent>
      <w:p w14:paraId="089BA9BE" w14:textId="2701007A" w:rsidR="001C7FA0" w:rsidRDefault="001C7FA0">
        <w:pPr>
          <w:pStyle w:val="Pta"/>
          <w:jc w:val="center"/>
        </w:pPr>
        <w:r>
          <w:fldChar w:fldCharType="begin"/>
        </w:r>
        <w:r>
          <w:instrText>PAGE   \* MERGEFORMAT</w:instrText>
        </w:r>
        <w:r>
          <w:fldChar w:fldCharType="separate"/>
        </w:r>
        <w:r w:rsidR="00BA67E8">
          <w:rPr>
            <w:noProof/>
          </w:rPr>
          <w:t>20</w:t>
        </w:r>
        <w:r>
          <w:fldChar w:fldCharType="end"/>
        </w:r>
      </w:p>
    </w:sdtContent>
  </w:sdt>
  <w:p w14:paraId="416C9D0B" w14:textId="77777777" w:rsidR="00FF4CD7" w:rsidRDefault="00FF4CD7">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974529"/>
      <w:docPartObj>
        <w:docPartGallery w:val="Page Numbers (Bottom of Page)"/>
        <w:docPartUnique/>
      </w:docPartObj>
    </w:sdtPr>
    <w:sdtEndPr/>
    <w:sdtContent>
      <w:p w14:paraId="58C98C5C" w14:textId="5A63FF4C" w:rsidR="001C7FA0" w:rsidRDefault="001C7FA0" w:rsidP="001C7FA0">
        <w:pPr>
          <w:pStyle w:val="Pta"/>
          <w:jc w:val="center"/>
        </w:pPr>
        <w:r>
          <w:fldChar w:fldCharType="begin"/>
        </w:r>
        <w:r>
          <w:instrText>PAGE   \* MERGEFORMAT</w:instrText>
        </w:r>
        <w:r>
          <w:fldChar w:fldCharType="separate"/>
        </w:r>
        <w:r w:rsidR="00BA67E8">
          <w:rPr>
            <w:noProof/>
          </w:rPr>
          <w:t>22</w:t>
        </w:r>
        <w:r>
          <w:fldChar w:fldCharType="end"/>
        </w:r>
      </w:p>
    </w:sdtContent>
  </w:sdt>
  <w:p w14:paraId="79FBBB70" w14:textId="77777777" w:rsidR="00FF4CD7" w:rsidRPr="007C3F79" w:rsidRDefault="00FF4CD7" w:rsidP="007C3F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4991A" w14:textId="77777777" w:rsidR="00FF4CD7" w:rsidRDefault="00FF4CD7" w:rsidP="00EE02C0">
      <w:r>
        <w:separator/>
      </w:r>
    </w:p>
  </w:footnote>
  <w:footnote w:type="continuationSeparator" w:id="0">
    <w:p w14:paraId="43EEADD2" w14:textId="77777777" w:rsidR="00FF4CD7" w:rsidRDefault="00FF4CD7" w:rsidP="00EE02C0">
      <w:r>
        <w:continuationSeparator/>
      </w:r>
    </w:p>
  </w:footnote>
  <w:footnote w:type="continuationNotice" w:id="1">
    <w:p w14:paraId="2F566D10" w14:textId="77777777" w:rsidR="00FF4CD7" w:rsidRDefault="00FF4C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4309" w14:textId="77777777" w:rsidR="00FF4CD7" w:rsidRDefault="00FF4CD7" w:rsidP="00D777B9">
    <w:pPr>
      <w:pStyle w:val="Hlavika"/>
      <w:jc w:val="right"/>
      <w:rPr>
        <w:sz w:val="24"/>
        <w:szCs w:val="24"/>
      </w:rPr>
    </w:pPr>
    <w:r>
      <w:rPr>
        <w:sz w:val="24"/>
        <w:szCs w:val="24"/>
      </w:rPr>
      <w:t>Príloha č. 2</w:t>
    </w:r>
  </w:p>
  <w:p w14:paraId="7CE77739" w14:textId="77777777" w:rsidR="00FF4CD7" w:rsidRPr="00EB59C8" w:rsidRDefault="00FF4CD7" w:rsidP="00D777B9">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6C8F" w14:textId="77777777" w:rsidR="00FF4CD7" w:rsidRPr="0024067A" w:rsidRDefault="00FF4CD7">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8626" w14:textId="7FF69877" w:rsidR="00FF4CD7" w:rsidRPr="002732B1" w:rsidRDefault="00FF4CD7" w:rsidP="00D777B9">
    <w:pPr>
      <w:pStyle w:val="Hlavika"/>
      <w:jc w:val="right"/>
      <w:rPr>
        <w:rFonts w:ascii="Times New Roman" w:hAnsi="Times New Roman"/>
        <w:sz w:val="24"/>
        <w:szCs w:val="24"/>
      </w:rPr>
    </w:pPr>
    <w:r w:rsidRPr="002732B1">
      <w:rPr>
        <w:rFonts w:ascii="Times New Roman" w:hAnsi="Times New Roman"/>
        <w:sz w:val="24"/>
        <w:szCs w:val="24"/>
      </w:rPr>
      <w:t>Príloha č. 3a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3068" w14:textId="77777777" w:rsidR="00FF4CD7" w:rsidRPr="006045CB" w:rsidRDefault="00FF4CD7" w:rsidP="00FF4CD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175706F7"/>
    <w:multiLevelType w:val="multilevel"/>
    <w:tmpl w:val="AA4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E5E43"/>
    <w:multiLevelType w:val="hybridMultilevel"/>
    <w:tmpl w:val="DDC0CE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5EA37C8"/>
    <w:multiLevelType w:val="multilevel"/>
    <w:tmpl w:val="40E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74EC1"/>
    <w:multiLevelType w:val="hybridMultilevel"/>
    <w:tmpl w:val="FE9AE5E0"/>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4C4A6F22"/>
    <w:multiLevelType w:val="hybridMultilevel"/>
    <w:tmpl w:val="21D40EBC"/>
    <w:lvl w:ilvl="0" w:tplc="F60CB848">
      <w:start w:val="1"/>
      <w:numFmt w:val="low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6931D65"/>
    <w:multiLevelType w:val="multilevel"/>
    <w:tmpl w:val="DD64E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BDE54EF"/>
    <w:multiLevelType w:val="hybridMultilevel"/>
    <w:tmpl w:val="9628F518"/>
    <w:lvl w:ilvl="0" w:tplc="22A0C088">
      <w:start w:val="1"/>
      <w:numFmt w:val="decimal"/>
      <w:lvlText w:val="%1."/>
      <w:lvlJc w:val="left"/>
      <w:pPr>
        <w:ind w:left="862" w:hanging="360"/>
      </w:pPr>
      <w:rPr>
        <w:sz w:val="22"/>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4"/>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hideSpelling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81"/>
    <w:rsid w:val="0000108F"/>
    <w:rsid w:val="00001BEB"/>
    <w:rsid w:val="00001C9D"/>
    <w:rsid w:val="000023F6"/>
    <w:rsid w:val="00002842"/>
    <w:rsid w:val="00003034"/>
    <w:rsid w:val="00003E2E"/>
    <w:rsid w:val="00004205"/>
    <w:rsid w:val="000043C5"/>
    <w:rsid w:val="000062AE"/>
    <w:rsid w:val="00006469"/>
    <w:rsid w:val="00007445"/>
    <w:rsid w:val="0001044C"/>
    <w:rsid w:val="0001084F"/>
    <w:rsid w:val="00011F5E"/>
    <w:rsid w:val="00012244"/>
    <w:rsid w:val="00012D3C"/>
    <w:rsid w:val="000135B7"/>
    <w:rsid w:val="00013928"/>
    <w:rsid w:val="000143F5"/>
    <w:rsid w:val="00014490"/>
    <w:rsid w:val="00015ABA"/>
    <w:rsid w:val="00016003"/>
    <w:rsid w:val="00016611"/>
    <w:rsid w:val="000179B4"/>
    <w:rsid w:val="00020E11"/>
    <w:rsid w:val="00022B7F"/>
    <w:rsid w:val="00023BF4"/>
    <w:rsid w:val="00026B67"/>
    <w:rsid w:val="00027E26"/>
    <w:rsid w:val="0003125E"/>
    <w:rsid w:val="000314BB"/>
    <w:rsid w:val="00031CA7"/>
    <w:rsid w:val="00032787"/>
    <w:rsid w:val="000335D7"/>
    <w:rsid w:val="000345C6"/>
    <w:rsid w:val="00034FEC"/>
    <w:rsid w:val="0003618F"/>
    <w:rsid w:val="000361E4"/>
    <w:rsid w:val="00037075"/>
    <w:rsid w:val="000378EE"/>
    <w:rsid w:val="00041E01"/>
    <w:rsid w:val="00042B6B"/>
    <w:rsid w:val="00042BC9"/>
    <w:rsid w:val="00043BD3"/>
    <w:rsid w:val="00046DEE"/>
    <w:rsid w:val="00047520"/>
    <w:rsid w:val="000501F2"/>
    <w:rsid w:val="000506C4"/>
    <w:rsid w:val="00050A9A"/>
    <w:rsid w:val="00050D16"/>
    <w:rsid w:val="00051CDC"/>
    <w:rsid w:val="00052E0F"/>
    <w:rsid w:val="00053A00"/>
    <w:rsid w:val="00053D7D"/>
    <w:rsid w:val="000543E7"/>
    <w:rsid w:val="000544E0"/>
    <w:rsid w:val="00054E2F"/>
    <w:rsid w:val="0005594B"/>
    <w:rsid w:val="00057538"/>
    <w:rsid w:val="00057A93"/>
    <w:rsid w:val="000617F5"/>
    <w:rsid w:val="00061DCC"/>
    <w:rsid w:val="000628EA"/>
    <w:rsid w:val="000635C6"/>
    <w:rsid w:val="000724D7"/>
    <w:rsid w:val="0007348C"/>
    <w:rsid w:val="0007442A"/>
    <w:rsid w:val="00074738"/>
    <w:rsid w:val="0007518E"/>
    <w:rsid w:val="00076A66"/>
    <w:rsid w:val="00077608"/>
    <w:rsid w:val="00080FF7"/>
    <w:rsid w:val="00084ADF"/>
    <w:rsid w:val="00086C00"/>
    <w:rsid w:val="00086E8C"/>
    <w:rsid w:val="000870C1"/>
    <w:rsid w:val="000875BB"/>
    <w:rsid w:val="00087B23"/>
    <w:rsid w:val="00087DA5"/>
    <w:rsid w:val="00090720"/>
    <w:rsid w:val="00091541"/>
    <w:rsid w:val="000915E0"/>
    <w:rsid w:val="000917CD"/>
    <w:rsid w:val="00091BD9"/>
    <w:rsid w:val="000928F6"/>
    <w:rsid w:val="00093700"/>
    <w:rsid w:val="0009438C"/>
    <w:rsid w:val="000947C1"/>
    <w:rsid w:val="000955FE"/>
    <w:rsid w:val="000959B0"/>
    <w:rsid w:val="000969B0"/>
    <w:rsid w:val="00096F89"/>
    <w:rsid w:val="000A009C"/>
    <w:rsid w:val="000A08DD"/>
    <w:rsid w:val="000A1AC6"/>
    <w:rsid w:val="000A1BDA"/>
    <w:rsid w:val="000A2BF1"/>
    <w:rsid w:val="000A2D64"/>
    <w:rsid w:val="000A3748"/>
    <w:rsid w:val="000A41ED"/>
    <w:rsid w:val="000A58A2"/>
    <w:rsid w:val="000A5BC0"/>
    <w:rsid w:val="000A5CC3"/>
    <w:rsid w:val="000B01FA"/>
    <w:rsid w:val="000B0A9B"/>
    <w:rsid w:val="000B0C38"/>
    <w:rsid w:val="000B317C"/>
    <w:rsid w:val="000B4F67"/>
    <w:rsid w:val="000B614F"/>
    <w:rsid w:val="000B627D"/>
    <w:rsid w:val="000B6D3A"/>
    <w:rsid w:val="000C1675"/>
    <w:rsid w:val="000C26EC"/>
    <w:rsid w:val="000C330B"/>
    <w:rsid w:val="000C39C4"/>
    <w:rsid w:val="000C4ABE"/>
    <w:rsid w:val="000C534B"/>
    <w:rsid w:val="000C7BF5"/>
    <w:rsid w:val="000D0939"/>
    <w:rsid w:val="000D0F8F"/>
    <w:rsid w:val="000D10F7"/>
    <w:rsid w:val="000D1756"/>
    <w:rsid w:val="000D178E"/>
    <w:rsid w:val="000D3040"/>
    <w:rsid w:val="000D324E"/>
    <w:rsid w:val="000D4233"/>
    <w:rsid w:val="000D4C6B"/>
    <w:rsid w:val="000D5006"/>
    <w:rsid w:val="000D5130"/>
    <w:rsid w:val="000D5511"/>
    <w:rsid w:val="000D5C6D"/>
    <w:rsid w:val="000E0FCD"/>
    <w:rsid w:val="000E1287"/>
    <w:rsid w:val="000E1866"/>
    <w:rsid w:val="000E1D63"/>
    <w:rsid w:val="000E1FBD"/>
    <w:rsid w:val="000E2558"/>
    <w:rsid w:val="000E3ABB"/>
    <w:rsid w:val="000E4455"/>
    <w:rsid w:val="000E4A91"/>
    <w:rsid w:val="000E4E1E"/>
    <w:rsid w:val="000E5138"/>
    <w:rsid w:val="000E5C5F"/>
    <w:rsid w:val="000E7B60"/>
    <w:rsid w:val="000E7FEC"/>
    <w:rsid w:val="000F13A1"/>
    <w:rsid w:val="000F1CCA"/>
    <w:rsid w:val="000F5028"/>
    <w:rsid w:val="000F6196"/>
    <w:rsid w:val="000F62E5"/>
    <w:rsid w:val="000F6B14"/>
    <w:rsid w:val="000F73EB"/>
    <w:rsid w:val="000F7927"/>
    <w:rsid w:val="000F7A08"/>
    <w:rsid w:val="00100088"/>
    <w:rsid w:val="0010051D"/>
    <w:rsid w:val="00100CCE"/>
    <w:rsid w:val="001046A2"/>
    <w:rsid w:val="00105A8C"/>
    <w:rsid w:val="00106388"/>
    <w:rsid w:val="00106817"/>
    <w:rsid w:val="001068CE"/>
    <w:rsid w:val="00106E84"/>
    <w:rsid w:val="00107969"/>
    <w:rsid w:val="00107EF3"/>
    <w:rsid w:val="001109C5"/>
    <w:rsid w:val="001111B5"/>
    <w:rsid w:val="001128BF"/>
    <w:rsid w:val="00113C38"/>
    <w:rsid w:val="00113CAC"/>
    <w:rsid w:val="0011749C"/>
    <w:rsid w:val="001177B2"/>
    <w:rsid w:val="001179D0"/>
    <w:rsid w:val="00120DAD"/>
    <w:rsid w:val="001215E3"/>
    <w:rsid w:val="00121FC4"/>
    <w:rsid w:val="0012220E"/>
    <w:rsid w:val="00123AFE"/>
    <w:rsid w:val="00124604"/>
    <w:rsid w:val="00126AAF"/>
    <w:rsid w:val="00131ADB"/>
    <w:rsid w:val="00131C61"/>
    <w:rsid w:val="00132588"/>
    <w:rsid w:val="001329D8"/>
    <w:rsid w:val="00133113"/>
    <w:rsid w:val="00133A16"/>
    <w:rsid w:val="00133C71"/>
    <w:rsid w:val="0013464C"/>
    <w:rsid w:val="0013491A"/>
    <w:rsid w:val="00134935"/>
    <w:rsid w:val="001353B6"/>
    <w:rsid w:val="00137472"/>
    <w:rsid w:val="001430EC"/>
    <w:rsid w:val="00143823"/>
    <w:rsid w:val="00143B0D"/>
    <w:rsid w:val="00147031"/>
    <w:rsid w:val="0014728D"/>
    <w:rsid w:val="00147BC9"/>
    <w:rsid w:val="001521CE"/>
    <w:rsid w:val="001522DB"/>
    <w:rsid w:val="001528E7"/>
    <w:rsid w:val="001530C8"/>
    <w:rsid w:val="001541CA"/>
    <w:rsid w:val="00154821"/>
    <w:rsid w:val="001572E6"/>
    <w:rsid w:val="00160F16"/>
    <w:rsid w:val="001619A4"/>
    <w:rsid w:val="00162DA2"/>
    <w:rsid w:val="00164FE5"/>
    <w:rsid w:val="0016571D"/>
    <w:rsid w:val="00165942"/>
    <w:rsid w:val="00170A73"/>
    <w:rsid w:val="00171FF3"/>
    <w:rsid w:val="00172A2C"/>
    <w:rsid w:val="00172D07"/>
    <w:rsid w:val="001735C6"/>
    <w:rsid w:val="0017518E"/>
    <w:rsid w:val="00175981"/>
    <w:rsid w:val="00177C55"/>
    <w:rsid w:val="001802F0"/>
    <w:rsid w:val="0018106D"/>
    <w:rsid w:val="001815FF"/>
    <w:rsid w:val="00182B74"/>
    <w:rsid w:val="00183C38"/>
    <w:rsid w:val="00185034"/>
    <w:rsid w:val="00185293"/>
    <w:rsid w:val="001853DD"/>
    <w:rsid w:val="00186D15"/>
    <w:rsid w:val="001877FF"/>
    <w:rsid w:val="0019047B"/>
    <w:rsid w:val="001947EF"/>
    <w:rsid w:val="001949D2"/>
    <w:rsid w:val="0019511B"/>
    <w:rsid w:val="0019680B"/>
    <w:rsid w:val="00196E24"/>
    <w:rsid w:val="0019759A"/>
    <w:rsid w:val="00197638"/>
    <w:rsid w:val="00197681"/>
    <w:rsid w:val="001A0F13"/>
    <w:rsid w:val="001A15B9"/>
    <w:rsid w:val="001A24A5"/>
    <w:rsid w:val="001A2527"/>
    <w:rsid w:val="001A2848"/>
    <w:rsid w:val="001A3713"/>
    <w:rsid w:val="001A3C3D"/>
    <w:rsid w:val="001A4C78"/>
    <w:rsid w:val="001A637D"/>
    <w:rsid w:val="001A66C5"/>
    <w:rsid w:val="001A6F42"/>
    <w:rsid w:val="001A73CB"/>
    <w:rsid w:val="001A7A85"/>
    <w:rsid w:val="001B169F"/>
    <w:rsid w:val="001B2A04"/>
    <w:rsid w:val="001B2C06"/>
    <w:rsid w:val="001B37D5"/>
    <w:rsid w:val="001B4A64"/>
    <w:rsid w:val="001B5717"/>
    <w:rsid w:val="001B571C"/>
    <w:rsid w:val="001C1518"/>
    <w:rsid w:val="001C361F"/>
    <w:rsid w:val="001C54CD"/>
    <w:rsid w:val="001C55D3"/>
    <w:rsid w:val="001C607C"/>
    <w:rsid w:val="001C6F0C"/>
    <w:rsid w:val="001C7FA0"/>
    <w:rsid w:val="001D0780"/>
    <w:rsid w:val="001D1E06"/>
    <w:rsid w:val="001D49B9"/>
    <w:rsid w:val="001D5FB4"/>
    <w:rsid w:val="001D6130"/>
    <w:rsid w:val="001D6153"/>
    <w:rsid w:val="001D67A8"/>
    <w:rsid w:val="001D76C2"/>
    <w:rsid w:val="001D7AF2"/>
    <w:rsid w:val="001E0A7A"/>
    <w:rsid w:val="001E43C8"/>
    <w:rsid w:val="001E45F7"/>
    <w:rsid w:val="001E47CC"/>
    <w:rsid w:val="001E638B"/>
    <w:rsid w:val="001E63A6"/>
    <w:rsid w:val="001E68DE"/>
    <w:rsid w:val="001E737A"/>
    <w:rsid w:val="001F020B"/>
    <w:rsid w:val="001F172A"/>
    <w:rsid w:val="001F188D"/>
    <w:rsid w:val="001F27EB"/>
    <w:rsid w:val="001F2852"/>
    <w:rsid w:val="001F28A8"/>
    <w:rsid w:val="001F41A7"/>
    <w:rsid w:val="001F437A"/>
    <w:rsid w:val="001F6EC4"/>
    <w:rsid w:val="001F7EE5"/>
    <w:rsid w:val="0020062F"/>
    <w:rsid w:val="00201585"/>
    <w:rsid w:val="00201A61"/>
    <w:rsid w:val="002020F8"/>
    <w:rsid w:val="00204640"/>
    <w:rsid w:val="00205738"/>
    <w:rsid w:val="002059C5"/>
    <w:rsid w:val="00205FCD"/>
    <w:rsid w:val="00206006"/>
    <w:rsid w:val="00210406"/>
    <w:rsid w:val="002108CD"/>
    <w:rsid w:val="00211ABF"/>
    <w:rsid w:val="00211FE4"/>
    <w:rsid w:val="002121FC"/>
    <w:rsid w:val="0021339C"/>
    <w:rsid w:val="0021373C"/>
    <w:rsid w:val="0021388A"/>
    <w:rsid w:val="00213D9A"/>
    <w:rsid w:val="00214706"/>
    <w:rsid w:val="00214EA0"/>
    <w:rsid w:val="00216323"/>
    <w:rsid w:val="00220363"/>
    <w:rsid w:val="00223B6F"/>
    <w:rsid w:val="00224AED"/>
    <w:rsid w:val="00224BEC"/>
    <w:rsid w:val="00226440"/>
    <w:rsid w:val="00226EE7"/>
    <w:rsid w:val="00226EEB"/>
    <w:rsid w:val="00227CCA"/>
    <w:rsid w:val="002301EE"/>
    <w:rsid w:val="002303C5"/>
    <w:rsid w:val="00231FF1"/>
    <w:rsid w:val="002327DF"/>
    <w:rsid w:val="0023385A"/>
    <w:rsid w:val="00234229"/>
    <w:rsid w:val="00234552"/>
    <w:rsid w:val="00234D6C"/>
    <w:rsid w:val="00235C3E"/>
    <w:rsid w:val="00236397"/>
    <w:rsid w:val="0023699A"/>
    <w:rsid w:val="00237D40"/>
    <w:rsid w:val="00237DC1"/>
    <w:rsid w:val="00240A80"/>
    <w:rsid w:val="002411B0"/>
    <w:rsid w:val="0024220D"/>
    <w:rsid w:val="0024388D"/>
    <w:rsid w:val="002440FF"/>
    <w:rsid w:val="00245C79"/>
    <w:rsid w:val="0024625E"/>
    <w:rsid w:val="002469F9"/>
    <w:rsid w:val="00246FA3"/>
    <w:rsid w:val="00247821"/>
    <w:rsid w:val="00250BF3"/>
    <w:rsid w:val="002511C0"/>
    <w:rsid w:val="002511FF"/>
    <w:rsid w:val="00251315"/>
    <w:rsid w:val="002516D3"/>
    <w:rsid w:val="0025313E"/>
    <w:rsid w:val="00253F25"/>
    <w:rsid w:val="0025426F"/>
    <w:rsid w:val="0025517C"/>
    <w:rsid w:val="002555F0"/>
    <w:rsid w:val="00256A6B"/>
    <w:rsid w:val="00256C06"/>
    <w:rsid w:val="00260AE8"/>
    <w:rsid w:val="00261075"/>
    <w:rsid w:val="0026119B"/>
    <w:rsid w:val="00261400"/>
    <w:rsid w:val="002618DE"/>
    <w:rsid w:val="00262BA0"/>
    <w:rsid w:val="00262BB1"/>
    <w:rsid w:val="00264D09"/>
    <w:rsid w:val="00265F31"/>
    <w:rsid w:val="0026697C"/>
    <w:rsid w:val="00267B2E"/>
    <w:rsid w:val="00267BC7"/>
    <w:rsid w:val="002725A2"/>
    <w:rsid w:val="002725BA"/>
    <w:rsid w:val="0027289A"/>
    <w:rsid w:val="002732B1"/>
    <w:rsid w:val="0027381A"/>
    <w:rsid w:val="0028049E"/>
    <w:rsid w:val="0028308D"/>
    <w:rsid w:val="00283ACF"/>
    <w:rsid w:val="002856BF"/>
    <w:rsid w:val="0028591C"/>
    <w:rsid w:val="002861AD"/>
    <w:rsid w:val="002867A9"/>
    <w:rsid w:val="0029027A"/>
    <w:rsid w:val="0029103E"/>
    <w:rsid w:val="00293ECC"/>
    <w:rsid w:val="00295E81"/>
    <w:rsid w:val="00296924"/>
    <w:rsid w:val="00297B66"/>
    <w:rsid w:val="002A0627"/>
    <w:rsid w:val="002A1889"/>
    <w:rsid w:val="002A39FA"/>
    <w:rsid w:val="002A54DB"/>
    <w:rsid w:val="002A6309"/>
    <w:rsid w:val="002A6B61"/>
    <w:rsid w:val="002A7188"/>
    <w:rsid w:val="002A73D0"/>
    <w:rsid w:val="002B07A7"/>
    <w:rsid w:val="002B2564"/>
    <w:rsid w:val="002B2B63"/>
    <w:rsid w:val="002B43B2"/>
    <w:rsid w:val="002B5B09"/>
    <w:rsid w:val="002B5E32"/>
    <w:rsid w:val="002B7057"/>
    <w:rsid w:val="002B78A3"/>
    <w:rsid w:val="002B7AE5"/>
    <w:rsid w:val="002B7D28"/>
    <w:rsid w:val="002C226C"/>
    <w:rsid w:val="002C4E93"/>
    <w:rsid w:val="002C6C70"/>
    <w:rsid w:val="002D0674"/>
    <w:rsid w:val="002D0C1C"/>
    <w:rsid w:val="002D26CA"/>
    <w:rsid w:val="002D376B"/>
    <w:rsid w:val="002D473C"/>
    <w:rsid w:val="002D5C1A"/>
    <w:rsid w:val="002D64FB"/>
    <w:rsid w:val="002D6D80"/>
    <w:rsid w:val="002E03A2"/>
    <w:rsid w:val="002E0848"/>
    <w:rsid w:val="002E0E07"/>
    <w:rsid w:val="002E1FB0"/>
    <w:rsid w:val="002E281C"/>
    <w:rsid w:val="002E3020"/>
    <w:rsid w:val="002E37DB"/>
    <w:rsid w:val="002E3A76"/>
    <w:rsid w:val="002E4854"/>
    <w:rsid w:val="002E6CEE"/>
    <w:rsid w:val="002E784A"/>
    <w:rsid w:val="002F0C67"/>
    <w:rsid w:val="002F12B1"/>
    <w:rsid w:val="002F227B"/>
    <w:rsid w:val="002F25E5"/>
    <w:rsid w:val="002F29A2"/>
    <w:rsid w:val="002F349B"/>
    <w:rsid w:val="002F463E"/>
    <w:rsid w:val="002F4BF5"/>
    <w:rsid w:val="002F4EC0"/>
    <w:rsid w:val="002F66D3"/>
    <w:rsid w:val="002F66E3"/>
    <w:rsid w:val="002F736E"/>
    <w:rsid w:val="003003E3"/>
    <w:rsid w:val="003013C0"/>
    <w:rsid w:val="003015F6"/>
    <w:rsid w:val="00304825"/>
    <w:rsid w:val="003050B9"/>
    <w:rsid w:val="0030710F"/>
    <w:rsid w:val="003073CD"/>
    <w:rsid w:val="003073F4"/>
    <w:rsid w:val="003106D7"/>
    <w:rsid w:val="00313258"/>
    <w:rsid w:val="00313A3B"/>
    <w:rsid w:val="00314234"/>
    <w:rsid w:val="00314A6D"/>
    <w:rsid w:val="00314CA8"/>
    <w:rsid w:val="00315671"/>
    <w:rsid w:val="00315EA5"/>
    <w:rsid w:val="00315F8C"/>
    <w:rsid w:val="003220E7"/>
    <w:rsid w:val="0032416F"/>
    <w:rsid w:val="00327B67"/>
    <w:rsid w:val="00327E80"/>
    <w:rsid w:val="00331648"/>
    <w:rsid w:val="00331AF2"/>
    <w:rsid w:val="00332C68"/>
    <w:rsid w:val="00332E1B"/>
    <w:rsid w:val="00333FD5"/>
    <w:rsid w:val="00334670"/>
    <w:rsid w:val="00334CB2"/>
    <w:rsid w:val="003368AE"/>
    <w:rsid w:val="00336DB2"/>
    <w:rsid w:val="00341B01"/>
    <w:rsid w:val="0034522D"/>
    <w:rsid w:val="00346A17"/>
    <w:rsid w:val="00350971"/>
    <w:rsid w:val="00351579"/>
    <w:rsid w:val="003521B4"/>
    <w:rsid w:val="00352A7D"/>
    <w:rsid w:val="00353BEE"/>
    <w:rsid w:val="00353EF8"/>
    <w:rsid w:val="0035404E"/>
    <w:rsid w:val="00355C85"/>
    <w:rsid w:val="00355E90"/>
    <w:rsid w:val="00355F15"/>
    <w:rsid w:val="003561B8"/>
    <w:rsid w:val="003566C9"/>
    <w:rsid w:val="00356C32"/>
    <w:rsid w:val="00362421"/>
    <w:rsid w:val="0036566F"/>
    <w:rsid w:val="003665BE"/>
    <w:rsid w:val="003670FC"/>
    <w:rsid w:val="00367996"/>
    <w:rsid w:val="003679F0"/>
    <w:rsid w:val="003711F4"/>
    <w:rsid w:val="00371655"/>
    <w:rsid w:val="0037194E"/>
    <w:rsid w:val="0037251F"/>
    <w:rsid w:val="00372999"/>
    <w:rsid w:val="00373A76"/>
    <w:rsid w:val="00373F31"/>
    <w:rsid w:val="0037489A"/>
    <w:rsid w:val="00374D51"/>
    <w:rsid w:val="003765FD"/>
    <w:rsid w:val="00376604"/>
    <w:rsid w:val="00376714"/>
    <w:rsid w:val="003773C7"/>
    <w:rsid w:val="00377E75"/>
    <w:rsid w:val="003826A4"/>
    <w:rsid w:val="00382FC3"/>
    <w:rsid w:val="00383F04"/>
    <w:rsid w:val="003842A0"/>
    <w:rsid w:val="003849EA"/>
    <w:rsid w:val="00385432"/>
    <w:rsid w:val="0038600F"/>
    <w:rsid w:val="00386515"/>
    <w:rsid w:val="00386553"/>
    <w:rsid w:val="0039098C"/>
    <w:rsid w:val="00390A84"/>
    <w:rsid w:val="00390E58"/>
    <w:rsid w:val="00390F84"/>
    <w:rsid w:val="00392200"/>
    <w:rsid w:val="0039276B"/>
    <w:rsid w:val="0039276E"/>
    <w:rsid w:val="00392FC9"/>
    <w:rsid w:val="00393949"/>
    <w:rsid w:val="003939B6"/>
    <w:rsid w:val="00394D21"/>
    <w:rsid w:val="0039504E"/>
    <w:rsid w:val="003953E9"/>
    <w:rsid w:val="00397F46"/>
    <w:rsid w:val="003A008F"/>
    <w:rsid w:val="003A00AB"/>
    <w:rsid w:val="003A0820"/>
    <w:rsid w:val="003A0AA0"/>
    <w:rsid w:val="003A0FA9"/>
    <w:rsid w:val="003A1C8C"/>
    <w:rsid w:val="003A34D1"/>
    <w:rsid w:val="003A6089"/>
    <w:rsid w:val="003A700C"/>
    <w:rsid w:val="003A7C7F"/>
    <w:rsid w:val="003B057F"/>
    <w:rsid w:val="003B05EC"/>
    <w:rsid w:val="003B181A"/>
    <w:rsid w:val="003B2369"/>
    <w:rsid w:val="003B2894"/>
    <w:rsid w:val="003B2BA3"/>
    <w:rsid w:val="003B2CEF"/>
    <w:rsid w:val="003B31F7"/>
    <w:rsid w:val="003B35ED"/>
    <w:rsid w:val="003B3A85"/>
    <w:rsid w:val="003B40D3"/>
    <w:rsid w:val="003B487F"/>
    <w:rsid w:val="003B490E"/>
    <w:rsid w:val="003B5D08"/>
    <w:rsid w:val="003B70FB"/>
    <w:rsid w:val="003B7222"/>
    <w:rsid w:val="003B7861"/>
    <w:rsid w:val="003B7E4E"/>
    <w:rsid w:val="003C047D"/>
    <w:rsid w:val="003C1757"/>
    <w:rsid w:val="003C1BAC"/>
    <w:rsid w:val="003C1C3D"/>
    <w:rsid w:val="003C2FFD"/>
    <w:rsid w:val="003C4A2F"/>
    <w:rsid w:val="003C4BE6"/>
    <w:rsid w:val="003C6F88"/>
    <w:rsid w:val="003C79F4"/>
    <w:rsid w:val="003C7E44"/>
    <w:rsid w:val="003D2BC6"/>
    <w:rsid w:val="003D30BD"/>
    <w:rsid w:val="003D5035"/>
    <w:rsid w:val="003D539D"/>
    <w:rsid w:val="003D5A76"/>
    <w:rsid w:val="003D7B55"/>
    <w:rsid w:val="003D7F6E"/>
    <w:rsid w:val="003E1624"/>
    <w:rsid w:val="003E17F2"/>
    <w:rsid w:val="003E2B0D"/>
    <w:rsid w:val="003E399D"/>
    <w:rsid w:val="003E491E"/>
    <w:rsid w:val="003E6703"/>
    <w:rsid w:val="003F0236"/>
    <w:rsid w:val="003F1010"/>
    <w:rsid w:val="003F1070"/>
    <w:rsid w:val="003F4D15"/>
    <w:rsid w:val="003F520E"/>
    <w:rsid w:val="003F6A62"/>
    <w:rsid w:val="003F7D6A"/>
    <w:rsid w:val="003F7F0C"/>
    <w:rsid w:val="004005EE"/>
    <w:rsid w:val="0040072D"/>
    <w:rsid w:val="004014E3"/>
    <w:rsid w:val="004054DF"/>
    <w:rsid w:val="00405D79"/>
    <w:rsid w:val="004068B1"/>
    <w:rsid w:val="00406C07"/>
    <w:rsid w:val="0041092A"/>
    <w:rsid w:val="00410F3C"/>
    <w:rsid w:val="00411056"/>
    <w:rsid w:val="004116B4"/>
    <w:rsid w:val="0041195B"/>
    <w:rsid w:val="00413E49"/>
    <w:rsid w:val="0041521E"/>
    <w:rsid w:val="004154DE"/>
    <w:rsid w:val="00417488"/>
    <w:rsid w:val="00420C98"/>
    <w:rsid w:val="0042197B"/>
    <w:rsid w:val="0042283E"/>
    <w:rsid w:val="00422A51"/>
    <w:rsid w:val="00423650"/>
    <w:rsid w:val="00423B1F"/>
    <w:rsid w:val="00423CD5"/>
    <w:rsid w:val="00423D72"/>
    <w:rsid w:val="00426BFE"/>
    <w:rsid w:val="00427BFE"/>
    <w:rsid w:val="00430196"/>
    <w:rsid w:val="004319D8"/>
    <w:rsid w:val="00431CEA"/>
    <w:rsid w:val="004320B9"/>
    <w:rsid w:val="00433925"/>
    <w:rsid w:val="00435BF7"/>
    <w:rsid w:val="004379D8"/>
    <w:rsid w:val="00440097"/>
    <w:rsid w:val="0044082C"/>
    <w:rsid w:val="00441502"/>
    <w:rsid w:val="0044164B"/>
    <w:rsid w:val="00441846"/>
    <w:rsid w:val="00441ABD"/>
    <w:rsid w:val="004421E4"/>
    <w:rsid w:val="00442FF0"/>
    <w:rsid w:val="004447D6"/>
    <w:rsid w:val="00445BFB"/>
    <w:rsid w:val="00446258"/>
    <w:rsid w:val="004510BC"/>
    <w:rsid w:val="00452F6D"/>
    <w:rsid w:val="004549C0"/>
    <w:rsid w:val="00454F2A"/>
    <w:rsid w:val="00455CCA"/>
    <w:rsid w:val="00456489"/>
    <w:rsid w:val="004567D2"/>
    <w:rsid w:val="004577FD"/>
    <w:rsid w:val="00460CE4"/>
    <w:rsid w:val="00460FDE"/>
    <w:rsid w:val="0046167F"/>
    <w:rsid w:val="00461A6A"/>
    <w:rsid w:val="00461EAF"/>
    <w:rsid w:val="00465332"/>
    <w:rsid w:val="00466208"/>
    <w:rsid w:val="0046630A"/>
    <w:rsid w:val="00467E68"/>
    <w:rsid w:val="004771B4"/>
    <w:rsid w:val="00477AB6"/>
    <w:rsid w:val="00477AB9"/>
    <w:rsid w:val="00477BEA"/>
    <w:rsid w:val="00477F24"/>
    <w:rsid w:val="004803BF"/>
    <w:rsid w:val="0048162E"/>
    <w:rsid w:val="0048279D"/>
    <w:rsid w:val="00483674"/>
    <w:rsid w:val="00484BAC"/>
    <w:rsid w:val="00485B4F"/>
    <w:rsid w:val="00486772"/>
    <w:rsid w:val="00486828"/>
    <w:rsid w:val="00487268"/>
    <w:rsid w:val="00487426"/>
    <w:rsid w:val="00487F2F"/>
    <w:rsid w:val="00490112"/>
    <w:rsid w:val="0049039C"/>
    <w:rsid w:val="004903F4"/>
    <w:rsid w:val="00492AD7"/>
    <w:rsid w:val="00492FD2"/>
    <w:rsid w:val="0049326C"/>
    <w:rsid w:val="004947B0"/>
    <w:rsid w:val="00494F7F"/>
    <w:rsid w:val="00495464"/>
    <w:rsid w:val="0049678D"/>
    <w:rsid w:val="00496B64"/>
    <w:rsid w:val="00497E60"/>
    <w:rsid w:val="004A015D"/>
    <w:rsid w:val="004A0B29"/>
    <w:rsid w:val="004A13CF"/>
    <w:rsid w:val="004A1B67"/>
    <w:rsid w:val="004A1BB3"/>
    <w:rsid w:val="004A24BF"/>
    <w:rsid w:val="004A27E3"/>
    <w:rsid w:val="004A4566"/>
    <w:rsid w:val="004A490B"/>
    <w:rsid w:val="004A4FAF"/>
    <w:rsid w:val="004A588F"/>
    <w:rsid w:val="004A7247"/>
    <w:rsid w:val="004A7438"/>
    <w:rsid w:val="004A757C"/>
    <w:rsid w:val="004A7F7D"/>
    <w:rsid w:val="004B1320"/>
    <w:rsid w:val="004B1948"/>
    <w:rsid w:val="004B1D8B"/>
    <w:rsid w:val="004B501D"/>
    <w:rsid w:val="004B5675"/>
    <w:rsid w:val="004B7EF4"/>
    <w:rsid w:val="004C0DE8"/>
    <w:rsid w:val="004C19E7"/>
    <w:rsid w:val="004C2158"/>
    <w:rsid w:val="004C243C"/>
    <w:rsid w:val="004C29CF"/>
    <w:rsid w:val="004C2A31"/>
    <w:rsid w:val="004C3F83"/>
    <w:rsid w:val="004C47CB"/>
    <w:rsid w:val="004C4841"/>
    <w:rsid w:val="004C50EA"/>
    <w:rsid w:val="004C6AD9"/>
    <w:rsid w:val="004C7409"/>
    <w:rsid w:val="004C7F86"/>
    <w:rsid w:val="004D0BEF"/>
    <w:rsid w:val="004D0FB4"/>
    <w:rsid w:val="004D1644"/>
    <w:rsid w:val="004D197C"/>
    <w:rsid w:val="004D1C96"/>
    <w:rsid w:val="004D25C4"/>
    <w:rsid w:val="004D2C55"/>
    <w:rsid w:val="004D37AE"/>
    <w:rsid w:val="004D56B7"/>
    <w:rsid w:val="004D5ED7"/>
    <w:rsid w:val="004D700B"/>
    <w:rsid w:val="004D76AD"/>
    <w:rsid w:val="004E2B9D"/>
    <w:rsid w:val="004E2F55"/>
    <w:rsid w:val="004E3E25"/>
    <w:rsid w:val="004E561B"/>
    <w:rsid w:val="004E59C2"/>
    <w:rsid w:val="004E5A78"/>
    <w:rsid w:val="004E7145"/>
    <w:rsid w:val="004F20FA"/>
    <w:rsid w:val="004F21B2"/>
    <w:rsid w:val="004F3C39"/>
    <w:rsid w:val="004F54C0"/>
    <w:rsid w:val="004F577A"/>
    <w:rsid w:val="004F78A1"/>
    <w:rsid w:val="0050109A"/>
    <w:rsid w:val="00501625"/>
    <w:rsid w:val="0050214A"/>
    <w:rsid w:val="00503459"/>
    <w:rsid w:val="00503920"/>
    <w:rsid w:val="00503CCC"/>
    <w:rsid w:val="00504640"/>
    <w:rsid w:val="00504AE7"/>
    <w:rsid w:val="00504E2E"/>
    <w:rsid w:val="00507E39"/>
    <w:rsid w:val="0051042F"/>
    <w:rsid w:val="00510B19"/>
    <w:rsid w:val="00512892"/>
    <w:rsid w:val="00512F12"/>
    <w:rsid w:val="005130A4"/>
    <w:rsid w:val="00514F89"/>
    <w:rsid w:val="005159FE"/>
    <w:rsid w:val="005162C4"/>
    <w:rsid w:val="005163E3"/>
    <w:rsid w:val="005166B0"/>
    <w:rsid w:val="00520BD4"/>
    <w:rsid w:val="0052146D"/>
    <w:rsid w:val="0052196F"/>
    <w:rsid w:val="00521E05"/>
    <w:rsid w:val="00522C65"/>
    <w:rsid w:val="00524286"/>
    <w:rsid w:val="00524586"/>
    <w:rsid w:val="00525519"/>
    <w:rsid w:val="005264A2"/>
    <w:rsid w:val="00526AFD"/>
    <w:rsid w:val="00530EF4"/>
    <w:rsid w:val="00532436"/>
    <w:rsid w:val="0053302E"/>
    <w:rsid w:val="00533974"/>
    <w:rsid w:val="0053479F"/>
    <w:rsid w:val="00534F31"/>
    <w:rsid w:val="00535E9D"/>
    <w:rsid w:val="005376C8"/>
    <w:rsid w:val="005430FC"/>
    <w:rsid w:val="00545B0A"/>
    <w:rsid w:val="0054613B"/>
    <w:rsid w:val="00546C91"/>
    <w:rsid w:val="00546EAB"/>
    <w:rsid w:val="0055040F"/>
    <w:rsid w:val="005550D9"/>
    <w:rsid w:val="00555B31"/>
    <w:rsid w:val="0055705A"/>
    <w:rsid w:val="005573D0"/>
    <w:rsid w:val="00563763"/>
    <w:rsid w:val="005637B3"/>
    <w:rsid w:val="005647F5"/>
    <w:rsid w:val="00564DD7"/>
    <w:rsid w:val="005707A4"/>
    <w:rsid w:val="005712AE"/>
    <w:rsid w:val="005716FB"/>
    <w:rsid w:val="00571A41"/>
    <w:rsid w:val="00571BC8"/>
    <w:rsid w:val="00572AE3"/>
    <w:rsid w:val="00573ECE"/>
    <w:rsid w:val="00573F04"/>
    <w:rsid w:val="00574D98"/>
    <w:rsid w:val="00575952"/>
    <w:rsid w:val="00577BE3"/>
    <w:rsid w:val="005804BE"/>
    <w:rsid w:val="00580548"/>
    <w:rsid w:val="005825B0"/>
    <w:rsid w:val="00582B5C"/>
    <w:rsid w:val="00582D22"/>
    <w:rsid w:val="00585555"/>
    <w:rsid w:val="005878B7"/>
    <w:rsid w:val="00587CD1"/>
    <w:rsid w:val="00587CD5"/>
    <w:rsid w:val="00590C0C"/>
    <w:rsid w:val="00590C14"/>
    <w:rsid w:val="00591220"/>
    <w:rsid w:val="00592274"/>
    <w:rsid w:val="00592E02"/>
    <w:rsid w:val="00594595"/>
    <w:rsid w:val="00594C2E"/>
    <w:rsid w:val="00594CF1"/>
    <w:rsid w:val="00595A08"/>
    <w:rsid w:val="0059620D"/>
    <w:rsid w:val="00596681"/>
    <w:rsid w:val="00597B8C"/>
    <w:rsid w:val="005A0A33"/>
    <w:rsid w:val="005A38A3"/>
    <w:rsid w:val="005A45B1"/>
    <w:rsid w:val="005A4CEC"/>
    <w:rsid w:val="005A63B7"/>
    <w:rsid w:val="005B00FC"/>
    <w:rsid w:val="005B0697"/>
    <w:rsid w:val="005B232C"/>
    <w:rsid w:val="005B26F0"/>
    <w:rsid w:val="005B2864"/>
    <w:rsid w:val="005B445F"/>
    <w:rsid w:val="005B517A"/>
    <w:rsid w:val="005B551F"/>
    <w:rsid w:val="005C06E5"/>
    <w:rsid w:val="005C0B6C"/>
    <w:rsid w:val="005C145B"/>
    <w:rsid w:val="005C1D66"/>
    <w:rsid w:val="005C4C9D"/>
    <w:rsid w:val="005C621B"/>
    <w:rsid w:val="005C6511"/>
    <w:rsid w:val="005C76E4"/>
    <w:rsid w:val="005D12C5"/>
    <w:rsid w:val="005D244B"/>
    <w:rsid w:val="005D3066"/>
    <w:rsid w:val="005D34EE"/>
    <w:rsid w:val="005D408D"/>
    <w:rsid w:val="005D45E6"/>
    <w:rsid w:val="005D4A03"/>
    <w:rsid w:val="005D7B4F"/>
    <w:rsid w:val="005D7F64"/>
    <w:rsid w:val="005E016A"/>
    <w:rsid w:val="005E0C1D"/>
    <w:rsid w:val="005E0CB1"/>
    <w:rsid w:val="005E2421"/>
    <w:rsid w:val="005E2888"/>
    <w:rsid w:val="005E3460"/>
    <w:rsid w:val="005E38E4"/>
    <w:rsid w:val="005E4400"/>
    <w:rsid w:val="005E4778"/>
    <w:rsid w:val="005E4A3B"/>
    <w:rsid w:val="005E4C97"/>
    <w:rsid w:val="005E6B40"/>
    <w:rsid w:val="005E7EC5"/>
    <w:rsid w:val="005F0296"/>
    <w:rsid w:val="005F0F68"/>
    <w:rsid w:val="005F2072"/>
    <w:rsid w:val="005F2702"/>
    <w:rsid w:val="005F2B90"/>
    <w:rsid w:val="005F2C4F"/>
    <w:rsid w:val="005F32F5"/>
    <w:rsid w:val="005F5A41"/>
    <w:rsid w:val="005F5D02"/>
    <w:rsid w:val="006001F2"/>
    <w:rsid w:val="00600B5F"/>
    <w:rsid w:val="006011D5"/>
    <w:rsid w:val="00601D4A"/>
    <w:rsid w:val="00602CAF"/>
    <w:rsid w:val="0060314B"/>
    <w:rsid w:val="00603654"/>
    <w:rsid w:val="00603914"/>
    <w:rsid w:val="00603E6E"/>
    <w:rsid w:val="00604874"/>
    <w:rsid w:val="006049B2"/>
    <w:rsid w:val="00605689"/>
    <w:rsid w:val="006065C8"/>
    <w:rsid w:val="00607B97"/>
    <w:rsid w:val="00607C79"/>
    <w:rsid w:val="0061040B"/>
    <w:rsid w:val="00610692"/>
    <w:rsid w:val="00611029"/>
    <w:rsid w:val="00612266"/>
    <w:rsid w:val="0061256F"/>
    <w:rsid w:val="006134E6"/>
    <w:rsid w:val="00613ED3"/>
    <w:rsid w:val="00614181"/>
    <w:rsid w:val="006165A1"/>
    <w:rsid w:val="00617111"/>
    <w:rsid w:val="00617A8C"/>
    <w:rsid w:val="00617D41"/>
    <w:rsid w:val="00620690"/>
    <w:rsid w:val="00620808"/>
    <w:rsid w:val="00622173"/>
    <w:rsid w:val="00622659"/>
    <w:rsid w:val="00622CF5"/>
    <w:rsid w:val="006231AC"/>
    <w:rsid w:val="006232F0"/>
    <w:rsid w:val="00626927"/>
    <w:rsid w:val="00630623"/>
    <w:rsid w:val="00630D4A"/>
    <w:rsid w:val="00631019"/>
    <w:rsid w:val="00631AF0"/>
    <w:rsid w:val="00631F93"/>
    <w:rsid w:val="00633D2E"/>
    <w:rsid w:val="00635D96"/>
    <w:rsid w:val="00637D08"/>
    <w:rsid w:val="00637F0B"/>
    <w:rsid w:val="006405BF"/>
    <w:rsid w:val="00643302"/>
    <w:rsid w:val="00643AA7"/>
    <w:rsid w:val="00644B15"/>
    <w:rsid w:val="0064577D"/>
    <w:rsid w:val="00646BF8"/>
    <w:rsid w:val="00651147"/>
    <w:rsid w:val="00651442"/>
    <w:rsid w:val="00651C05"/>
    <w:rsid w:val="00652E04"/>
    <w:rsid w:val="00653AE2"/>
    <w:rsid w:val="00654D70"/>
    <w:rsid w:val="00656278"/>
    <w:rsid w:val="00656BAA"/>
    <w:rsid w:val="00657D51"/>
    <w:rsid w:val="00660D61"/>
    <w:rsid w:val="006632E9"/>
    <w:rsid w:val="00663BAA"/>
    <w:rsid w:val="00664352"/>
    <w:rsid w:val="00664848"/>
    <w:rsid w:val="00665FD0"/>
    <w:rsid w:val="00670187"/>
    <w:rsid w:val="00672960"/>
    <w:rsid w:val="006742EA"/>
    <w:rsid w:val="00675A73"/>
    <w:rsid w:val="00676F3F"/>
    <w:rsid w:val="00680A5A"/>
    <w:rsid w:val="00681CCB"/>
    <w:rsid w:val="00682549"/>
    <w:rsid w:val="00682C2B"/>
    <w:rsid w:val="00683C4C"/>
    <w:rsid w:val="006859F3"/>
    <w:rsid w:val="00685EF0"/>
    <w:rsid w:val="0068793D"/>
    <w:rsid w:val="00687F19"/>
    <w:rsid w:val="00691133"/>
    <w:rsid w:val="006937A5"/>
    <w:rsid w:val="006A209F"/>
    <w:rsid w:val="006A2D0F"/>
    <w:rsid w:val="006A4EF3"/>
    <w:rsid w:val="006A602A"/>
    <w:rsid w:val="006A616C"/>
    <w:rsid w:val="006A6639"/>
    <w:rsid w:val="006A6B2B"/>
    <w:rsid w:val="006A7873"/>
    <w:rsid w:val="006B0200"/>
    <w:rsid w:val="006B111C"/>
    <w:rsid w:val="006B1C1A"/>
    <w:rsid w:val="006B1DF9"/>
    <w:rsid w:val="006B290F"/>
    <w:rsid w:val="006B3140"/>
    <w:rsid w:val="006B4232"/>
    <w:rsid w:val="006B5157"/>
    <w:rsid w:val="006B6976"/>
    <w:rsid w:val="006C064B"/>
    <w:rsid w:val="006C0DF7"/>
    <w:rsid w:val="006C3559"/>
    <w:rsid w:val="006C58F4"/>
    <w:rsid w:val="006C5BCE"/>
    <w:rsid w:val="006D0937"/>
    <w:rsid w:val="006D1030"/>
    <w:rsid w:val="006D1410"/>
    <w:rsid w:val="006D1DFE"/>
    <w:rsid w:val="006D24B2"/>
    <w:rsid w:val="006D2672"/>
    <w:rsid w:val="006D4BC0"/>
    <w:rsid w:val="006D524A"/>
    <w:rsid w:val="006D5375"/>
    <w:rsid w:val="006D5F42"/>
    <w:rsid w:val="006D63B0"/>
    <w:rsid w:val="006E173C"/>
    <w:rsid w:val="006E19B0"/>
    <w:rsid w:val="006E4EE7"/>
    <w:rsid w:val="006E53F2"/>
    <w:rsid w:val="006E611C"/>
    <w:rsid w:val="006E79C3"/>
    <w:rsid w:val="006E79C5"/>
    <w:rsid w:val="006F04E4"/>
    <w:rsid w:val="006F2D86"/>
    <w:rsid w:val="006F3A1C"/>
    <w:rsid w:val="006F4AF0"/>
    <w:rsid w:val="006F60A7"/>
    <w:rsid w:val="006F6EAC"/>
    <w:rsid w:val="00700B45"/>
    <w:rsid w:val="00701EB0"/>
    <w:rsid w:val="007023F8"/>
    <w:rsid w:val="0070291C"/>
    <w:rsid w:val="00703737"/>
    <w:rsid w:val="007055D9"/>
    <w:rsid w:val="00705B33"/>
    <w:rsid w:val="00707C13"/>
    <w:rsid w:val="00711098"/>
    <w:rsid w:val="00711E40"/>
    <w:rsid w:val="00712B14"/>
    <w:rsid w:val="00712CF9"/>
    <w:rsid w:val="00712D3A"/>
    <w:rsid w:val="0071444D"/>
    <w:rsid w:val="007148E7"/>
    <w:rsid w:val="00714B19"/>
    <w:rsid w:val="00714D92"/>
    <w:rsid w:val="00715FDF"/>
    <w:rsid w:val="007173C2"/>
    <w:rsid w:val="00722450"/>
    <w:rsid w:val="00724782"/>
    <w:rsid w:val="00725EA2"/>
    <w:rsid w:val="00726766"/>
    <w:rsid w:val="00727127"/>
    <w:rsid w:val="007312DE"/>
    <w:rsid w:val="00733A82"/>
    <w:rsid w:val="00733C2A"/>
    <w:rsid w:val="00737A93"/>
    <w:rsid w:val="00740C99"/>
    <w:rsid w:val="00741C8A"/>
    <w:rsid w:val="00741DB6"/>
    <w:rsid w:val="00743922"/>
    <w:rsid w:val="007443F5"/>
    <w:rsid w:val="00745252"/>
    <w:rsid w:val="007466F9"/>
    <w:rsid w:val="007477CF"/>
    <w:rsid w:val="0075330C"/>
    <w:rsid w:val="00755399"/>
    <w:rsid w:val="00756714"/>
    <w:rsid w:val="00756D71"/>
    <w:rsid w:val="00760426"/>
    <w:rsid w:val="0076048A"/>
    <w:rsid w:val="0076076B"/>
    <w:rsid w:val="0076133D"/>
    <w:rsid w:val="0076160A"/>
    <w:rsid w:val="007617A0"/>
    <w:rsid w:val="00761870"/>
    <w:rsid w:val="00761B61"/>
    <w:rsid w:val="00762113"/>
    <w:rsid w:val="00762D04"/>
    <w:rsid w:val="00763D83"/>
    <w:rsid w:val="00766661"/>
    <w:rsid w:val="00767D88"/>
    <w:rsid w:val="00771358"/>
    <w:rsid w:val="00771F96"/>
    <w:rsid w:val="0077239B"/>
    <w:rsid w:val="00772966"/>
    <w:rsid w:val="00772A5C"/>
    <w:rsid w:val="00774D85"/>
    <w:rsid w:val="00775A45"/>
    <w:rsid w:val="0077763B"/>
    <w:rsid w:val="007819CC"/>
    <w:rsid w:val="00781AF7"/>
    <w:rsid w:val="00782227"/>
    <w:rsid w:val="00782D50"/>
    <w:rsid w:val="0078380D"/>
    <w:rsid w:val="00783CD3"/>
    <w:rsid w:val="00784A57"/>
    <w:rsid w:val="00786C9E"/>
    <w:rsid w:val="007911CC"/>
    <w:rsid w:val="0079145B"/>
    <w:rsid w:val="0079358F"/>
    <w:rsid w:val="00794195"/>
    <w:rsid w:val="00794A27"/>
    <w:rsid w:val="00794F66"/>
    <w:rsid w:val="00795D92"/>
    <w:rsid w:val="007974B4"/>
    <w:rsid w:val="00797520"/>
    <w:rsid w:val="00797EDA"/>
    <w:rsid w:val="007A0B2F"/>
    <w:rsid w:val="007A12AB"/>
    <w:rsid w:val="007A20C3"/>
    <w:rsid w:val="007A244C"/>
    <w:rsid w:val="007A247A"/>
    <w:rsid w:val="007A2EB6"/>
    <w:rsid w:val="007A300D"/>
    <w:rsid w:val="007A36B3"/>
    <w:rsid w:val="007A37B0"/>
    <w:rsid w:val="007A3C6A"/>
    <w:rsid w:val="007A3F24"/>
    <w:rsid w:val="007A454E"/>
    <w:rsid w:val="007A4AC9"/>
    <w:rsid w:val="007A5E32"/>
    <w:rsid w:val="007A5F6B"/>
    <w:rsid w:val="007A695D"/>
    <w:rsid w:val="007A6B1D"/>
    <w:rsid w:val="007A71D5"/>
    <w:rsid w:val="007B00DE"/>
    <w:rsid w:val="007B074A"/>
    <w:rsid w:val="007B0A46"/>
    <w:rsid w:val="007B24AB"/>
    <w:rsid w:val="007B5871"/>
    <w:rsid w:val="007B67A9"/>
    <w:rsid w:val="007B7B88"/>
    <w:rsid w:val="007C1145"/>
    <w:rsid w:val="007C169B"/>
    <w:rsid w:val="007C175F"/>
    <w:rsid w:val="007C22BA"/>
    <w:rsid w:val="007C2628"/>
    <w:rsid w:val="007C3F79"/>
    <w:rsid w:val="007C4277"/>
    <w:rsid w:val="007C46C7"/>
    <w:rsid w:val="007C489B"/>
    <w:rsid w:val="007C48F7"/>
    <w:rsid w:val="007C508D"/>
    <w:rsid w:val="007C5C12"/>
    <w:rsid w:val="007D07C2"/>
    <w:rsid w:val="007D1836"/>
    <w:rsid w:val="007D1EC9"/>
    <w:rsid w:val="007D2287"/>
    <w:rsid w:val="007D24F0"/>
    <w:rsid w:val="007D2AA0"/>
    <w:rsid w:val="007D3F06"/>
    <w:rsid w:val="007D54CC"/>
    <w:rsid w:val="007D65EE"/>
    <w:rsid w:val="007D6F09"/>
    <w:rsid w:val="007D77FF"/>
    <w:rsid w:val="007D7951"/>
    <w:rsid w:val="007E1C8A"/>
    <w:rsid w:val="007E21C6"/>
    <w:rsid w:val="007E3041"/>
    <w:rsid w:val="007E3E2B"/>
    <w:rsid w:val="007E40B6"/>
    <w:rsid w:val="007E52A4"/>
    <w:rsid w:val="007E5D58"/>
    <w:rsid w:val="007E61A3"/>
    <w:rsid w:val="007E7EBE"/>
    <w:rsid w:val="007E7F2D"/>
    <w:rsid w:val="007F0CD9"/>
    <w:rsid w:val="007F0EA0"/>
    <w:rsid w:val="007F1860"/>
    <w:rsid w:val="007F2778"/>
    <w:rsid w:val="007F4A3A"/>
    <w:rsid w:val="007F551A"/>
    <w:rsid w:val="007F6BB7"/>
    <w:rsid w:val="007F72EC"/>
    <w:rsid w:val="007F7F1D"/>
    <w:rsid w:val="00800FDB"/>
    <w:rsid w:val="00801502"/>
    <w:rsid w:val="0080301C"/>
    <w:rsid w:val="00807113"/>
    <w:rsid w:val="0080775E"/>
    <w:rsid w:val="008078CF"/>
    <w:rsid w:val="00807D28"/>
    <w:rsid w:val="00810B16"/>
    <w:rsid w:val="008112B3"/>
    <w:rsid w:val="00811E82"/>
    <w:rsid w:val="00813C7C"/>
    <w:rsid w:val="00814505"/>
    <w:rsid w:val="0081480E"/>
    <w:rsid w:val="00815118"/>
    <w:rsid w:val="00815D42"/>
    <w:rsid w:val="00816D8C"/>
    <w:rsid w:val="0081797C"/>
    <w:rsid w:val="00817DA4"/>
    <w:rsid w:val="00817E97"/>
    <w:rsid w:val="00820347"/>
    <w:rsid w:val="00821D31"/>
    <w:rsid w:val="008230E0"/>
    <w:rsid w:val="00823C0B"/>
    <w:rsid w:val="00823FBC"/>
    <w:rsid w:val="00824EEB"/>
    <w:rsid w:val="008257E1"/>
    <w:rsid w:val="00825926"/>
    <w:rsid w:val="00825988"/>
    <w:rsid w:val="008260D8"/>
    <w:rsid w:val="0082615F"/>
    <w:rsid w:val="008312BD"/>
    <w:rsid w:val="008353D2"/>
    <w:rsid w:val="008363C6"/>
    <w:rsid w:val="00836A75"/>
    <w:rsid w:val="00836F0C"/>
    <w:rsid w:val="00836FEA"/>
    <w:rsid w:val="008372B9"/>
    <w:rsid w:val="00837AA9"/>
    <w:rsid w:val="00837B37"/>
    <w:rsid w:val="0084126E"/>
    <w:rsid w:val="00842178"/>
    <w:rsid w:val="008425B5"/>
    <w:rsid w:val="008427B7"/>
    <w:rsid w:val="008430FD"/>
    <w:rsid w:val="0084469B"/>
    <w:rsid w:val="008456CA"/>
    <w:rsid w:val="00846079"/>
    <w:rsid w:val="0084666B"/>
    <w:rsid w:val="00846B6F"/>
    <w:rsid w:val="00847E36"/>
    <w:rsid w:val="00850848"/>
    <w:rsid w:val="00855E8A"/>
    <w:rsid w:val="00856C46"/>
    <w:rsid w:val="0086172C"/>
    <w:rsid w:val="0086314B"/>
    <w:rsid w:val="0086452B"/>
    <w:rsid w:val="00864884"/>
    <w:rsid w:val="00865134"/>
    <w:rsid w:val="00865A13"/>
    <w:rsid w:val="00866C2B"/>
    <w:rsid w:val="00866D88"/>
    <w:rsid w:val="00870FEB"/>
    <w:rsid w:val="008733A4"/>
    <w:rsid w:val="00873D60"/>
    <w:rsid w:val="008743DD"/>
    <w:rsid w:val="00874B03"/>
    <w:rsid w:val="00874D8F"/>
    <w:rsid w:val="008768A4"/>
    <w:rsid w:val="008771A4"/>
    <w:rsid w:val="008773B6"/>
    <w:rsid w:val="00880879"/>
    <w:rsid w:val="00880DEB"/>
    <w:rsid w:val="00881446"/>
    <w:rsid w:val="00882C1A"/>
    <w:rsid w:val="00882C62"/>
    <w:rsid w:val="0088434F"/>
    <w:rsid w:val="00885D87"/>
    <w:rsid w:val="00886BDF"/>
    <w:rsid w:val="00886FB7"/>
    <w:rsid w:val="00887C74"/>
    <w:rsid w:val="00892417"/>
    <w:rsid w:val="00893C0A"/>
    <w:rsid w:val="008940CA"/>
    <w:rsid w:val="0089432F"/>
    <w:rsid w:val="00895A05"/>
    <w:rsid w:val="008970BC"/>
    <w:rsid w:val="008A0399"/>
    <w:rsid w:val="008A111B"/>
    <w:rsid w:val="008A1567"/>
    <w:rsid w:val="008A1937"/>
    <w:rsid w:val="008A2830"/>
    <w:rsid w:val="008A3373"/>
    <w:rsid w:val="008A3E2A"/>
    <w:rsid w:val="008A5186"/>
    <w:rsid w:val="008A5A39"/>
    <w:rsid w:val="008A5E8C"/>
    <w:rsid w:val="008A6282"/>
    <w:rsid w:val="008B02D8"/>
    <w:rsid w:val="008B0BBC"/>
    <w:rsid w:val="008B136C"/>
    <w:rsid w:val="008B1670"/>
    <w:rsid w:val="008B1AF4"/>
    <w:rsid w:val="008B1C87"/>
    <w:rsid w:val="008B224A"/>
    <w:rsid w:val="008B29A6"/>
    <w:rsid w:val="008B30FE"/>
    <w:rsid w:val="008B37D7"/>
    <w:rsid w:val="008B4301"/>
    <w:rsid w:val="008B567F"/>
    <w:rsid w:val="008B6620"/>
    <w:rsid w:val="008B7D2F"/>
    <w:rsid w:val="008C000F"/>
    <w:rsid w:val="008C0089"/>
    <w:rsid w:val="008C045C"/>
    <w:rsid w:val="008C15C6"/>
    <w:rsid w:val="008C2B1D"/>
    <w:rsid w:val="008C2DD4"/>
    <w:rsid w:val="008C3ABF"/>
    <w:rsid w:val="008C47DF"/>
    <w:rsid w:val="008C48EF"/>
    <w:rsid w:val="008C5916"/>
    <w:rsid w:val="008C7140"/>
    <w:rsid w:val="008D2218"/>
    <w:rsid w:val="008D2F65"/>
    <w:rsid w:val="008D403C"/>
    <w:rsid w:val="008D42B3"/>
    <w:rsid w:val="008D42FA"/>
    <w:rsid w:val="008D5C2F"/>
    <w:rsid w:val="008D77A2"/>
    <w:rsid w:val="008E054C"/>
    <w:rsid w:val="008E142B"/>
    <w:rsid w:val="008E1CE1"/>
    <w:rsid w:val="008E21E2"/>
    <w:rsid w:val="008E2A41"/>
    <w:rsid w:val="008E2ACE"/>
    <w:rsid w:val="008E3B09"/>
    <w:rsid w:val="008E4B0D"/>
    <w:rsid w:val="008E4D76"/>
    <w:rsid w:val="008E6008"/>
    <w:rsid w:val="008F03CF"/>
    <w:rsid w:val="008F0455"/>
    <w:rsid w:val="008F082F"/>
    <w:rsid w:val="008F4D14"/>
    <w:rsid w:val="008F4D3C"/>
    <w:rsid w:val="008F6379"/>
    <w:rsid w:val="008F678F"/>
    <w:rsid w:val="008F73BE"/>
    <w:rsid w:val="008F7C4D"/>
    <w:rsid w:val="008F7C4E"/>
    <w:rsid w:val="00900561"/>
    <w:rsid w:val="009023BD"/>
    <w:rsid w:val="00902702"/>
    <w:rsid w:val="00905B7C"/>
    <w:rsid w:val="00906495"/>
    <w:rsid w:val="0090666D"/>
    <w:rsid w:val="0090756E"/>
    <w:rsid w:val="00907C85"/>
    <w:rsid w:val="0091136B"/>
    <w:rsid w:val="009120C3"/>
    <w:rsid w:val="00914781"/>
    <w:rsid w:val="00915FEA"/>
    <w:rsid w:val="009160BD"/>
    <w:rsid w:val="0091631B"/>
    <w:rsid w:val="0091705C"/>
    <w:rsid w:val="0092039D"/>
    <w:rsid w:val="00922906"/>
    <w:rsid w:val="009234F0"/>
    <w:rsid w:val="00924152"/>
    <w:rsid w:val="00926628"/>
    <w:rsid w:val="00926F8F"/>
    <w:rsid w:val="00930682"/>
    <w:rsid w:val="00931EB8"/>
    <w:rsid w:val="009325B5"/>
    <w:rsid w:val="0093347E"/>
    <w:rsid w:val="0093426C"/>
    <w:rsid w:val="009345FD"/>
    <w:rsid w:val="00934F7A"/>
    <w:rsid w:val="009352F1"/>
    <w:rsid w:val="00935619"/>
    <w:rsid w:val="00935AD9"/>
    <w:rsid w:val="00935E93"/>
    <w:rsid w:val="00937E1C"/>
    <w:rsid w:val="00940C0F"/>
    <w:rsid w:val="00941D26"/>
    <w:rsid w:val="00943834"/>
    <w:rsid w:val="00943FFA"/>
    <w:rsid w:val="0094453B"/>
    <w:rsid w:val="00944952"/>
    <w:rsid w:val="00945452"/>
    <w:rsid w:val="00945E0D"/>
    <w:rsid w:val="00946F54"/>
    <w:rsid w:val="00950F85"/>
    <w:rsid w:val="00951C49"/>
    <w:rsid w:val="009526BB"/>
    <w:rsid w:val="00953D88"/>
    <w:rsid w:val="00954AAD"/>
    <w:rsid w:val="00955CA2"/>
    <w:rsid w:val="00956260"/>
    <w:rsid w:val="0095697A"/>
    <w:rsid w:val="00957854"/>
    <w:rsid w:val="009616BA"/>
    <w:rsid w:val="009621BC"/>
    <w:rsid w:val="0096226B"/>
    <w:rsid w:val="0096353E"/>
    <w:rsid w:val="0096382D"/>
    <w:rsid w:val="00965810"/>
    <w:rsid w:val="00966B4A"/>
    <w:rsid w:val="00966DB7"/>
    <w:rsid w:val="00967E88"/>
    <w:rsid w:val="0097042B"/>
    <w:rsid w:val="00970B7B"/>
    <w:rsid w:val="0097129E"/>
    <w:rsid w:val="009715B6"/>
    <w:rsid w:val="00973DCA"/>
    <w:rsid w:val="00974396"/>
    <w:rsid w:val="0097439B"/>
    <w:rsid w:val="00974D2F"/>
    <w:rsid w:val="009768A5"/>
    <w:rsid w:val="00976BE2"/>
    <w:rsid w:val="00977929"/>
    <w:rsid w:val="0098118E"/>
    <w:rsid w:val="009835AD"/>
    <w:rsid w:val="00984273"/>
    <w:rsid w:val="009854F3"/>
    <w:rsid w:val="00985A04"/>
    <w:rsid w:val="00985C2B"/>
    <w:rsid w:val="00986396"/>
    <w:rsid w:val="00986A12"/>
    <w:rsid w:val="00986DBB"/>
    <w:rsid w:val="00987FD2"/>
    <w:rsid w:val="00990A51"/>
    <w:rsid w:val="00991269"/>
    <w:rsid w:val="009920F5"/>
    <w:rsid w:val="00992223"/>
    <w:rsid w:val="00992EF1"/>
    <w:rsid w:val="00993961"/>
    <w:rsid w:val="00995AB4"/>
    <w:rsid w:val="009973DB"/>
    <w:rsid w:val="0099787D"/>
    <w:rsid w:val="009A0C9F"/>
    <w:rsid w:val="009A0D10"/>
    <w:rsid w:val="009A1C6A"/>
    <w:rsid w:val="009A3613"/>
    <w:rsid w:val="009A3A59"/>
    <w:rsid w:val="009A429D"/>
    <w:rsid w:val="009A48AB"/>
    <w:rsid w:val="009A76B1"/>
    <w:rsid w:val="009B1293"/>
    <w:rsid w:val="009B1608"/>
    <w:rsid w:val="009B3269"/>
    <w:rsid w:val="009B3487"/>
    <w:rsid w:val="009B4073"/>
    <w:rsid w:val="009B4BA7"/>
    <w:rsid w:val="009B5AF6"/>
    <w:rsid w:val="009C0931"/>
    <w:rsid w:val="009D15E1"/>
    <w:rsid w:val="009D42D2"/>
    <w:rsid w:val="009E06F1"/>
    <w:rsid w:val="009E07A5"/>
    <w:rsid w:val="009E0EF3"/>
    <w:rsid w:val="009E11A0"/>
    <w:rsid w:val="009E3EE7"/>
    <w:rsid w:val="009E4B23"/>
    <w:rsid w:val="009E59AB"/>
    <w:rsid w:val="009E5D87"/>
    <w:rsid w:val="009E5E32"/>
    <w:rsid w:val="009E6161"/>
    <w:rsid w:val="009E64FC"/>
    <w:rsid w:val="009E6DAE"/>
    <w:rsid w:val="009F08CB"/>
    <w:rsid w:val="009F103D"/>
    <w:rsid w:val="009F1DE0"/>
    <w:rsid w:val="009F1E3D"/>
    <w:rsid w:val="009F22B2"/>
    <w:rsid w:val="009F2B0D"/>
    <w:rsid w:val="009F5538"/>
    <w:rsid w:val="009F588F"/>
    <w:rsid w:val="009F6E13"/>
    <w:rsid w:val="009F7A30"/>
    <w:rsid w:val="00A01A44"/>
    <w:rsid w:val="00A02C3B"/>
    <w:rsid w:val="00A04E25"/>
    <w:rsid w:val="00A062A1"/>
    <w:rsid w:val="00A06690"/>
    <w:rsid w:val="00A069DC"/>
    <w:rsid w:val="00A06B1F"/>
    <w:rsid w:val="00A10136"/>
    <w:rsid w:val="00A103F4"/>
    <w:rsid w:val="00A10685"/>
    <w:rsid w:val="00A12A49"/>
    <w:rsid w:val="00A12AB9"/>
    <w:rsid w:val="00A132EF"/>
    <w:rsid w:val="00A16010"/>
    <w:rsid w:val="00A16021"/>
    <w:rsid w:val="00A162A5"/>
    <w:rsid w:val="00A16628"/>
    <w:rsid w:val="00A172DF"/>
    <w:rsid w:val="00A20273"/>
    <w:rsid w:val="00A20FCD"/>
    <w:rsid w:val="00A21374"/>
    <w:rsid w:val="00A255FC"/>
    <w:rsid w:val="00A273C4"/>
    <w:rsid w:val="00A2750B"/>
    <w:rsid w:val="00A27A82"/>
    <w:rsid w:val="00A3065F"/>
    <w:rsid w:val="00A30688"/>
    <w:rsid w:val="00A3107E"/>
    <w:rsid w:val="00A321CA"/>
    <w:rsid w:val="00A33499"/>
    <w:rsid w:val="00A343AD"/>
    <w:rsid w:val="00A34A29"/>
    <w:rsid w:val="00A34B72"/>
    <w:rsid w:val="00A35729"/>
    <w:rsid w:val="00A36379"/>
    <w:rsid w:val="00A36970"/>
    <w:rsid w:val="00A374CC"/>
    <w:rsid w:val="00A402C1"/>
    <w:rsid w:val="00A402F4"/>
    <w:rsid w:val="00A40408"/>
    <w:rsid w:val="00A40B52"/>
    <w:rsid w:val="00A414BD"/>
    <w:rsid w:val="00A41B92"/>
    <w:rsid w:val="00A41CD7"/>
    <w:rsid w:val="00A43EA4"/>
    <w:rsid w:val="00A43F53"/>
    <w:rsid w:val="00A44312"/>
    <w:rsid w:val="00A44EE9"/>
    <w:rsid w:val="00A4505F"/>
    <w:rsid w:val="00A45D7A"/>
    <w:rsid w:val="00A4627C"/>
    <w:rsid w:val="00A46574"/>
    <w:rsid w:val="00A46A4D"/>
    <w:rsid w:val="00A5049D"/>
    <w:rsid w:val="00A50914"/>
    <w:rsid w:val="00A509D4"/>
    <w:rsid w:val="00A50C4E"/>
    <w:rsid w:val="00A515CA"/>
    <w:rsid w:val="00A521EE"/>
    <w:rsid w:val="00A528BD"/>
    <w:rsid w:val="00A53D87"/>
    <w:rsid w:val="00A54087"/>
    <w:rsid w:val="00A54431"/>
    <w:rsid w:val="00A54720"/>
    <w:rsid w:val="00A54B75"/>
    <w:rsid w:val="00A54DF1"/>
    <w:rsid w:val="00A54DF9"/>
    <w:rsid w:val="00A553E2"/>
    <w:rsid w:val="00A5561D"/>
    <w:rsid w:val="00A571B4"/>
    <w:rsid w:val="00A57FBA"/>
    <w:rsid w:val="00A6034D"/>
    <w:rsid w:val="00A6083D"/>
    <w:rsid w:val="00A625A0"/>
    <w:rsid w:val="00A62819"/>
    <w:rsid w:val="00A628DE"/>
    <w:rsid w:val="00A62A4E"/>
    <w:rsid w:val="00A62AE9"/>
    <w:rsid w:val="00A62F7F"/>
    <w:rsid w:val="00A62F9F"/>
    <w:rsid w:val="00A6378C"/>
    <w:rsid w:val="00A63A9A"/>
    <w:rsid w:val="00A63C83"/>
    <w:rsid w:val="00A63E2B"/>
    <w:rsid w:val="00A655D0"/>
    <w:rsid w:val="00A65B9F"/>
    <w:rsid w:val="00A65C7F"/>
    <w:rsid w:val="00A65DC8"/>
    <w:rsid w:val="00A672F3"/>
    <w:rsid w:val="00A70538"/>
    <w:rsid w:val="00A70CAF"/>
    <w:rsid w:val="00A70CD6"/>
    <w:rsid w:val="00A72657"/>
    <w:rsid w:val="00A72B32"/>
    <w:rsid w:val="00A74F1F"/>
    <w:rsid w:val="00A75837"/>
    <w:rsid w:val="00A760FE"/>
    <w:rsid w:val="00A76A3C"/>
    <w:rsid w:val="00A801FE"/>
    <w:rsid w:val="00A80490"/>
    <w:rsid w:val="00A81468"/>
    <w:rsid w:val="00A826AE"/>
    <w:rsid w:val="00A83DF7"/>
    <w:rsid w:val="00A843F2"/>
    <w:rsid w:val="00A85353"/>
    <w:rsid w:val="00A859B4"/>
    <w:rsid w:val="00A86BDB"/>
    <w:rsid w:val="00A90D81"/>
    <w:rsid w:val="00A91A5C"/>
    <w:rsid w:val="00A92F17"/>
    <w:rsid w:val="00A94A3A"/>
    <w:rsid w:val="00A94DBD"/>
    <w:rsid w:val="00A952DF"/>
    <w:rsid w:val="00A95C8C"/>
    <w:rsid w:val="00A9697A"/>
    <w:rsid w:val="00A97352"/>
    <w:rsid w:val="00A973AF"/>
    <w:rsid w:val="00AA054C"/>
    <w:rsid w:val="00AA0BC5"/>
    <w:rsid w:val="00AA0F1B"/>
    <w:rsid w:val="00AA1139"/>
    <w:rsid w:val="00AA17F0"/>
    <w:rsid w:val="00AA1FD9"/>
    <w:rsid w:val="00AA2218"/>
    <w:rsid w:val="00AA272E"/>
    <w:rsid w:val="00AA295D"/>
    <w:rsid w:val="00AA44FB"/>
    <w:rsid w:val="00AA5EC4"/>
    <w:rsid w:val="00AA77CA"/>
    <w:rsid w:val="00AB4F9A"/>
    <w:rsid w:val="00AB5402"/>
    <w:rsid w:val="00AB6A87"/>
    <w:rsid w:val="00AB6BF8"/>
    <w:rsid w:val="00AC003A"/>
    <w:rsid w:val="00AC2A15"/>
    <w:rsid w:val="00AC2AAC"/>
    <w:rsid w:val="00AC39E7"/>
    <w:rsid w:val="00AC3DDE"/>
    <w:rsid w:val="00AC52C3"/>
    <w:rsid w:val="00AC6EB3"/>
    <w:rsid w:val="00AC7364"/>
    <w:rsid w:val="00AD0993"/>
    <w:rsid w:val="00AD1967"/>
    <w:rsid w:val="00AD1FFC"/>
    <w:rsid w:val="00AD2434"/>
    <w:rsid w:val="00AD26A7"/>
    <w:rsid w:val="00AD3C0B"/>
    <w:rsid w:val="00AD3F5E"/>
    <w:rsid w:val="00AD4455"/>
    <w:rsid w:val="00AD5F91"/>
    <w:rsid w:val="00AD6C72"/>
    <w:rsid w:val="00AD73D4"/>
    <w:rsid w:val="00AD79AE"/>
    <w:rsid w:val="00AD7D2B"/>
    <w:rsid w:val="00AE0849"/>
    <w:rsid w:val="00AE0857"/>
    <w:rsid w:val="00AE1397"/>
    <w:rsid w:val="00AE1AE4"/>
    <w:rsid w:val="00AE245E"/>
    <w:rsid w:val="00AE469F"/>
    <w:rsid w:val="00AE4836"/>
    <w:rsid w:val="00AE5238"/>
    <w:rsid w:val="00AF140E"/>
    <w:rsid w:val="00AF1718"/>
    <w:rsid w:val="00AF2B0E"/>
    <w:rsid w:val="00AF2BA2"/>
    <w:rsid w:val="00AF2E6C"/>
    <w:rsid w:val="00AF500C"/>
    <w:rsid w:val="00AF50DC"/>
    <w:rsid w:val="00AF7156"/>
    <w:rsid w:val="00AF722C"/>
    <w:rsid w:val="00B00140"/>
    <w:rsid w:val="00B00BD9"/>
    <w:rsid w:val="00B01440"/>
    <w:rsid w:val="00B049EB"/>
    <w:rsid w:val="00B04CF8"/>
    <w:rsid w:val="00B05110"/>
    <w:rsid w:val="00B0513F"/>
    <w:rsid w:val="00B05FF7"/>
    <w:rsid w:val="00B10435"/>
    <w:rsid w:val="00B10EF2"/>
    <w:rsid w:val="00B11D9B"/>
    <w:rsid w:val="00B1299C"/>
    <w:rsid w:val="00B12BCD"/>
    <w:rsid w:val="00B1395C"/>
    <w:rsid w:val="00B13D1A"/>
    <w:rsid w:val="00B16268"/>
    <w:rsid w:val="00B2024B"/>
    <w:rsid w:val="00B21A9C"/>
    <w:rsid w:val="00B230D5"/>
    <w:rsid w:val="00B24E82"/>
    <w:rsid w:val="00B256ED"/>
    <w:rsid w:val="00B25802"/>
    <w:rsid w:val="00B25A0F"/>
    <w:rsid w:val="00B25BC6"/>
    <w:rsid w:val="00B2654A"/>
    <w:rsid w:val="00B269D5"/>
    <w:rsid w:val="00B27BF9"/>
    <w:rsid w:val="00B30BE1"/>
    <w:rsid w:val="00B31B24"/>
    <w:rsid w:val="00B31C84"/>
    <w:rsid w:val="00B32768"/>
    <w:rsid w:val="00B342AA"/>
    <w:rsid w:val="00B343BD"/>
    <w:rsid w:val="00B34A89"/>
    <w:rsid w:val="00B359C5"/>
    <w:rsid w:val="00B35AEA"/>
    <w:rsid w:val="00B36B9C"/>
    <w:rsid w:val="00B36CF8"/>
    <w:rsid w:val="00B40454"/>
    <w:rsid w:val="00B4057A"/>
    <w:rsid w:val="00B41E85"/>
    <w:rsid w:val="00B42D33"/>
    <w:rsid w:val="00B430E3"/>
    <w:rsid w:val="00B43D86"/>
    <w:rsid w:val="00B4460A"/>
    <w:rsid w:val="00B45615"/>
    <w:rsid w:val="00B4625F"/>
    <w:rsid w:val="00B4649F"/>
    <w:rsid w:val="00B466E3"/>
    <w:rsid w:val="00B51C5E"/>
    <w:rsid w:val="00B53347"/>
    <w:rsid w:val="00B5415C"/>
    <w:rsid w:val="00B549BE"/>
    <w:rsid w:val="00B54BCA"/>
    <w:rsid w:val="00B55880"/>
    <w:rsid w:val="00B56098"/>
    <w:rsid w:val="00B602AD"/>
    <w:rsid w:val="00B60CE4"/>
    <w:rsid w:val="00B6137F"/>
    <w:rsid w:val="00B61A06"/>
    <w:rsid w:val="00B61DA9"/>
    <w:rsid w:val="00B6264E"/>
    <w:rsid w:val="00B626E4"/>
    <w:rsid w:val="00B62BD8"/>
    <w:rsid w:val="00B63E91"/>
    <w:rsid w:val="00B643D9"/>
    <w:rsid w:val="00B64641"/>
    <w:rsid w:val="00B65863"/>
    <w:rsid w:val="00B65963"/>
    <w:rsid w:val="00B661B5"/>
    <w:rsid w:val="00B66F4C"/>
    <w:rsid w:val="00B71C99"/>
    <w:rsid w:val="00B73202"/>
    <w:rsid w:val="00B7379E"/>
    <w:rsid w:val="00B74A48"/>
    <w:rsid w:val="00B7594D"/>
    <w:rsid w:val="00B75A62"/>
    <w:rsid w:val="00B77DBE"/>
    <w:rsid w:val="00B8063B"/>
    <w:rsid w:val="00B80B11"/>
    <w:rsid w:val="00B826FC"/>
    <w:rsid w:val="00B83E8F"/>
    <w:rsid w:val="00B840F3"/>
    <w:rsid w:val="00B8494E"/>
    <w:rsid w:val="00B84B09"/>
    <w:rsid w:val="00B864E9"/>
    <w:rsid w:val="00B8712E"/>
    <w:rsid w:val="00B8734C"/>
    <w:rsid w:val="00B93DDC"/>
    <w:rsid w:val="00B93FCD"/>
    <w:rsid w:val="00B942B0"/>
    <w:rsid w:val="00B964F7"/>
    <w:rsid w:val="00B968F2"/>
    <w:rsid w:val="00BA02C1"/>
    <w:rsid w:val="00BA1EF8"/>
    <w:rsid w:val="00BA2039"/>
    <w:rsid w:val="00BA2B85"/>
    <w:rsid w:val="00BA3073"/>
    <w:rsid w:val="00BA434D"/>
    <w:rsid w:val="00BA67E8"/>
    <w:rsid w:val="00BA6E68"/>
    <w:rsid w:val="00BA7330"/>
    <w:rsid w:val="00BA77FF"/>
    <w:rsid w:val="00BA7F89"/>
    <w:rsid w:val="00BB27DE"/>
    <w:rsid w:val="00BB31FD"/>
    <w:rsid w:val="00BB5384"/>
    <w:rsid w:val="00BB6F82"/>
    <w:rsid w:val="00BB76FE"/>
    <w:rsid w:val="00BB7E97"/>
    <w:rsid w:val="00BC23D2"/>
    <w:rsid w:val="00BC2509"/>
    <w:rsid w:val="00BC378A"/>
    <w:rsid w:val="00BC38F1"/>
    <w:rsid w:val="00BC4805"/>
    <w:rsid w:val="00BC538F"/>
    <w:rsid w:val="00BC5512"/>
    <w:rsid w:val="00BC6696"/>
    <w:rsid w:val="00BC70DE"/>
    <w:rsid w:val="00BD10FE"/>
    <w:rsid w:val="00BD1E80"/>
    <w:rsid w:val="00BD264E"/>
    <w:rsid w:val="00BD5B78"/>
    <w:rsid w:val="00BD7B18"/>
    <w:rsid w:val="00BE038C"/>
    <w:rsid w:val="00BE73F0"/>
    <w:rsid w:val="00BE74D2"/>
    <w:rsid w:val="00BF0008"/>
    <w:rsid w:val="00BF07E9"/>
    <w:rsid w:val="00BF148D"/>
    <w:rsid w:val="00BF1A67"/>
    <w:rsid w:val="00BF1BE5"/>
    <w:rsid w:val="00BF2F1C"/>
    <w:rsid w:val="00BF3078"/>
    <w:rsid w:val="00BF3F67"/>
    <w:rsid w:val="00BF49D7"/>
    <w:rsid w:val="00BF597F"/>
    <w:rsid w:val="00BF6AAE"/>
    <w:rsid w:val="00BF6B8E"/>
    <w:rsid w:val="00BF7448"/>
    <w:rsid w:val="00C001D2"/>
    <w:rsid w:val="00C008AF"/>
    <w:rsid w:val="00C00C8B"/>
    <w:rsid w:val="00C03EC3"/>
    <w:rsid w:val="00C049F6"/>
    <w:rsid w:val="00C04EDC"/>
    <w:rsid w:val="00C07095"/>
    <w:rsid w:val="00C10153"/>
    <w:rsid w:val="00C108DB"/>
    <w:rsid w:val="00C136D7"/>
    <w:rsid w:val="00C1372C"/>
    <w:rsid w:val="00C13C25"/>
    <w:rsid w:val="00C13DE9"/>
    <w:rsid w:val="00C13E56"/>
    <w:rsid w:val="00C15417"/>
    <w:rsid w:val="00C21E51"/>
    <w:rsid w:val="00C22316"/>
    <w:rsid w:val="00C24AA4"/>
    <w:rsid w:val="00C251CC"/>
    <w:rsid w:val="00C26E55"/>
    <w:rsid w:val="00C27B41"/>
    <w:rsid w:val="00C31026"/>
    <w:rsid w:val="00C32219"/>
    <w:rsid w:val="00C3264F"/>
    <w:rsid w:val="00C32861"/>
    <w:rsid w:val="00C32B32"/>
    <w:rsid w:val="00C339DE"/>
    <w:rsid w:val="00C34786"/>
    <w:rsid w:val="00C34D1D"/>
    <w:rsid w:val="00C364AB"/>
    <w:rsid w:val="00C3688A"/>
    <w:rsid w:val="00C36C5B"/>
    <w:rsid w:val="00C36ED0"/>
    <w:rsid w:val="00C3715C"/>
    <w:rsid w:val="00C379B0"/>
    <w:rsid w:val="00C404C6"/>
    <w:rsid w:val="00C41BF4"/>
    <w:rsid w:val="00C43276"/>
    <w:rsid w:val="00C43A4A"/>
    <w:rsid w:val="00C44EAE"/>
    <w:rsid w:val="00C458C3"/>
    <w:rsid w:val="00C45C61"/>
    <w:rsid w:val="00C472F0"/>
    <w:rsid w:val="00C50473"/>
    <w:rsid w:val="00C5048A"/>
    <w:rsid w:val="00C50CFD"/>
    <w:rsid w:val="00C51BE7"/>
    <w:rsid w:val="00C51DEF"/>
    <w:rsid w:val="00C51F3C"/>
    <w:rsid w:val="00C5315C"/>
    <w:rsid w:val="00C53BCA"/>
    <w:rsid w:val="00C53D2F"/>
    <w:rsid w:val="00C53EB1"/>
    <w:rsid w:val="00C56C55"/>
    <w:rsid w:val="00C570E7"/>
    <w:rsid w:val="00C57A1F"/>
    <w:rsid w:val="00C57D24"/>
    <w:rsid w:val="00C60946"/>
    <w:rsid w:val="00C60C79"/>
    <w:rsid w:val="00C6104C"/>
    <w:rsid w:val="00C611F4"/>
    <w:rsid w:val="00C632E7"/>
    <w:rsid w:val="00C64F07"/>
    <w:rsid w:val="00C652E1"/>
    <w:rsid w:val="00C653C0"/>
    <w:rsid w:val="00C6613A"/>
    <w:rsid w:val="00C67F01"/>
    <w:rsid w:val="00C702A8"/>
    <w:rsid w:val="00C70625"/>
    <w:rsid w:val="00C71959"/>
    <w:rsid w:val="00C71BA4"/>
    <w:rsid w:val="00C71E99"/>
    <w:rsid w:val="00C72A4D"/>
    <w:rsid w:val="00C730AD"/>
    <w:rsid w:val="00C73114"/>
    <w:rsid w:val="00C74412"/>
    <w:rsid w:val="00C75028"/>
    <w:rsid w:val="00C762EA"/>
    <w:rsid w:val="00C76CF5"/>
    <w:rsid w:val="00C77200"/>
    <w:rsid w:val="00C822EC"/>
    <w:rsid w:val="00C823A6"/>
    <w:rsid w:val="00C8379C"/>
    <w:rsid w:val="00C83827"/>
    <w:rsid w:val="00C84276"/>
    <w:rsid w:val="00C847B9"/>
    <w:rsid w:val="00C84D77"/>
    <w:rsid w:val="00C8538A"/>
    <w:rsid w:val="00C858F0"/>
    <w:rsid w:val="00C85E9F"/>
    <w:rsid w:val="00C861B0"/>
    <w:rsid w:val="00C867C9"/>
    <w:rsid w:val="00C87224"/>
    <w:rsid w:val="00C92E77"/>
    <w:rsid w:val="00C93602"/>
    <w:rsid w:val="00C93D3F"/>
    <w:rsid w:val="00C9497E"/>
    <w:rsid w:val="00C96F90"/>
    <w:rsid w:val="00CA069C"/>
    <w:rsid w:val="00CA09BC"/>
    <w:rsid w:val="00CA1CEB"/>
    <w:rsid w:val="00CA1D6D"/>
    <w:rsid w:val="00CA255E"/>
    <w:rsid w:val="00CA2E53"/>
    <w:rsid w:val="00CA30ED"/>
    <w:rsid w:val="00CA4BE7"/>
    <w:rsid w:val="00CA57F8"/>
    <w:rsid w:val="00CA626D"/>
    <w:rsid w:val="00CA72C1"/>
    <w:rsid w:val="00CA76A4"/>
    <w:rsid w:val="00CA7DD4"/>
    <w:rsid w:val="00CA7FF6"/>
    <w:rsid w:val="00CB02B5"/>
    <w:rsid w:val="00CB0688"/>
    <w:rsid w:val="00CB20F6"/>
    <w:rsid w:val="00CB3EBA"/>
    <w:rsid w:val="00CB4402"/>
    <w:rsid w:val="00CB44E7"/>
    <w:rsid w:val="00CB497E"/>
    <w:rsid w:val="00CB4F41"/>
    <w:rsid w:val="00CB4FBF"/>
    <w:rsid w:val="00CB55B6"/>
    <w:rsid w:val="00CB59F7"/>
    <w:rsid w:val="00CB5C55"/>
    <w:rsid w:val="00CB5E24"/>
    <w:rsid w:val="00CB722E"/>
    <w:rsid w:val="00CB7871"/>
    <w:rsid w:val="00CC0D87"/>
    <w:rsid w:val="00CC27F7"/>
    <w:rsid w:val="00CC29A4"/>
    <w:rsid w:val="00CC2BDE"/>
    <w:rsid w:val="00CC385B"/>
    <w:rsid w:val="00CC39EA"/>
    <w:rsid w:val="00CC4199"/>
    <w:rsid w:val="00CC46F7"/>
    <w:rsid w:val="00CC5B42"/>
    <w:rsid w:val="00CC5B74"/>
    <w:rsid w:val="00CC60FE"/>
    <w:rsid w:val="00CC6A3B"/>
    <w:rsid w:val="00CC75DE"/>
    <w:rsid w:val="00CD008B"/>
    <w:rsid w:val="00CD09E1"/>
    <w:rsid w:val="00CD0A06"/>
    <w:rsid w:val="00CD1B83"/>
    <w:rsid w:val="00CD2467"/>
    <w:rsid w:val="00CD3A13"/>
    <w:rsid w:val="00CD3C7D"/>
    <w:rsid w:val="00CD51A9"/>
    <w:rsid w:val="00CD65BD"/>
    <w:rsid w:val="00CE0854"/>
    <w:rsid w:val="00CE1026"/>
    <w:rsid w:val="00CE147E"/>
    <w:rsid w:val="00CE1730"/>
    <w:rsid w:val="00CE1C1C"/>
    <w:rsid w:val="00CE1F5A"/>
    <w:rsid w:val="00CE2D27"/>
    <w:rsid w:val="00CE3860"/>
    <w:rsid w:val="00CE7BB7"/>
    <w:rsid w:val="00CF01A9"/>
    <w:rsid w:val="00CF0F08"/>
    <w:rsid w:val="00CF1B74"/>
    <w:rsid w:val="00CF2AF3"/>
    <w:rsid w:val="00CF3194"/>
    <w:rsid w:val="00CF3E51"/>
    <w:rsid w:val="00CF40C7"/>
    <w:rsid w:val="00CF45E0"/>
    <w:rsid w:val="00CF5013"/>
    <w:rsid w:val="00CF5683"/>
    <w:rsid w:val="00CF57BF"/>
    <w:rsid w:val="00CF5D7D"/>
    <w:rsid w:val="00CF5F00"/>
    <w:rsid w:val="00CF7F86"/>
    <w:rsid w:val="00D003BB"/>
    <w:rsid w:val="00D00856"/>
    <w:rsid w:val="00D03020"/>
    <w:rsid w:val="00D0340C"/>
    <w:rsid w:val="00D0358F"/>
    <w:rsid w:val="00D03630"/>
    <w:rsid w:val="00D04629"/>
    <w:rsid w:val="00D04D20"/>
    <w:rsid w:val="00D04DA7"/>
    <w:rsid w:val="00D0566F"/>
    <w:rsid w:val="00D071FD"/>
    <w:rsid w:val="00D079B6"/>
    <w:rsid w:val="00D10204"/>
    <w:rsid w:val="00D1093E"/>
    <w:rsid w:val="00D123B0"/>
    <w:rsid w:val="00D134BC"/>
    <w:rsid w:val="00D142FE"/>
    <w:rsid w:val="00D1578C"/>
    <w:rsid w:val="00D20715"/>
    <w:rsid w:val="00D21928"/>
    <w:rsid w:val="00D21D6C"/>
    <w:rsid w:val="00D22224"/>
    <w:rsid w:val="00D22361"/>
    <w:rsid w:val="00D228A0"/>
    <w:rsid w:val="00D22B10"/>
    <w:rsid w:val="00D230E1"/>
    <w:rsid w:val="00D2418E"/>
    <w:rsid w:val="00D247B9"/>
    <w:rsid w:val="00D2659E"/>
    <w:rsid w:val="00D301FA"/>
    <w:rsid w:val="00D322D7"/>
    <w:rsid w:val="00D32CCC"/>
    <w:rsid w:val="00D33CB2"/>
    <w:rsid w:val="00D40851"/>
    <w:rsid w:val="00D40C7B"/>
    <w:rsid w:val="00D41EAD"/>
    <w:rsid w:val="00D45BFB"/>
    <w:rsid w:val="00D4614F"/>
    <w:rsid w:val="00D46DCB"/>
    <w:rsid w:val="00D47CD5"/>
    <w:rsid w:val="00D50B86"/>
    <w:rsid w:val="00D522D5"/>
    <w:rsid w:val="00D52FD8"/>
    <w:rsid w:val="00D5325F"/>
    <w:rsid w:val="00D53C63"/>
    <w:rsid w:val="00D5555E"/>
    <w:rsid w:val="00D55A4A"/>
    <w:rsid w:val="00D561E5"/>
    <w:rsid w:val="00D571B7"/>
    <w:rsid w:val="00D60CD4"/>
    <w:rsid w:val="00D61D71"/>
    <w:rsid w:val="00D63533"/>
    <w:rsid w:val="00D65576"/>
    <w:rsid w:val="00D66880"/>
    <w:rsid w:val="00D6701F"/>
    <w:rsid w:val="00D67E98"/>
    <w:rsid w:val="00D70769"/>
    <w:rsid w:val="00D7142D"/>
    <w:rsid w:val="00D71C79"/>
    <w:rsid w:val="00D71D90"/>
    <w:rsid w:val="00D73005"/>
    <w:rsid w:val="00D7331E"/>
    <w:rsid w:val="00D73439"/>
    <w:rsid w:val="00D73716"/>
    <w:rsid w:val="00D73B26"/>
    <w:rsid w:val="00D7465C"/>
    <w:rsid w:val="00D749AA"/>
    <w:rsid w:val="00D75BDE"/>
    <w:rsid w:val="00D764B9"/>
    <w:rsid w:val="00D7696C"/>
    <w:rsid w:val="00D7763E"/>
    <w:rsid w:val="00D777B9"/>
    <w:rsid w:val="00D816E4"/>
    <w:rsid w:val="00D81B35"/>
    <w:rsid w:val="00D824FB"/>
    <w:rsid w:val="00D854E0"/>
    <w:rsid w:val="00D855E6"/>
    <w:rsid w:val="00D85AFD"/>
    <w:rsid w:val="00D870C9"/>
    <w:rsid w:val="00D919F9"/>
    <w:rsid w:val="00D91B1E"/>
    <w:rsid w:val="00D9406D"/>
    <w:rsid w:val="00D94B77"/>
    <w:rsid w:val="00D9556D"/>
    <w:rsid w:val="00D95DDB"/>
    <w:rsid w:val="00DA0DCD"/>
    <w:rsid w:val="00DA1C9C"/>
    <w:rsid w:val="00DA379F"/>
    <w:rsid w:val="00DA3F06"/>
    <w:rsid w:val="00DA7B1B"/>
    <w:rsid w:val="00DB02AB"/>
    <w:rsid w:val="00DB0331"/>
    <w:rsid w:val="00DB06D1"/>
    <w:rsid w:val="00DB182C"/>
    <w:rsid w:val="00DB1B29"/>
    <w:rsid w:val="00DB38B4"/>
    <w:rsid w:val="00DB4774"/>
    <w:rsid w:val="00DB5655"/>
    <w:rsid w:val="00DB6A67"/>
    <w:rsid w:val="00DB78EF"/>
    <w:rsid w:val="00DC0514"/>
    <w:rsid w:val="00DC0F2E"/>
    <w:rsid w:val="00DC136A"/>
    <w:rsid w:val="00DC2205"/>
    <w:rsid w:val="00DC2A78"/>
    <w:rsid w:val="00DC2DCD"/>
    <w:rsid w:val="00DC4177"/>
    <w:rsid w:val="00DC4E9C"/>
    <w:rsid w:val="00DC526A"/>
    <w:rsid w:val="00DC6C00"/>
    <w:rsid w:val="00DC6FB7"/>
    <w:rsid w:val="00DC7B31"/>
    <w:rsid w:val="00DD0D5F"/>
    <w:rsid w:val="00DD13A6"/>
    <w:rsid w:val="00DD27AF"/>
    <w:rsid w:val="00DD3950"/>
    <w:rsid w:val="00DD416C"/>
    <w:rsid w:val="00DD487C"/>
    <w:rsid w:val="00DD4930"/>
    <w:rsid w:val="00DD4A96"/>
    <w:rsid w:val="00DD7388"/>
    <w:rsid w:val="00DE08D1"/>
    <w:rsid w:val="00DE1351"/>
    <w:rsid w:val="00DE1426"/>
    <w:rsid w:val="00DE1BB4"/>
    <w:rsid w:val="00DE2FDA"/>
    <w:rsid w:val="00DE5550"/>
    <w:rsid w:val="00DE68A0"/>
    <w:rsid w:val="00DE78F7"/>
    <w:rsid w:val="00DF00E4"/>
    <w:rsid w:val="00DF21D3"/>
    <w:rsid w:val="00DF2BF9"/>
    <w:rsid w:val="00DF2EE2"/>
    <w:rsid w:val="00DF30EE"/>
    <w:rsid w:val="00DF3169"/>
    <w:rsid w:val="00DF3E20"/>
    <w:rsid w:val="00DF52AE"/>
    <w:rsid w:val="00DF5960"/>
    <w:rsid w:val="00DF67E6"/>
    <w:rsid w:val="00DF7267"/>
    <w:rsid w:val="00DF7335"/>
    <w:rsid w:val="00DF7FEC"/>
    <w:rsid w:val="00E0008E"/>
    <w:rsid w:val="00E0288B"/>
    <w:rsid w:val="00E03BA2"/>
    <w:rsid w:val="00E04B02"/>
    <w:rsid w:val="00E06281"/>
    <w:rsid w:val="00E07114"/>
    <w:rsid w:val="00E07FA4"/>
    <w:rsid w:val="00E106A5"/>
    <w:rsid w:val="00E11284"/>
    <w:rsid w:val="00E11512"/>
    <w:rsid w:val="00E12879"/>
    <w:rsid w:val="00E12AD0"/>
    <w:rsid w:val="00E12B70"/>
    <w:rsid w:val="00E12D89"/>
    <w:rsid w:val="00E135E6"/>
    <w:rsid w:val="00E137EA"/>
    <w:rsid w:val="00E1577D"/>
    <w:rsid w:val="00E15F27"/>
    <w:rsid w:val="00E16663"/>
    <w:rsid w:val="00E16F6C"/>
    <w:rsid w:val="00E20A96"/>
    <w:rsid w:val="00E211F3"/>
    <w:rsid w:val="00E222E2"/>
    <w:rsid w:val="00E24067"/>
    <w:rsid w:val="00E25CAC"/>
    <w:rsid w:val="00E26BC5"/>
    <w:rsid w:val="00E3303D"/>
    <w:rsid w:val="00E33A69"/>
    <w:rsid w:val="00E34F94"/>
    <w:rsid w:val="00E36AB6"/>
    <w:rsid w:val="00E40C0F"/>
    <w:rsid w:val="00E414C6"/>
    <w:rsid w:val="00E41DD9"/>
    <w:rsid w:val="00E4711C"/>
    <w:rsid w:val="00E501EF"/>
    <w:rsid w:val="00E50CD4"/>
    <w:rsid w:val="00E51B9F"/>
    <w:rsid w:val="00E51E55"/>
    <w:rsid w:val="00E524F2"/>
    <w:rsid w:val="00E52674"/>
    <w:rsid w:val="00E532E2"/>
    <w:rsid w:val="00E5416E"/>
    <w:rsid w:val="00E55CC0"/>
    <w:rsid w:val="00E632EC"/>
    <w:rsid w:val="00E634AD"/>
    <w:rsid w:val="00E6481E"/>
    <w:rsid w:val="00E66822"/>
    <w:rsid w:val="00E66B4A"/>
    <w:rsid w:val="00E674AB"/>
    <w:rsid w:val="00E70335"/>
    <w:rsid w:val="00E70F1C"/>
    <w:rsid w:val="00E71538"/>
    <w:rsid w:val="00E7381F"/>
    <w:rsid w:val="00E7390E"/>
    <w:rsid w:val="00E7502D"/>
    <w:rsid w:val="00E75920"/>
    <w:rsid w:val="00E779D0"/>
    <w:rsid w:val="00E80370"/>
    <w:rsid w:val="00E80419"/>
    <w:rsid w:val="00E8113F"/>
    <w:rsid w:val="00E829DA"/>
    <w:rsid w:val="00E83765"/>
    <w:rsid w:val="00E8415C"/>
    <w:rsid w:val="00E855C4"/>
    <w:rsid w:val="00E85939"/>
    <w:rsid w:val="00E86C49"/>
    <w:rsid w:val="00E86FBC"/>
    <w:rsid w:val="00E87D3D"/>
    <w:rsid w:val="00E90996"/>
    <w:rsid w:val="00E90ABF"/>
    <w:rsid w:val="00E90B27"/>
    <w:rsid w:val="00E90CCA"/>
    <w:rsid w:val="00E939AD"/>
    <w:rsid w:val="00E93FA5"/>
    <w:rsid w:val="00E93FBA"/>
    <w:rsid w:val="00E95271"/>
    <w:rsid w:val="00E9586B"/>
    <w:rsid w:val="00E95B64"/>
    <w:rsid w:val="00E95FCE"/>
    <w:rsid w:val="00E961AA"/>
    <w:rsid w:val="00E973C1"/>
    <w:rsid w:val="00EA019E"/>
    <w:rsid w:val="00EA0C17"/>
    <w:rsid w:val="00EA0E6D"/>
    <w:rsid w:val="00EA46F1"/>
    <w:rsid w:val="00EA4EF6"/>
    <w:rsid w:val="00EA635D"/>
    <w:rsid w:val="00EA6EA1"/>
    <w:rsid w:val="00EA7A28"/>
    <w:rsid w:val="00EA7CDB"/>
    <w:rsid w:val="00EB08DD"/>
    <w:rsid w:val="00EB0AEB"/>
    <w:rsid w:val="00EB0F1C"/>
    <w:rsid w:val="00EB1E56"/>
    <w:rsid w:val="00EB2912"/>
    <w:rsid w:val="00EB2F66"/>
    <w:rsid w:val="00EB2F97"/>
    <w:rsid w:val="00EB512D"/>
    <w:rsid w:val="00EB6C43"/>
    <w:rsid w:val="00EB6D51"/>
    <w:rsid w:val="00EB6E18"/>
    <w:rsid w:val="00EB76F1"/>
    <w:rsid w:val="00EC2A3E"/>
    <w:rsid w:val="00EC2A45"/>
    <w:rsid w:val="00EC3DDB"/>
    <w:rsid w:val="00EC442C"/>
    <w:rsid w:val="00EC4DEB"/>
    <w:rsid w:val="00EC4FEC"/>
    <w:rsid w:val="00EC77F3"/>
    <w:rsid w:val="00EC7A35"/>
    <w:rsid w:val="00EC7EBC"/>
    <w:rsid w:val="00ED18A8"/>
    <w:rsid w:val="00ED1DB2"/>
    <w:rsid w:val="00ED1F52"/>
    <w:rsid w:val="00ED1FCF"/>
    <w:rsid w:val="00ED205B"/>
    <w:rsid w:val="00ED21DD"/>
    <w:rsid w:val="00ED2893"/>
    <w:rsid w:val="00ED4180"/>
    <w:rsid w:val="00ED5D41"/>
    <w:rsid w:val="00ED7451"/>
    <w:rsid w:val="00ED7CB3"/>
    <w:rsid w:val="00EE0296"/>
    <w:rsid w:val="00EE02C0"/>
    <w:rsid w:val="00EE062B"/>
    <w:rsid w:val="00EE11F7"/>
    <w:rsid w:val="00EE17BB"/>
    <w:rsid w:val="00EE1804"/>
    <w:rsid w:val="00EE3684"/>
    <w:rsid w:val="00EE415D"/>
    <w:rsid w:val="00EE518C"/>
    <w:rsid w:val="00EE5EA4"/>
    <w:rsid w:val="00EE6863"/>
    <w:rsid w:val="00EE6F15"/>
    <w:rsid w:val="00EE7815"/>
    <w:rsid w:val="00EF2CB9"/>
    <w:rsid w:val="00EF3A66"/>
    <w:rsid w:val="00EF58B6"/>
    <w:rsid w:val="00EF6091"/>
    <w:rsid w:val="00EF6195"/>
    <w:rsid w:val="00F0278B"/>
    <w:rsid w:val="00F040B8"/>
    <w:rsid w:val="00F05662"/>
    <w:rsid w:val="00F07944"/>
    <w:rsid w:val="00F07AA9"/>
    <w:rsid w:val="00F12633"/>
    <w:rsid w:val="00F12638"/>
    <w:rsid w:val="00F138ED"/>
    <w:rsid w:val="00F13D8C"/>
    <w:rsid w:val="00F145AF"/>
    <w:rsid w:val="00F148BF"/>
    <w:rsid w:val="00F15564"/>
    <w:rsid w:val="00F16CEE"/>
    <w:rsid w:val="00F17110"/>
    <w:rsid w:val="00F17820"/>
    <w:rsid w:val="00F20D67"/>
    <w:rsid w:val="00F21865"/>
    <w:rsid w:val="00F22B6A"/>
    <w:rsid w:val="00F22E85"/>
    <w:rsid w:val="00F23125"/>
    <w:rsid w:val="00F23F0C"/>
    <w:rsid w:val="00F25221"/>
    <w:rsid w:val="00F25DE6"/>
    <w:rsid w:val="00F266A1"/>
    <w:rsid w:val="00F269BF"/>
    <w:rsid w:val="00F27AF0"/>
    <w:rsid w:val="00F30072"/>
    <w:rsid w:val="00F319BA"/>
    <w:rsid w:val="00F31ADD"/>
    <w:rsid w:val="00F31E82"/>
    <w:rsid w:val="00F32E81"/>
    <w:rsid w:val="00F32EDF"/>
    <w:rsid w:val="00F33346"/>
    <w:rsid w:val="00F33897"/>
    <w:rsid w:val="00F34288"/>
    <w:rsid w:val="00F34383"/>
    <w:rsid w:val="00F34D8B"/>
    <w:rsid w:val="00F35D89"/>
    <w:rsid w:val="00F41637"/>
    <w:rsid w:val="00F4234F"/>
    <w:rsid w:val="00F43273"/>
    <w:rsid w:val="00F4444F"/>
    <w:rsid w:val="00F45149"/>
    <w:rsid w:val="00F45630"/>
    <w:rsid w:val="00F469D8"/>
    <w:rsid w:val="00F4724A"/>
    <w:rsid w:val="00F47A40"/>
    <w:rsid w:val="00F50CDC"/>
    <w:rsid w:val="00F51C76"/>
    <w:rsid w:val="00F53EFD"/>
    <w:rsid w:val="00F56748"/>
    <w:rsid w:val="00F56AFA"/>
    <w:rsid w:val="00F56EBD"/>
    <w:rsid w:val="00F60330"/>
    <w:rsid w:val="00F609DF"/>
    <w:rsid w:val="00F615BB"/>
    <w:rsid w:val="00F61B5E"/>
    <w:rsid w:val="00F62C66"/>
    <w:rsid w:val="00F63339"/>
    <w:rsid w:val="00F63A09"/>
    <w:rsid w:val="00F63EAE"/>
    <w:rsid w:val="00F64E57"/>
    <w:rsid w:val="00F651EC"/>
    <w:rsid w:val="00F663B6"/>
    <w:rsid w:val="00F66CE9"/>
    <w:rsid w:val="00F67B90"/>
    <w:rsid w:val="00F67F19"/>
    <w:rsid w:val="00F712F7"/>
    <w:rsid w:val="00F71867"/>
    <w:rsid w:val="00F7267F"/>
    <w:rsid w:val="00F72879"/>
    <w:rsid w:val="00F73297"/>
    <w:rsid w:val="00F73681"/>
    <w:rsid w:val="00F742ED"/>
    <w:rsid w:val="00F744F3"/>
    <w:rsid w:val="00F74C60"/>
    <w:rsid w:val="00F74DA6"/>
    <w:rsid w:val="00F75106"/>
    <w:rsid w:val="00F753C5"/>
    <w:rsid w:val="00F765EB"/>
    <w:rsid w:val="00F76A9C"/>
    <w:rsid w:val="00F77E36"/>
    <w:rsid w:val="00F80A27"/>
    <w:rsid w:val="00F80B59"/>
    <w:rsid w:val="00F81B39"/>
    <w:rsid w:val="00F81DC6"/>
    <w:rsid w:val="00F84639"/>
    <w:rsid w:val="00F85747"/>
    <w:rsid w:val="00F861EB"/>
    <w:rsid w:val="00F863E2"/>
    <w:rsid w:val="00F870C1"/>
    <w:rsid w:val="00F93668"/>
    <w:rsid w:val="00F9485A"/>
    <w:rsid w:val="00F94913"/>
    <w:rsid w:val="00F94A8F"/>
    <w:rsid w:val="00F96A1A"/>
    <w:rsid w:val="00F9765C"/>
    <w:rsid w:val="00F97BD6"/>
    <w:rsid w:val="00F97F72"/>
    <w:rsid w:val="00FA0CBF"/>
    <w:rsid w:val="00FA3492"/>
    <w:rsid w:val="00FA4257"/>
    <w:rsid w:val="00FA536F"/>
    <w:rsid w:val="00FA5A08"/>
    <w:rsid w:val="00FA66E1"/>
    <w:rsid w:val="00FA6799"/>
    <w:rsid w:val="00FA6F2B"/>
    <w:rsid w:val="00FA7773"/>
    <w:rsid w:val="00FB0225"/>
    <w:rsid w:val="00FB1C06"/>
    <w:rsid w:val="00FB2D54"/>
    <w:rsid w:val="00FC01AC"/>
    <w:rsid w:val="00FC01DD"/>
    <w:rsid w:val="00FC0B87"/>
    <w:rsid w:val="00FC1E1D"/>
    <w:rsid w:val="00FC3381"/>
    <w:rsid w:val="00FC3484"/>
    <w:rsid w:val="00FC41C9"/>
    <w:rsid w:val="00FC4ACA"/>
    <w:rsid w:val="00FC5D25"/>
    <w:rsid w:val="00FC7E2E"/>
    <w:rsid w:val="00FD0020"/>
    <w:rsid w:val="00FD00E3"/>
    <w:rsid w:val="00FD1BF4"/>
    <w:rsid w:val="00FD26E3"/>
    <w:rsid w:val="00FD3E73"/>
    <w:rsid w:val="00FD4387"/>
    <w:rsid w:val="00FD4A79"/>
    <w:rsid w:val="00FD4ABF"/>
    <w:rsid w:val="00FD61CF"/>
    <w:rsid w:val="00FE15D4"/>
    <w:rsid w:val="00FE17D6"/>
    <w:rsid w:val="00FE1E0D"/>
    <w:rsid w:val="00FE2A53"/>
    <w:rsid w:val="00FE37AA"/>
    <w:rsid w:val="00FE391D"/>
    <w:rsid w:val="00FE3FEF"/>
    <w:rsid w:val="00FE4ED0"/>
    <w:rsid w:val="00FE5989"/>
    <w:rsid w:val="00FE620E"/>
    <w:rsid w:val="00FE76B8"/>
    <w:rsid w:val="00FE77F7"/>
    <w:rsid w:val="00FF1A4B"/>
    <w:rsid w:val="00FF2A2B"/>
    <w:rsid w:val="00FF2E23"/>
    <w:rsid w:val="00FF3577"/>
    <w:rsid w:val="00FF4CD7"/>
    <w:rsid w:val="00FF4CEF"/>
    <w:rsid w:val="00FF5A2A"/>
    <w:rsid w:val="00FF72EA"/>
    <w:rsid w:val="00FF7FED"/>
    <w:rsid w:val="0F152B93"/>
    <w:rsid w:val="139372A2"/>
    <w:rsid w:val="1DAD3545"/>
    <w:rsid w:val="2989ED44"/>
    <w:rsid w:val="29ACCC39"/>
    <w:rsid w:val="2EBEA3E6"/>
    <w:rsid w:val="32A05A87"/>
    <w:rsid w:val="3BFD5943"/>
    <w:rsid w:val="45BD5E4B"/>
    <w:rsid w:val="4D36585E"/>
    <w:rsid w:val="4F4B1834"/>
    <w:rsid w:val="54627E2F"/>
    <w:rsid w:val="5822EE6F"/>
    <w:rsid w:val="589C22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B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locked="1" w:semiHidden="1" w:unhideWhenUsed="1"/>
    <w:lsdException w:name="List 4" w:locked="1"/>
    <w:lsdException w:name="List 5" w:lock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5871"/>
    <w:rPr>
      <w:rFonts w:ascii="Times New Roman" w:hAnsi="Times New Roman" w:cs="Times New Roman"/>
      <w:sz w:val="24"/>
      <w:szCs w:val="24"/>
      <w:lang w:val="en-US" w:eastAsia="en-US"/>
    </w:rPr>
  </w:style>
  <w:style w:type="paragraph" w:styleId="Nadpis3">
    <w:name w:val="heading 3"/>
    <w:basedOn w:val="Normlny"/>
    <w:next w:val="Normlny"/>
    <w:link w:val="Nadpis3Char"/>
    <w:semiHidden/>
    <w:unhideWhenUsed/>
    <w:qFormat/>
    <w:locked/>
    <w:rsid w:val="00D777B9"/>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Zkladntext"/>
    <w:link w:val="Nadpis4Char"/>
    <w:qFormat/>
    <w:locked/>
    <w:rsid w:val="00763D83"/>
    <w:pPr>
      <w:keepNext/>
      <w:numPr>
        <w:ilvl w:val="3"/>
        <w:numId w:val="7"/>
      </w:numPr>
      <w:suppressAutoHyphens/>
      <w:spacing w:line="100" w:lineRule="atLeast"/>
      <w:ind w:right="-2"/>
      <w:jc w:val="center"/>
      <w:outlineLvl w:val="3"/>
    </w:pPr>
    <w:rPr>
      <w:b/>
      <w:smallCaps/>
      <w:sz w:val="26"/>
      <w:szCs w:val="20"/>
      <w:lang w:val="sk-SK"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914781"/>
    <w:pPr>
      <w:spacing w:after="200" w:line="276" w:lineRule="auto"/>
      <w:ind w:left="720"/>
      <w:contextualSpacing/>
    </w:pPr>
    <w:rPr>
      <w:rFonts w:ascii="Calibri" w:hAnsi="Calibri"/>
      <w:sz w:val="22"/>
      <w:szCs w:val="22"/>
      <w:lang w:val="sk-SK"/>
    </w:rPr>
  </w:style>
  <w:style w:type="paragraph" w:styleId="Zkladntext">
    <w:name w:val="Body Text"/>
    <w:basedOn w:val="Normlny"/>
    <w:link w:val="ZkladntextChar"/>
    <w:rsid w:val="00914781"/>
    <w:pPr>
      <w:jc w:val="both"/>
    </w:pPr>
    <w:rPr>
      <w:rFonts w:ascii="Verdana" w:hAnsi="Verdana" w:cs="Verdana"/>
      <w:lang w:val="sk-SK" w:eastAsia="sk-SK"/>
    </w:rPr>
  </w:style>
  <w:style w:type="character" w:customStyle="1" w:styleId="ZkladntextChar">
    <w:name w:val="Základný text Char"/>
    <w:link w:val="Zkladntext"/>
    <w:locked/>
    <w:rsid w:val="00914781"/>
    <w:rPr>
      <w:rFonts w:ascii="Verdana" w:hAnsi="Verdana" w:cs="Verdana"/>
      <w:sz w:val="24"/>
      <w:szCs w:val="24"/>
      <w:lang w:val="x-none" w:eastAsia="sk-SK"/>
    </w:rPr>
  </w:style>
  <w:style w:type="paragraph" w:customStyle="1" w:styleId="CharCharCharCharCharChar">
    <w:name w:val="Char Char Char Char Char Char"/>
    <w:basedOn w:val="Normlny"/>
    <w:rsid w:val="00FE391D"/>
    <w:pPr>
      <w:spacing w:after="160" w:line="240" w:lineRule="exact"/>
    </w:pPr>
    <w:rPr>
      <w:rFonts w:ascii="Tahoma" w:hAnsi="Tahoma"/>
      <w:sz w:val="20"/>
      <w:szCs w:val="20"/>
      <w:lang w:val="sk-SK"/>
    </w:rPr>
  </w:style>
  <w:style w:type="paragraph" w:styleId="Hlavika">
    <w:name w:val="header"/>
    <w:basedOn w:val="Normlny"/>
    <w:link w:val="HlavikaChar"/>
    <w:uiPriority w:val="99"/>
    <w:rsid w:val="00EE02C0"/>
    <w:pPr>
      <w:tabs>
        <w:tab w:val="center" w:pos="4536"/>
        <w:tab w:val="right" w:pos="9072"/>
      </w:tabs>
    </w:pPr>
    <w:rPr>
      <w:rFonts w:ascii="Calibri" w:hAnsi="Calibri"/>
      <w:sz w:val="22"/>
      <w:szCs w:val="22"/>
      <w:lang w:val="sk-SK"/>
    </w:rPr>
  </w:style>
  <w:style w:type="character" w:customStyle="1" w:styleId="HlavikaChar">
    <w:name w:val="Hlavička Char"/>
    <w:link w:val="Hlavika"/>
    <w:uiPriority w:val="99"/>
    <w:locked/>
    <w:rsid w:val="00EE02C0"/>
    <w:rPr>
      <w:rFonts w:cs="Times New Roman"/>
    </w:rPr>
  </w:style>
  <w:style w:type="paragraph" w:styleId="Pta">
    <w:name w:val="footer"/>
    <w:basedOn w:val="Normlny"/>
    <w:link w:val="PtaChar"/>
    <w:uiPriority w:val="99"/>
    <w:rsid w:val="00EE02C0"/>
    <w:pPr>
      <w:tabs>
        <w:tab w:val="center" w:pos="4536"/>
        <w:tab w:val="right" w:pos="9072"/>
      </w:tabs>
    </w:pPr>
    <w:rPr>
      <w:rFonts w:ascii="Calibri" w:hAnsi="Calibri"/>
      <w:sz w:val="22"/>
      <w:szCs w:val="22"/>
      <w:lang w:val="sk-SK"/>
    </w:rPr>
  </w:style>
  <w:style w:type="character" w:customStyle="1" w:styleId="PtaChar">
    <w:name w:val="Päta Char"/>
    <w:link w:val="Pta"/>
    <w:uiPriority w:val="99"/>
    <w:locked/>
    <w:rsid w:val="00EE02C0"/>
    <w:rPr>
      <w:rFonts w:cs="Times New Roman"/>
    </w:rPr>
  </w:style>
  <w:style w:type="paragraph" w:styleId="Textbubliny">
    <w:name w:val="Balloon Text"/>
    <w:basedOn w:val="Normlny"/>
    <w:link w:val="TextbublinyChar"/>
    <w:rsid w:val="00F62C66"/>
    <w:rPr>
      <w:rFonts w:ascii="Tahoma" w:hAnsi="Tahoma" w:cs="Tahoma"/>
      <w:sz w:val="16"/>
      <w:szCs w:val="16"/>
      <w:lang w:val="sk-SK"/>
    </w:rPr>
  </w:style>
  <w:style w:type="character" w:customStyle="1" w:styleId="TextbublinyChar">
    <w:name w:val="Text bubliny Char"/>
    <w:link w:val="Textbubliny"/>
    <w:locked/>
    <w:rsid w:val="00F62C66"/>
    <w:rPr>
      <w:rFonts w:ascii="Tahoma" w:hAnsi="Tahoma" w:cs="Tahoma"/>
      <w:sz w:val="16"/>
      <w:szCs w:val="16"/>
    </w:rPr>
  </w:style>
  <w:style w:type="paragraph" w:styleId="Textpoznmkypodiarou">
    <w:name w:val="footnote text"/>
    <w:aliases w:val="Text poznámky pod čiarou 007"/>
    <w:basedOn w:val="Normlny"/>
    <w:link w:val="TextpoznmkypodiarouChar"/>
    <w:uiPriority w:val="99"/>
    <w:rsid w:val="00B2024B"/>
    <w:rPr>
      <w:rFonts w:ascii="Calibri" w:hAnsi="Calibri"/>
      <w:sz w:val="20"/>
      <w:szCs w:val="20"/>
      <w:lang w:val="sk-SK"/>
    </w:rPr>
  </w:style>
  <w:style w:type="character" w:customStyle="1" w:styleId="TextpoznmkypodiarouChar">
    <w:name w:val="Text poznámky pod čiarou Char"/>
    <w:aliases w:val="Text poznámky pod čiarou 007 Char"/>
    <w:link w:val="Textpoznmkypodiarou"/>
    <w:uiPriority w:val="99"/>
    <w:locked/>
    <w:rsid w:val="00B2024B"/>
    <w:rPr>
      <w:rFonts w:cs="Times New Roman"/>
      <w:sz w:val="20"/>
      <w:szCs w:val="20"/>
    </w:rPr>
  </w:style>
  <w:style w:type="character" w:styleId="Odkaznapoznmkupodiarou">
    <w:name w:val="footnote reference"/>
    <w:uiPriority w:val="99"/>
    <w:rsid w:val="00B2024B"/>
    <w:rPr>
      <w:rFonts w:cs="Times New Roman"/>
      <w:vertAlign w:val="superscript"/>
    </w:rPr>
  </w:style>
  <w:style w:type="table" w:styleId="Mriekatabuky">
    <w:name w:val="Table Grid"/>
    <w:basedOn w:val="Normlnatabuka"/>
    <w:uiPriority w:val="59"/>
    <w:rsid w:val="00707C1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iadkovania1">
    <w:name w:val="Bez riadkovania1"/>
    <w:rsid w:val="002301EE"/>
    <w:rPr>
      <w:rFonts w:cs="Times New Roman"/>
      <w:sz w:val="22"/>
      <w:szCs w:val="22"/>
      <w:lang w:eastAsia="en-US"/>
    </w:rPr>
  </w:style>
  <w:style w:type="character" w:styleId="Odkaznakomentr">
    <w:name w:val="annotation reference"/>
    <w:uiPriority w:val="99"/>
    <w:rsid w:val="00EE1804"/>
    <w:rPr>
      <w:rFonts w:cs="Times New Roman"/>
      <w:sz w:val="16"/>
      <w:szCs w:val="16"/>
    </w:rPr>
  </w:style>
  <w:style w:type="paragraph" w:styleId="Textkomentra">
    <w:name w:val="annotation text"/>
    <w:basedOn w:val="Normlny"/>
    <w:link w:val="TextkomentraChar"/>
    <w:uiPriority w:val="99"/>
    <w:rsid w:val="00EE1804"/>
    <w:pPr>
      <w:spacing w:after="200"/>
    </w:pPr>
    <w:rPr>
      <w:rFonts w:ascii="Calibri" w:hAnsi="Calibri"/>
      <w:sz w:val="20"/>
      <w:szCs w:val="20"/>
      <w:lang w:val="sk-SK"/>
    </w:rPr>
  </w:style>
  <w:style w:type="character" w:customStyle="1" w:styleId="TextkomentraChar">
    <w:name w:val="Text komentára Char"/>
    <w:link w:val="Textkomentra"/>
    <w:uiPriority w:val="99"/>
    <w:locked/>
    <w:rsid w:val="00EE1804"/>
    <w:rPr>
      <w:rFonts w:cs="Times New Roman"/>
      <w:sz w:val="20"/>
      <w:szCs w:val="20"/>
    </w:rPr>
  </w:style>
  <w:style w:type="paragraph" w:styleId="Predmetkomentra">
    <w:name w:val="annotation subject"/>
    <w:basedOn w:val="Textkomentra"/>
    <w:next w:val="Textkomentra"/>
    <w:link w:val="PredmetkomentraChar"/>
    <w:rsid w:val="00EE1804"/>
    <w:rPr>
      <w:b/>
      <w:bCs/>
    </w:rPr>
  </w:style>
  <w:style w:type="character" w:customStyle="1" w:styleId="PredmetkomentraChar">
    <w:name w:val="Predmet komentára Char"/>
    <w:link w:val="Predmetkomentra"/>
    <w:locked/>
    <w:rsid w:val="00EE1804"/>
    <w:rPr>
      <w:rFonts w:cs="Times New Roman"/>
      <w:b/>
      <w:bCs/>
      <w:sz w:val="20"/>
      <w:szCs w:val="20"/>
    </w:rPr>
  </w:style>
  <w:style w:type="character" w:styleId="Zstupntext">
    <w:name w:val="Placeholder Text"/>
    <w:basedOn w:val="Predvolenpsmoodseku"/>
    <w:uiPriority w:val="99"/>
    <w:semiHidden/>
    <w:rsid w:val="00AA1139"/>
    <w:rPr>
      <w:rFonts w:ascii="Times New Roman" w:hAnsi="Times New Roman"/>
      <w:color w:val="808080"/>
    </w:rPr>
  </w:style>
  <w:style w:type="paragraph" w:styleId="Odsekzoznamu">
    <w:name w:val="List Paragraph"/>
    <w:basedOn w:val="Normlny"/>
    <w:uiPriority w:val="34"/>
    <w:qFormat/>
    <w:rsid w:val="00C72A4D"/>
    <w:pPr>
      <w:spacing w:after="200" w:line="276" w:lineRule="auto"/>
      <w:ind w:left="720"/>
      <w:contextualSpacing/>
    </w:pPr>
    <w:rPr>
      <w:rFonts w:ascii="Calibri" w:eastAsia="Calibri" w:hAnsi="Calibri"/>
      <w:sz w:val="22"/>
      <w:szCs w:val="22"/>
      <w:lang w:val="sk-SK"/>
    </w:rPr>
  </w:style>
  <w:style w:type="paragraph" w:customStyle="1" w:styleId="Default">
    <w:name w:val="Default"/>
    <w:rsid w:val="00814505"/>
    <w:pPr>
      <w:autoSpaceDE w:val="0"/>
      <w:autoSpaceDN w:val="0"/>
      <w:adjustRightInd w:val="0"/>
    </w:pPr>
    <w:rPr>
      <w:rFonts w:ascii="Cambria" w:hAnsi="Cambria" w:cs="Cambria"/>
      <w:color w:val="000000"/>
      <w:sz w:val="24"/>
      <w:szCs w:val="24"/>
      <w:lang w:val="en-US"/>
    </w:rPr>
  </w:style>
  <w:style w:type="character" w:styleId="slostrany">
    <w:name w:val="page number"/>
    <w:uiPriority w:val="99"/>
    <w:rsid w:val="007C3F79"/>
    <w:rPr>
      <w:rFonts w:cs="Times New Roman"/>
    </w:rPr>
  </w:style>
  <w:style w:type="paragraph" w:customStyle="1" w:styleId="p3">
    <w:name w:val="p3"/>
    <w:basedOn w:val="Normlny"/>
    <w:rsid w:val="007C3F79"/>
    <w:pPr>
      <w:jc w:val="both"/>
    </w:pPr>
    <w:rPr>
      <w:rFonts w:eastAsia="Calibri"/>
      <w:sz w:val="17"/>
      <w:szCs w:val="17"/>
      <w:lang w:val="en-GB" w:eastAsia="en-GB"/>
    </w:rPr>
  </w:style>
  <w:style w:type="paragraph" w:customStyle="1" w:styleId="BodyText1">
    <w:name w:val="Body Text1"/>
    <w:qFormat/>
    <w:rsid w:val="007C3F79"/>
    <w:pPr>
      <w:spacing w:after="120"/>
    </w:pPr>
    <w:rPr>
      <w:rFonts w:ascii="Arial" w:hAnsi="Arial" w:cs="Times New Roman"/>
      <w:color w:val="000000"/>
      <w:sz w:val="19"/>
      <w:szCs w:val="48"/>
      <w:lang w:eastAsia="en-US"/>
    </w:rPr>
  </w:style>
  <w:style w:type="paragraph" w:styleId="Normlnywebov">
    <w:name w:val="Normal (Web)"/>
    <w:basedOn w:val="Normlny"/>
    <w:uiPriority w:val="99"/>
    <w:unhideWhenUsed/>
    <w:rsid w:val="007C3F79"/>
    <w:pPr>
      <w:spacing w:before="100" w:beforeAutospacing="1" w:after="100" w:afterAutospacing="1"/>
    </w:pPr>
    <w:rPr>
      <w:rFonts w:eastAsiaTheme="minorEastAsia"/>
      <w:lang w:val="sk-SK"/>
    </w:rPr>
  </w:style>
  <w:style w:type="paragraph" w:customStyle="1" w:styleId="Deloittebodytext">
    <w:name w:val="Deloitte body text"/>
    <w:qFormat/>
    <w:rsid w:val="007C3F79"/>
    <w:pPr>
      <w:spacing w:after="240" w:line="280" w:lineRule="exact"/>
      <w:jc w:val="both"/>
    </w:pPr>
    <w:rPr>
      <w:rFonts w:ascii="Arial" w:hAnsi="Arial" w:cs="Times New Roman"/>
      <w:color w:val="000000"/>
      <w:sz w:val="22"/>
      <w:szCs w:val="48"/>
      <w:lang w:eastAsia="en-US"/>
    </w:rPr>
  </w:style>
  <w:style w:type="paragraph" w:customStyle="1" w:styleId="TableColumnheader">
    <w:name w:val="Table Column header"/>
    <w:basedOn w:val="Normlny"/>
    <w:rsid w:val="007C3F79"/>
    <w:pPr>
      <w:spacing w:before="80" w:after="80"/>
    </w:pPr>
    <w:rPr>
      <w:rFonts w:ascii="Arial" w:eastAsia="Times" w:hAnsi="Arial"/>
      <w:b/>
      <w:noProof/>
      <w:color w:val="FFFFFF"/>
      <w:sz w:val="18"/>
      <w:lang w:val="sk-SK"/>
    </w:rPr>
  </w:style>
  <w:style w:type="character" w:styleId="Hypertextovprepojenie">
    <w:name w:val="Hyperlink"/>
    <w:basedOn w:val="Predvolenpsmoodseku"/>
    <w:uiPriority w:val="99"/>
    <w:unhideWhenUsed/>
    <w:rsid w:val="007C3F79"/>
    <w:rPr>
      <w:color w:val="0000FF" w:themeColor="hyperlink"/>
      <w:u w:val="single"/>
    </w:rPr>
  </w:style>
  <w:style w:type="character" w:customStyle="1" w:styleId="allowtextselection">
    <w:name w:val="allowtextselection"/>
    <w:basedOn w:val="Predvolenpsmoodseku"/>
    <w:rsid w:val="007C3F79"/>
  </w:style>
  <w:style w:type="character" w:styleId="Siln">
    <w:name w:val="Strong"/>
    <w:basedOn w:val="Predvolenpsmoodseku"/>
    <w:uiPriority w:val="22"/>
    <w:qFormat/>
    <w:locked/>
    <w:rsid w:val="007C3F79"/>
    <w:rPr>
      <w:b/>
      <w:bCs/>
    </w:rPr>
  </w:style>
  <w:style w:type="paragraph" w:styleId="Nzov">
    <w:name w:val="Title"/>
    <w:basedOn w:val="Normlny"/>
    <w:next w:val="Normlny"/>
    <w:link w:val="NzovChar"/>
    <w:qFormat/>
    <w:locked/>
    <w:rsid w:val="00A255FC"/>
    <w:pPr>
      <w:contextualSpacing/>
    </w:pPr>
    <w:rPr>
      <w:rFonts w:asciiTheme="majorHAnsi" w:eastAsiaTheme="majorEastAsia" w:hAnsiTheme="majorHAnsi" w:cstheme="majorBidi"/>
      <w:spacing w:val="-10"/>
      <w:kern w:val="28"/>
      <w:sz w:val="56"/>
      <w:szCs w:val="56"/>
      <w:lang w:val="sk-SK"/>
    </w:rPr>
  </w:style>
  <w:style w:type="character" w:customStyle="1" w:styleId="NzovChar">
    <w:name w:val="Názov Char"/>
    <w:basedOn w:val="Predvolenpsmoodseku"/>
    <w:link w:val="Nzov"/>
    <w:rsid w:val="00A255FC"/>
    <w:rPr>
      <w:rFonts w:asciiTheme="majorHAnsi" w:eastAsiaTheme="majorEastAsia" w:hAnsiTheme="majorHAnsi" w:cstheme="majorBidi"/>
      <w:spacing w:val="-10"/>
      <w:kern w:val="28"/>
      <w:sz w:val="56"/>
      <w:szCs w:val="56"/>
      <w:lang w:eastAsia="en-US"/>
    </w:rPr>
  </w:style>
  <w:style w:type="paragraph" w:styleId="Revzia">
    <w:name w:val="Revision"/>
    <w:hidden/>
    <w:uiPriority w:val="99"/>
    <w:semiHidden/>
    <w:rsid w:val="00E829DA"/>
    <w:rPr>
      <w:rFonts w:ascii="Times New Roman" w:hAnsi="Times New Roman" w:cs="Times New Roman"/>
      <w:sz w:val="24"/>
      <w:szCs w:val="24"/>
      <w:lang w:eastAsia="en-US"/>
    </w:rPr>
  </w:style>
  <w:style w:type="character" w:customStyle="1" w:styleId="Nadpis4Char">
    <w:name w:val="Nadpis 4 Char"/>
    <w:basedOn w:val="Predvolenpsmoodseku"/>
    <w:link w:val="Nadpis4"/>
    <w:rsid w:val="00763D83"/>
    <w:rPr>
      <w:rFonts w:ascii="Times New Roman" w:hAnsi="Times New Roman" w:cs="Times New Roman"/>
      <w:b/>
      <w:smallCaps/>
      <w:sz w:val="26"/>
      <w:lang w:eastAsia="ar-SA"/>
    </w:rPr>
  </w:style>
  <w:style w:type="table" w:customStyle="1" w:styleId="Mriekatabuky1">
    <w:name w:val="Mriežka tabuľky1"/>
    <w:basedOn w:val="Normlnatabuka"/>
    <w:next w:val="Mriekatabuky"/>
    <w:uiPriority w:val="59"/>
    <w:rsid w:val="00763D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mnodkaz">
    <w:name w:val="Subtle Reference"/>
    <w:basedOn w:val="Predvolenpsmoodseku"/>
    <w:uiPriority w:val="31"/>
    <w:qFormat/>
    <w:rsid w:val="00763D83"/>
    <w:rPr>
      <w:smallCaps/>
      <w:color w:val="5A5A5A" w:themeColor="text1" w:themeTint="A5"/>
    </w:rPr>
  </w:style>
  <w:style w:type="character" w:customStyle="1" w:styleId="Nadpis3Char">
    <w:name w:val="Nadpis 3 Char"/>
    <w:basedOn w:val="Predvolenpsmoodseku"/>
    <w:link w:val="Nadpis3"/>
    <w:semiHidden/>
    <w:rsid w:val="00D777B9"/>
    <w:rPr>
      <w:rFonts w:asciiTheme="majorHAnsi" w:eastAsiaTheme="majorEastAsia" w:hAnsiTheme="majorHAnsi" w:cstheme="majorBidi"/>
      <w:color w:val="243F60" w:themeColor="accent1" w:themeShade="7F"/>
      <w:sz w:val="24"/>
      <w:szCs w:val="24"/>
      <w:lang w:val="en-US" w:eastAsia="en-US"/>
    </w:rPr>
  </w:style>
  <w:style w:type="character" w:customStyle="1" w:styleId="awspan">
    <w:name w:val="awspan"/>
    <w:basedOn w:val="Predvolenpsmoodseku"/>
    <w:rsid w:val="00D777B9"/>
  </w:style>
  <w:style w:type="table" w:customStyle="1" w:styleId="Mriekatabuky2">
    <w:name w:val="Mriežka tabuľky2"/>
    <w:basedOn w:val="Normlnatabuka"/>
    <w:next w:val="Mriekatabuky"/>
    <w:uiPriority w:val="59"/>
    <w:rsid w:val="002732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732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86C0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5280">
      <w:bodyDiv w:val="1"/>
      <w:marLeft w:val="0"/>
      <w:marRight w:val="0"/>
      <w:marTop w:val="0"/>
      <w:marBottom w:val="0"/>
      <w:divBdr>
        <w:top w:val="none" w:sz="0" w:space="0" w:color="auto"/>
        <w:left w:val="none" w:sz="0" w:space="0" w:color="auto"/>
        <w:bottom w:val="none" w:sz="0" w:space="0" w:color="auto"/>
        <w:right w:val="none" w:sz="0" w:space="0" w:color="auto"/>
      </w:divBdr>
    </w:div>
    <w:div w:id="382606873">
      <w:bodyDiv w:val="1"/>
      <w:marLeft w:val="0"/>
      <w:marRight w:val="0"/>
      <w:marTop w:val="0"/>
      <w:marBottom w:val="0"/>
      <w:divBdr>
        <w:top w:val="none" w:sz="0" w:space="0" w:color="auto"/>
        <w:left w:val="none" w:sz="0" w:space="0" w:color="auto"/>
        <w:bottom w:val="none" w:sz="0" w:space="0" w:color="auto"/>
        <w:right w:val="none" w:sz="0" w:space="0" w:color="auto"/>
      </w:divBdr>
      <w:divsChild>
        <w:div w:id="941959450">
          <w:marLeft w:val="0"/>
          <w:marRight w:val="0"/>
          <w:marTop w:val="0"/>
          <w:marBottom w:val="0"/>
          <w:divBdr>
            <w:top w:val="none" w:sz="0" w:space="0" w:color="auto"/>
            <w:left w:val="none" w:sz="0" w:space="0" w:color="auto"/>
            <w:bottom w:val="none" w:sz="0" w:space="0" w:color="auto"/>
            <w:right w:val="none" w:sz="0" w:space="0" w:color="auto"/>
          </w:divBdr>
        </w:div>
        <w:div w:id="1360280587">
          <w:marLeft w:val="0"/>
          <w:marRight w:val="0"/>
          <w:marTop w:val="0"/>
          <w:marBottom w:val="0"/>
          <w:divBdr>
            <w:top w:val="none" w:sz="0" w:space="0" w:color="auto"/>
            <w:left w:val="none" w:sz="0" w:space="0" w:color="auto"/>
            <w:bottom w:val="none" w:sz="0" w:space="0" w:color="auto"/>
            <w:right w:val="none" w:sz="0" w:space="0" w:color="auto"/>
          </w:divBdr>
        </w:div>
        <w:div w:id="2136676971">
          <w:marLeft w:val="0"/>
          <w:marRight w:val="0"/>
          <w:marTop w:val="0"/>
          <w:marBottom w:val="0"/>
          <w:divBdr>
            <w:top w:val="none" w:sz="0" w:space="0" w:color="auto"/>
            <w:left w:val="none" w:sz="0" w:space="0" w:color="auto"/>
            <w:bottom w:val="none" w:sz="0" w:space="0" w:color="auto"/>
            <w:right w:val="none" w:sz="0" w:space="0" w:color="auto"/>
          </w:divBdr>
        </w:div>
      </w:divsChild>
    </w:div>
    <w:div w:id="433672795">
      <w:bodyDiv w:val="1"/>
      <w:marLeft w:val="0"/>
      <w:marRight w:val="0"/>
      <w:marTop w:val="0"/>
      <w:marBottom w:val="0"/>
      <w:divBdr>
        <w:top w:val="none" w:sz="0" w:space="0" w:color="auto"/>
        <w:left w:val="none" w:sz="0" w:space="0" w:color="auto"/>
        <w:bottom w:val="none" w:sz="0" w:space="0" w:color="auto"/>
        <w:right w:val="none" w:sz="0" w:space="0" w:color="auto"/>
      </w:divBdr>
    </w:div>
    <w:div w:id="482159792">
      <w:bodyDiv w:val="1"/>
      <w:marLeft w:val="0"/>
      <w:marRight w:val="0"/>
      <w:marTop w:val="0"/>
      <w:marBottom w:val="0"/>
      <w:divBdr>
        <w:top w:val="none" w:sz="0" w:space="0" w:color="auto"/>
        <w:left w:val="none" w:sz="0" w:space="0" w:color="auto"/>
        <w:bottom w:val="none" w:sz="0" w:space="0" w:color="auto"/>
        <w:right w:val="none" w:sz="0" w:space="0" w:color="auto"/>
      </w:divBdr>
    </w:div>
    <w:div w:id="559370147">
      <w:bodyDiv w:val="1"/>
      <w:marLeft w:val="0"/>
      <w:marRight w:val="0"/>
      <w:marTop w:val="0"/>
      <w:marBottom w:val="0"/>
      <w:divBdr>
        <w:top w:val="none" w:sz="0" w:space="0" w:color="auto"/>
        <w:left w:val="none" w:sz="0" w:space="0" w:color="auto"/>
        <w:bottom w:val="none" w:sz="0" w:space="0" w:color="auto"/>
        <w:right w:val="none" w:sz="0" w:space="0" w:color="auto"/>
      </w:divBdr>
    </w:div>
    <w:div w:id="821002178">
      <w:bodyDiv w:val="1"/>
      <w:marLeft w:val="0"/>
      <w:marRight w:val="0"/>
      <w:marTop w:val="0"/>
      <w:marBottom w:val="0"/>
      <w:divBdr>
        <w:top w:val="none" w:sz="0" w:space="0" w:color="auto"/>
        <w:left w:val="none" w:sz="0" w:space="0" w:color="auto"/>
        <w:bottom w:val="none" w:sz="0" w:space="0" w:color="auto"/>
        <w:right w:val="none" w:sz="0" w:space="0" w:color="auto"/>
      </w:divBdr>
    </w:div>
    <w:div w:id="1053770887">
      <w:bodyDiv w:val="1"/>
      <w:marLeft w:val="0"/>
      <w:marRight w:val="0"/>
      <w:marTop w:val="0"/>
      <w:marBottom w:val="0"/>
      <w:divBdr>
        <w:top w:val="none" w:sz="0" w:space="0" w:color="auto"/>
        <w:left w:val="none" w:sz="0" w:space="0" w:color="auto"/>
        <w:bottom w:val="none" w:sz="0" w:space="0" w:color="auto"/>
        <w:right w:val="none" w:sz="0" w:space="0" w:color="auto"/>
      </w:divBdr>
    </w:div>
    <w:div w:id="1244098364">
      <w:bodyDiv w:val="1"/>
      <w:marLeft w:val="0"/>
      <w:marRight w:val="0"/>
      <w:marTop w:val="0"/>
      <w:marBottom w:val="0"/>
      <w:divBdr>
        <w:top w:val="none" w:sz="0" w:space="0" w:color="auto"/>
        <w:left w:val="none" w:sz="0" w:space="0" w:color="auto"/>
        <w:bottom w:val="none" w:sz="0" w:space="0" w:color="auto"/>
        <w:right w:val="none" w:sz="0" w:space="0" w:color="auto"/>
      </w:divBdr>
      <w:divsChild>
        <w:div w:id="1709529123">
          <w:marLeft w:val="0"/>
          <w:marRight w:val="0"/>
          <w:marTop w:val="0"/>
          <w:marBottom w:val="0"/>
          <w:divBdr>
            <w:top w:val="none" w:sz="0" w:space="0" w:color="auto"/>
            <w:left w:val="none" w:sz="0" w:space="0" w:color="auto"/>
            <w:bottom w:val="none" w:sz="0" w:space="0" w:color="auto"/>
            <w:right w:val="none" w:sz="0" w:space="0" w:color="auto"/>
          </w:divBdr>
        </w:div>
        <w:div w:id="1305693668">
          <w:marLeft w:val="0"/>
          <w:marRight w:val="0"/>
          <w:marTop w:val="0"/>
          <w:marBottom w:val="0"/>
          <w:divBdr>
            <w:top w:val="none" w:sz="0" w:space="0" w:color="auto"/>
            <w:left w:val="none" w:sz="0" w:space="0" w:color="auto"/>
            <w:bottom w:val="none" w:sz="0" w:space="0" w:color="auto"/>
            <w:right w:val="none" w:sz="0" w:space="0" w:color="auto"/>
          </w:divBdr>
        </w:div>
      </w:divsChild>
    </w:div>
    <w:div w:id="1430660876">
      <w:bodyDiv w:val="1"/>
      <w:marLeft w:val="0"/>
      <w:marRight w:val="0"/>
      <w:marTop w:val="0"/>
      <w:marBottom w:val="0"/>
      <w:divBdr>
        <w:top w:val="none" w:sz="0" w:space="0" w:color="auto"/>
        <w:left w:val="none" w:sz="0" w:space="0" w:color="auto"/>
        <w:bottom w:val="none" w:sz="0" w:space="0" w:color="auto"/>
        <w:right w:val="none" w:sz="0" w:space="0" w:color="auto"/>
      </w:divBdr>
    </w:div>
    <w:div w:id="1473211126">
      <w:bodyDiv w:val="1"/>
      <w:marLeft w:val="0"/>
      <w:marRight w:val="0"/>
      <w:marTop w:val="0"/>
      <w:marBottom w:val="0"/>
      <w:divBdr>
        <w:top w:val="none" w:sz="0" w:space="0" w:color="auto"/>
        <w:left w:val="none" w:sz="0" w:space="0" w:color="auto"/>
        <w:bottom w:val="none" w:sz="0" w:space="0" w:color="auto"/>
        <w:right w:val="none" w:sz="0" w:space="0" w:color="auto"/>
      </w:divBdr>
    </w:div>
    <w:div w:id="1539900041">
      <w:bodyDiv w:val="1"/>
      <w:marLeft w:val="0"/>
      <w:marRight w:val="0"/>
      <w:marTop w:val="0"/>
      <w:marBottom w:val="0"/>
      <w:divBdr>
        <w:top w:val="none" w:sz="0" w:space="0" w:color="auto"/>
        <w:left w:val="none" w:sz="0" w:space="0" w:color="auto"/>
        <w:bottom w:val="none" w:sz="0" w:space="0" w:color="auto"/>
        <w:right w:val="none" w:sz="0" w:space="0" w:color="auto"/>
      </w:divBdr>
    </w:div>
    <w:div w:id="1785227738">
      <w:bodyDiv w:val="1"/>
      <w:marLeft w:val="0"/>
      <w:marRight w:val="0"/>
      <w:marTop w:val="0"/>
      <w:marBottom w:val="0"/>
      <w:divBdr>
        <w:top w:val="none" w:sz="0" w:space="0" w:color="auto"/>
        <w:left w:val="none" w:sz="0" w:space="0" w:color="auto"/>
        <w:bottom w:val="none" w:sz="0" w:space="0" w:color="auto"/>
        <w:right w:val="none" w:sz="0" w:space="0" w:color="auto"/>
      </w:divBdr>
      <w:divsChild>
        <w:div w:id="1633053223">
          <w:marLeft w:val="0"/>
          <w:marRight w:val="0"/>
          <w:marTop w:val="0"/>
          <w:marBottom w:val="0"/>
          <w:divBdr>
            <w:top w:val="none" w:sz="0" w:space="0" w:color="auto"/>
            <w:left w:val="none" w:sz="0" w:space="0" w:color="auto"/>
            <w:bottom w:val="none" w:sz="0" w:space="0" w:color="auto"/>
            <w:right w:val="none" w:sz="0" w:space="0" w:color="auto"/>
          </w:divBdr>
        </w:div>
        <w:div w:id="1912811629">
          <w:marLeft w:val="0"/>
          <w:marRight w:val="0"/>
          <w:marTop w:val="0"/>
          <w:marBottom w:val="0"/>
          <w:divBdr>
            <w:top w:val="none" w:sz="0" w:space="0" w:color="auto"/>
            <w:left w:val="none" w:sz="0" w:space="0" w:color="auto"/>
            <w:bottom w:val="none" w:sz="0" w:space="0" w:color="auto"/>
            <w:right w:val="none" w:sz="0" w:space="0" w:color="auto"/>
          </w:divBdr>
        </w:div>
        <w:div w:id="1298221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mhsr.sk/podnikatelske-prostredie/lepsia-regulacia/regulacne-zatazenie/kalkulacka-nakladov-regulacie" TargetMode="External"/><Relationship Id="rId3" Type="http://schemas.openxmlformats.org/officeDocument/2006/relationships/customXml" Target="../customXml/item3.xml"/><Relationship Id="rId21" Type="http://schemas.openxmlformats.org/officeDocument/2006/relationships/hyperlink" Target="https://www.nbs.sk/sk/statisticke-udaje/financne-institucie/banky/statisticke-a-analyticke-prehlady/prehlad-o-rozvoji-penazneho-sektora"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bica.kasikova@mirri.gov.sk"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mirri.gov.sk/aktuality/informatizacia/mirri-spusti-v-spolupraci-s-odbornou-komunitou-prieskum-zamerany-na-dodrziavanie-zakona-o-e-governmente-vysledkom-bude-prehodnotenie-niektorych-opatreni-a-priprava-novely/index.html"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B7D571534C448FA7890A01D0E6837D"/>
        <w:category>
          <w:name w:val="Všeobecné"/>
          <w:gallery w:val="placeholder"/>
        </w:category>
        <w:types>
          <w:type w:val="bbPlcHdr"/>
        </w:types>
        <w:behaviors>
          <w:behavior w:val="content"/>
        </w:behaviors>
        <w:guid w:val="{7B9B8D44-7CF7-4F98-A8DA-64D992E2D858}"/>
      </w:docPartPr>
      <w:docPartBody>
        <w:p w:rsidR="00D668D9" w:rsidRDefault="00D668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D9"/>
    <w:rsid w:val="00D668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1" ma:contentTypeDescription="Create a new document." ma:contentTypeScope="" ma:versionID="a49580e50effbdc87ee46506eecfc4c3">
  <xsd:schema xmlns:xsd="http://www.w3.org/2001/XMLSchema" xmlns:xs="http://www.w3.org/2001/XMLSchema" xmlns:p="http://schemas.microsoft.com/office/2006/metadata/properties" xmlns:ns2="d26c6947-7193-433e-9fee-b9383e5fa34c" targetNamespace="http://schemas.microsoft.com/office/2006/metadata/properties" ma:root="true" ma:fieldsID="c498c21d966a2be289c8d829e74011dd" ns2:_="">
    <xsd:import namespace="d26c6947-7193-433e-9fee-b9383e5fa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2F9C594-0FB6-4305-AE3F-7A8D8A927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A74A2-4BC1-490A-BA1B-39139202E0F9}">
  <ds:schemaRefs>
    <ds:schemaRef ds:uri="http://schemas.microsoft.com/sharepoint/v3/contenttype/forms"/>
  </ds:schemaRefs>
</ds:datastoreItem>
</file>

<file path=customXml/itemProps3.xml><?xml version="1.0" encoding="utf-8"?>
<ds:datastoreItem xmlns:ds="http://schemas.openxmlformats.org/officeDocument/2006/customXml" ds:itemID="{3CBAD2D4-EFAD-422A-A681-3CAD2889B971}">
  <ds:schemaRefs>
    <ds:schemaRef ds:uri="http://purl.org/dc/elements/1.1/"/>
    <ds:schemaRef ds:uri="http://schemas.microsoft.com/office/2006/documentManagement/types"/>
    <ds:schemaRef ds:uri="d26c6947-7193-433e-9fee-b9383e5fa34c"/>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18340</Words>
  <Characters>114036</Characters>
  <Application>Microsoft Office Word</Application>
  <DocSecurity>0</DocSecurity>
  <Lines>950</Lines>
  <Paragraphs>264</Paragraphs>
  <ScaleCrop>false</ScaleCrop>
  <HeadingPairs>
    <vt:vector size="2" baseType="variant">
      <vt:variant>
        <vt:lpstr>Názov</vt:lpstr>
      </vt:variant>
      <vt:variant>
        <vt:i4>1</vt:i4>
      </vt:variant>
    </vt:vector>
  </HeadingPairs>
  <TitlesOfParts>
    <vt:vector size="1" baseType="lpstr">
      <vt:lpstr>DÔVODOVÁ SPRÁVA</vt:lpstr>
    </vt:vector>
  </TitlesOfParts>
  <LinksUpToDate>false</LinksUpToDate>
  <CharactersWithSpaces>132112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
  <cp:lastModifiedBy/>
  <cp:revision>1</cp:revision>
  <dcterms:created xsi:type="dcterms:W3CDTF">2022-05-26T11:08:00Z</dcterms:created>
  <dcterms:modified xsi:type="dcterms:W3CDTF">2022-05-26T11:08:00Z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0x0101005D47492F976CBF46A6AE218298779E84</vt:lpwstr>
  </property>
  <property fmtid="{D5CDD505-2E9C-101B-9397-08002B2CF9AE}" pid="3" name="_dlc_DocIdItemGuid">
    <vt:lpwstr>c9874944-0976-4a92-b7da-bcbae28abff3</vt:lpwstr>
  </property>
</Properties>
</file>