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Default="004F7C34" w:rsidP="004613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r w:rsidR="00BF383B" w:rsidRPr="00BF38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ávrh zákona</w:t>
            </w:r>
            <w:r w:rsidR="004613F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ktorým sa mení a dopĺňa zákon č. 221/2006 Z. z. o výkone väzby v znení neskorších predpisov</w:t>
            </w:r>
          </w:p>
          <w:p w:rsidR="004613FE" w:rsidRPr="00B043B4" w:rsidRDefault="004613FE" w:rsidP="004613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B043B4" w:rsidRDefault="004F7C34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r>
              <w:rPr>
                <w:rFonts w:ascii="Times" w:hAnsi="Times" w:cs="Times"/>
                <w:sz w:val="20"/>
                <w:szCs w:val="20"/>
              </w:rPr>
              <w:t>Vláda</w:t>
            </w:r>
            <w:bookmarkEnd w:id="0"/>
            <w:r w:rsidR="00BF383B" w:rsidRPr="002860F1">
              <w:rPr>
                <w:rFonts w:ascii="Times" w:hAnsi="Times" w:cs="Times"/>
                <w:sz w:val="20"/>
                <w:szCs w:val="20"/>
              </w:rPr>
              <w:t xml:space="preserve"> Slovenskej republiky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9890771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1B23B7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45588339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2D4F7B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AD2484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83475976"/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1B23B7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B043B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2D4F7B" w:rsidRDefault="003A202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September </w:t>
            </w:r>
            <w:r w:rsidR="00220B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2021</w:t>
            </w: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2D4F7B" w:rsidRDefault="003A202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Október </w:t>
            </w:r>
            <w:r w:rsidR="00220BC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2021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7D4126" w:rsidP="00AC33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4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Právna úprava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podmienok výkonu väzby</w:t>
            </w:r>
            <w:r w:rsidRPr="007D4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obsahuje katalóg oprávnení pre osoby vo výkone väzby, zároveň však ustanovuje aj celý rad obmedzení a povinností, ktoré sa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osoby vo výkone väzby</w:t>
            </w:r>
            <w:r w:rsidRPr="007D4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vzťahujú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Pr="007D4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zmyslom ktorých je zabezpečiť riadny priebeh výkonu väzby bez narúšania ústavného poriadku, b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ez ohrozovania života, zdravia a</w:t>
            </w:r>
            <w:r w:rsidRPr="007D4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majetku osôb vo výkone väzby, ako aj väzenského personálu a samotného ústavu na výkon väzby. Na konkrétne nedostatky v aktuálnych podmienkach výkonu väzby poukazujú odporúčania Európskeho výboru na zabránenie mučeniu a neľudskému či ponižujúcemu zaobchádzaniu alebo trestaniu uvedené v správe pre vládu Slovenskej republiky o návšteve Slovenskej republiky v dňoch 19. až 28. marca 2018. </w:t>
            </w:r>
            <w:r w:rsidR="003E643C" w:rsidRPr="003E64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Navrhovaná právna úprava reaguje na Európske väzenské pravidlá - Odporúčanie Rec(2006)2 Výboru ministrov členským štátom o Európskych väzenských pravidlách (prijaté Výborom ministrov 11. januára 2006 na 952. zasadnutí zástupcov ministrov a revidované a doplnené Výborom ministrov 1. júla 2020 na 1380. zasadnutí zástupcov ministrov) – „Každé väznenie má byť vedené tak, aby uľahčilo reintegráciu osôb, ktoré boli zbavené slobody do slobodnej spoločnosti.“</w:t>
            </w:r>
            <w:r w:rsidR="003E64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7D4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platnej právnej úprave napríklad absentuje úprava realizácie návštev f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ormou elektronickej komunikácie a</w:t>
            </w:r>
            <w:r w:rsidRPr="007D4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možnosť telefonovania väznených osôb je podmienená úhradou evidovaných pohľadávok.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Súčasne právna úprava obsahuje prísne kontraindikácie spoločného umiestňovania osôb vo výkone väzby, ktoré limitujú možnosti realizácie skupinových zmysluplných aktivít rôznej povahy (</w:t>
            </w:r>
            <w:r w:rsidRPr="007D41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práca, vzdelávanie, šport, kultúrno-osvetová činnosť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</w:t>
            </w:r>
          </w:p>
          <w:p w:rsidR="00AC3350" w:rsidRPr="00B043B4" w:rsidRDefault="00AC3350" w:rsidP="00AC335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83B" w:rsidRPr="00AB2BA0" w:rsidRDefault="00BF383B" w:rsidP="000D5B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Cieľom návrhu zákona je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814CE3"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súlade s Programovým vyhlásením vlády Slovenskej republiky na obdobie rokov 202</w:t>
            </w:r>
            <w:r w:rsidR="00B43A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  <w:r w:rsidR="00814CE3"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43A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až</w:t>
            </w:r>
            <w:r w:rsidR="00B43A6F"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814CE3"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2024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0D5B66"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pokračovať v humanizácii a zmierňovaní obmedzení väznených osôb v kontexte odporúčaní vnútroštátnych a medzinárodných inštitúcií, s osobitným dôrazom na vzdelávanie a posilňovanie pozitívnych sociálnych väzieb, najmä prostredníctvom zvyšovania dostupnosti rôznych foriem kontaktu väznených osôb 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</w:t>
            </w:r>
            <w:r w:rsidR="000D5B66"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 rodinou.</w:t>
            </w:r>
          </w:p>
          <w:p w:rsidR="00BF383B" w:rsidRPr="00AB2BA0" w:rsidRDefault="00BF383B" w:rsidP="000D5B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BF383B" w:rsidRDefault="00A60407" w:rsidP="000D5B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</w:t>
            </w:r>
            <w:r w:rsidR="00BF383B"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avrhované </w:t>
            </w:r>
            <w:r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znenie právnej úpravy zväčšuje zákonom garantovanú minimálnu ubytovaciu plochu na jednu väznenú osobu</w:t>
            </w:r>
            <w:r w:rsidR="00AB2BA0"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rozširuje okruh vecí osobnej potreby, ktoré môže mať obvinený pri sebe o nosiče informáci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í</w:t>
            </w:r>
            <w:r w:rsidR="00AB2BA0"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obsahujúce napríklad audiozáznamy súdnych pojednávaní alebo iné informácie týkajúce sa právnych vecí obvineného</w:t>
            </w:r>
            <w:r w:rsid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odstraňuje podmienku vylučujúcu obvinených neumiestnených do oddielu so zmierneným režimom z účasti na </w:t>
            </w:r>
            <w:r w:rsidR="00AB2BA0"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vzdelávacích, osvetových, záuj</w:t>
            </w:r>
            <w:r w:rsid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mových a športových činnostiach, vytvára leg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islatívne predpoklady prístupu na</w:t>
            </w:r>
            <w:r w:rsid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AB2BA0" w:rsidRP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internetové stránky obsahujúce informácie o všeobecne záväzných právnych predpisoch</w:t>
            </w:r>
            <w:r w:rsidR="00D807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D807A2" w:rsidRPr="00D807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vypúšťa administratívnu povinnosť vyžadovať súhlas orgánu činného v trestnom konaní alebo súdu so zaradením obvineného do práce</w:t>
            </w:r>
            <w:r w:rsidR="00D807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(ak obvinený prejaví záujem o zaradenie do práce).</w:t>
            </w:r>
            <w:r w:rsidR="00AB2B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D807A2" w:rsidRDefault="00D807A2" w:rsidP="000D5B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D807A2" w:rsidRDefault="00D807A2" w:rsidP="000D5B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S cieľom zvýšiť ohodnotenie práce obvinených a odstrániť administratívne prekážky valorizácie pracovnej 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odmeny zavedie navrhovaná právna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úprava napojenie </w:t>
            </w:r>
            <w:r w:rsidRPr="00D807A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výšky pracovnej odmeny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všeobecne aplikovanú minimálnu mzdu prostredníctvom percentuálnej sadz</w:t>
            </w:r>
            <w:r w:rsidR="003A2A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</w:t>
            </w:r>
            <w:r w:rsidR="003A2AF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007936" w:rsidRDefault="00007936" w:rsidP="000D5B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07936" w:rsidRDefault="00007936" w:rsidP="000D5B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Ďalším c</w:t>
            </w:r>
            <w:r w:rsidRPr="00007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ieľom </w:t>
            </w:r>
            <w:r w:rsidR="00B43A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navrhovanej</w:t>
            </w:r>
            <w:r w:rsidRPr="00007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právnej úpravy 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aj</w:t>
            </w:r>
            <w:r w:rsidRPr="0000793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zavedenie inovatívnych metód a postupov,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ktoré už boli skúšobne overené počas obdobia realizácie protipandemických opatrení – videonávštevy, nepodmieňovanie nákupu kreditu na telefonovanie ďalšou úhradou pohľadávok, či umožnenie nákupu kreditu na telefonovanie aj z civilného prostredia.</w:t>
            </w:r>
          </w:p>
          <w:p w:rsidR="00007936" w:rsidRDefault="00007936" w:rsidP="000D5B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AC3350" w:rsidRDefault="00EF76B9" w:rsidP="00667B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Zásadnou zmenou prechádza aj povinnosť obvinených uhrádzať trovy výkonu väzby. Súčasná podmienk</w:t>
            </w:r>
            <w:r w:rsidR="00667B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právoplatného odsúdenia sa precizuje iba ako podmienka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odsúdenia </w:t>
            </w:r>
            <w:r w:rsidR="00667B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výkon nepodmienečného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trest</w:t>
            </w:r>
            <w:r w:rsidR="00667B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 odňatia slobody. Zároveň sa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667B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 cieľom prebratia záväzku štátu za obmedzenie osobnej slobody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667BC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skracuje rozhodné obdobie pre výpočet výšky trov výkonu väzby zo 180 dní na 90 dní a obdobie trvania záväzku sa obmedzuje iba na obdobie nepodmienečného trestu odňatia slobody.</w:t>
            </w:r>
          </w:p>
          <w:p w:rsidR="00AC3350" w:rsidRPr="00AB2BA0" w:rsidRDefault="00AC3350" w:rsidP="00667B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207489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207489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1B23B7" w:rsidRPr="00BF383B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207489" w:rsidP="00AC33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BF383B"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udcovia, </w:t>
            </w:r>
            <w:r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orgány činné v trestnom konaní</w:t>
            </w:r>
            <w:r w:rsidR="00BF383B"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advokáti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Generálna prokuratúra S</w:t>
            </w:r>
            <w:r w:rsidR="00F857A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lovenskej rep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z</w:t>
            </w:r>
            <w:r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dravotn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é</w:t>
            </w:r>
            <w:r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poisťov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Ú</w:t>
            </w:r>
            <w:r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rad pre dohľad nad zdra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votnou starostlivosťou, platitelia dôchodkových dávok</w:t>
            </w:r>
            <w:r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úrady</w:t>
            </w:r>
            <w:r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práce, sociálny veci a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20748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rodiny</w:t>
            </w:r>
          </w:p>
          <w:p w:rsidR="00AC3350" w:rsidRPr="00207489" w:rsidRDefault="00AC3350" w:rsidP="00AC335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F383B" w:rsidTr="00AC3350">
        <w:trPr>
          <w:trHeight w:val="1327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F383B" w:rsidRDefault="00B43A6F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Alternatívne riešenie 0 –  problémy definované v bode 2 /Definovanie problému/ tohto dokumentu nie je možné odstrániť iným spôsobom, ako zmenou a doplnením zákona  </w:t>
            </w:r>
            <w:r w:rsidRPr="00B43A6F">
              <w:rPr>
                <w:rFonts w:ascii="Times" w:hAnsi="Times" w:cs="Times"/>
                <w:sz w:val="20"/>
                <w:szCs w:val="20"/>
              </w:rPr>
              <w:t>č. 221/2006 Z. z. o výkone väzby v znení neskorších predpisov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D8473F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407611648"/>
              </w:sdtPr>
              <w:sdtEndPr/>
              <w:sdtContent>
                <w:r w:rsidR="002D4F7B" w:rsidRPr="00AD2484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D8473F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625842802"/>
              </w:sdtPr>
              <w:sdtEndPr/>
              <w:sdtContent>
                <w:r w:rsidR="001B23B7" w:rsidRPr="00B043B4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BF383B" w:rsidRPr="00BF383B" w:rsidRDefault="004613FE" w:rsidP="004F49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613F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Vyhláška Ministerstva spravodlivosti Slovenskej republiky č. 437/2006 Z. z., ktorou sa vydáva Poriadok výkonu väzby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predpisov.</w:t>
            </w:r>
            <w:r w:rsidR="00BF383B" w:rsidRPr="00BF383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F383B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BF383B" w:rsidRDefault="00BF383B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Nejde o transpozíciu práva EÚ.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4F49DF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9513F" w:rsidRPr="004F49DF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1B23B7" w:rsidRDefault="0019513F" w:rsidP="004F49D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Preskúmanie účelnosti navrhovaného </w:t>
            </w:r>
            <w:r w:rsid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právneho </w:t>
            </w: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predpisu bude vykonávané priebežne po nadobudnutí jeho účinnosti, pričom sa budú z</w:t>
            </w:r>
            <w:r w:rsidR="004F49DF"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ohľadňovať najmä výsledky relevantných vnútroštátnych a medzinárodných organizácii (osobitne Európskeho výboru na zabránenie mučeniu a neľudskému či ponižujúcemu zaobchádzaniu alebo trestaniu uvedené v správe pre vládu Slovenskej republiky o návšteve Slovenskej republiky) a praktické skúsenosti väzenského personálu a dotknutých subjektov</w:t>
            </w: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C3350" w:rsidRPr="004F49DF" w:rsidRDefault="00AC3350" w:rsidP="004F49D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121575439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4F49DF" w:rsidRDefault="001B23B7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4F49DF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916405887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4F49DF" w:rsidRDefault="001B23B7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4F49DF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53649096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4F49DF" w:rsidRDefault="002D4F7B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4F49DF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9431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1B23B7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2073729125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1326707153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id w:val="1172383961"/>
                  </w:sdtPr>
                  <w:sdtEndPr>
                    <w:rPr>
                      <w:b/>
                    </w:rPr>
                  </w:sdtEndPr>
                  <w:sdtContent>
                    <w:tc>
                      <w:tcPr>
                        <w:tcW w:w="541" w:type="dxa"/>
                        <w:gridSpan w:val="2"/>
                        <w:tcBorders>
                          <w:top w:val="dotted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1B23B7" w:rsidRPr="004F49DF" w:rsidRDefault="0007500D" w:rsidP="000800F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sk-SK"/>
                          </w:rPr>
                        </w:pPr>
                        <w:r w:rsidRPr="004F49DF">
                          <w:rPr>
                            <w:rFonts w:ascii="Wingdings 2" w:hAnsi="Wingdings 2" w:cs="Times"/>
                            <w:sz w:val="20"/>
                            <w:szCs w:val="20"/>
                          </w:rPr>
                          <w:t>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B23B7" w:rsidRPr="004F49DF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54388876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1242137100"/>
              </w:sdtPr>
              <w:sdtEndPr/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id w:val="453142904"/>
                  </w:sdtPr>
                  <w:sdtEndPr>
                    <w:rPr>
                      <w:b/>
                    </w:rPr>
                  </w:sdtEndPr>
                  <w:sdtContent>
                    <w:sdt>
                      <w:sdt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id w:val="-2119441559"/>
                      </w:sdtPr>
                      <w:sdtEndPr/>
                      <w:sdtContent>
                        <w:tc>
                          <w:tcPr>
                            <w:tcW w:w="538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B23B7" w:rsidRPr="004F49DF" w:rsidRDefault="0007500D" w:rsidP="009303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sk-SK"/>
                              </w:rPr>
                            </w:pPr>
                            <w:r w:rsidRPr="004F49DF">
                              <w:rPr>
                                <w:rFonts w:ascii="Segoe UI Symbol" w:eastAsia="Times New Roman" w:hAnsi="Segoe UI Symbol" w:cs="Segoe UI Symbol"/>
                                <w:sz w:val="20"/>
                                <w:szCs w:val="20"/>
                                <w:lang w:eastAsia="sk-SK"/>
                              </w:rPr>
                              <w:t>☐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1B23B7" w:rsidRPr="004F49DF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361940775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id w:val="750477219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  <w:id w:val="-760683784"/>
                  </w:sdtPr>
                  <w:sdtEndPr/>
                  <w:sdtContent>
                    <w:tc>
                      <w:tcPr>
                        <w:tcW w:w="547" w:type="dxa"/>
                        <w:gridSpan w:val="2"/>
                        <w:tcBorders>
                          <w:top w:val="dotted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1B23B7" w:rsidRPr="004F49DF" w:rsidRDefault="002D2EF0" w:rsidP="009303F3">
                        <w:pPr>
                          <w:ind w:left="-107" w:right="-108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sk-SK"/>
                          </w:rPr>
                        </w:pPr>
                        <w:r w:rsidRPr="004F49DF">
                          <w:rPr>
                            <w:rFonts w:ascii="Segoe UI Symbol" w:eastAsia="Times New Roman" w:hAnsi="Segoe UI Symbol" w:cs="Segoe UI Symbol"/>
                            <w:sz w:val="20"/>
                            <w:szCs w:val="20"/>
                            <w:lang w:eastAsia="sk-SK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3B7" w:rsidRPr="004F49DF" w:rsidRDefault="001B23B7" w:rsidP="000800F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328319843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F87681" w:rsidRPr="004F49DF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87681" w:rsidRPr="004F49DF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564608664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F87681" w:rsidRPr="004F49DF" w:rsidRDefault="002D4F7B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87681" w:rsidRPr="004F49DF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173546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F87681" w:rsidRPr="004F49DF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87681" w:rsidRPr="004F49DF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84F8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931938095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</w:tcPr>
              <w:p w:rsidR="00F87681" w:rsidRPr="004F49DF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7681" w:rsidRPr="004F49DF" w:rsidRDefault="00F87681" w:rsidP="00F87681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696063787"/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F87681" w:rsidRPr="004F49DF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7681" w:rsidRPr="004F49DF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7176502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F87681" w:rsidRPr="004F49DF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F87681" w:rsidRPr="004F49DF" w:rsidRDefault="00F87681" w:rsidP="00F87681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0800F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84F87" w:rsidRDefault="00B84F87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F87681" w:rsidRPr="00B043B4" w:rsidRDefault="00B84F87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2004264377"/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4F49DF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4F49DF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4F49DF" w:rsidRDefault="00F87681" w:rsidP="00F876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4F49DF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866984672"/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4F49DF" w:rsidRDefault="00F87681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4F49DF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F49DF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F49DF" w:rsidRPr="004F49DF" w:rsidRDefault="004F49DF" w:rsidP="004F4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49357865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155375343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:rsidR="004F49DF" w:rsidRPr="004F49DF" w:rsidRDefault="004F49DF" w:rsidP="004F49DF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4F49DF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9DF" w:rsidRPr="004F49DF" w:rsidRDefault="004F49DF" w:rsidP="004F49D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6489273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F49DF" w:rsidRPr="004F49DF" w:rsidRDefault="004F49DF" w:rsidP="004F49D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9DF" w:rsidRPr="004F49DF" w:rsidRDefault="004F49DF" w:rsidP="004F4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70833546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F49DF" w:rsidRPr="004F49DF" w:rsidRDefault="004F49DF" w:rsidP="004F49D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9DF" w:rsidRPr="004F49DF" w:rsidRDefault="004F49DF" w:rsidP="004F49D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F49DF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F49DF" w:rsidRPr="00B043B4" w:rsidRDefault="004F49DF" w:rsidP="004F4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304755157"/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4F49DF" w:rsidRPr="004F49DF" w:rsidRDefault="004F49DF" w:rsidP="004F49D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9DF" w:rsidRPr="004F49DF" w:rsidRDefault="004F49DF" w:rsidP="004F49D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35136192"/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F49DF" w:rsidRPr="004F49DF" w:rsidRDefault="004F49DF" w:rsidP="004F49D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9DF" w:rsidRPr="004F49DF" w:rsidRDefault="004F49DF" w:rsidP="004F4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31020046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F49DF" w:rsidRPr="004F49DF" w:rsidRDefault="004F49DF" w:rsidP="004F49D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9DF" w:rsidRPr="004F49DF" w:rsidRDefault="004F49DF" w:rsidP="004F49D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F49DF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F49DF" w:rsidRPr="00B043B4" w:rsidRDefault="004F49DF" w:rsidP="004F4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940751000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654453762"/>
              </w:sdtPr>
              <w:sdtEndPr/>
              <w:sdtContent>
                <w:tc>
                  <w:tcPr>
                    <w:tcW w:w="54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:rsidR="004F49DF" w:rsidRPr="004F49DF" w:rsidRDefault="00D8473F" w:rsidP="004F49DF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  <w:id w:val="1101078383"/>
                      </w:sdtPr>
                      <w:sdtEndPr/>
                      <w:sdtContent>
                        <w:r w:rsidR="00E859EC" w:rsidRPr="004F49DF">
                          <w:rPr>
                            <w:rFonts w:ascii="Segoe UI Symbol" w:eastAsia="Times New Roman" w:hAnsi="Segoe UI Symbol" w:cs="Segoe UI Symbol"/>
                            <w:b/>
                            <w:sz w:val="20"/>
                            <w:szCs w:val="20"/>
                            <w:lang w:eastAsia="sk-SK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9DF" w:rsidRPr="004F49DF" w:rsidRDefault="004F49DF" w:rsidP="004F49D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126152168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684176792"/>
              </w:sdtPr>
              <w:sdtEndPr/>
              <w:sdtContent>
                <w:tc>
                  <w:tcPr>
                    <w:tcW w:w="538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4F49DF" w:rsidRPr="004F49DF" w:rsidRDefault="00D8473F" w:rsidP="004F49DF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id w:val="-1568103039"/>
                      </w:sdtPr>
                      <w:sdtEndPr/>
                      <w:sdtContent>
                        <w:r w:rsidR="00E859EC" w:rsidRPr="004F49DF">
                          <w:rPr>
                            <w:rFonts w:ascii="Wingdings 2" w:hAnsi="Wingdings 2" w:cs="Times"/>
                            <w:sz w:val="20"/>
                            <w:szCs w:val="20"/>
                          </w:rPr>
                          <w:t>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49DF" w:rsidRPr="004F49DF" w:rsidRDefault="004F49DF" w:rsidP="004F49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378831873"/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4F49DF" w:rsidRPr="004F49DF" w:rsidRDefault="004F49DF" w:rsidP="004F49D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9DF" w:rsidRPr="004F49DF" w:rsidRDefault="004F49DF" w:rsidP="004F49D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4613FE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4613FE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4613FE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4613FE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4613FE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4613FE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F2BE9" w:rsidRPr="00B043B4" w:rsidTr="009431E3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88362683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094122175"/>
              </w:sdtPr>
              <w:sdtEndPr/>
              <w:sdtContent>
                <w:tc>
                  <w:tcPr>
                    <w:tcW w:w="541" w:type="dxa"/>
                    <w:tcBorders>
                      <w:top w:val="nil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:rsidR="000F2BE9" w:rsidRPr="004F49DF" w:rsidRDefault="00D8473F" w:rsidP="000800FC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sk-SK"/>
                        </w:rPr>
                        <w:id w:val="-1861584087"/>
                      </w:sdtPr>
                      <w:sdtEndPr/>
                      <w:sdtContent>
                        <w:r w:rsidR="00E859EC" w:rsidRPr="004F49DF">
                          <w:rPr>
                            <w:rFonts w:ascii="Segoe UI Symbol" w:eastAsia="Times New Roman" w:hAnsi="Segoe UI Symbol" w:cs="Segoe UI Symbol"/>
                            <w:b/>
                            <w:sz w:val="20"/>
                            <w:szCs w:val="20"/>
                            <w:lang w:eastAsia="sk-SK"/>
                          </w:rPr>
                          <w:t>☐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4F49DF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84985506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224112757"/>
              </w:sdtPr>
              <w:sdtEndPr/>
              <w:sdtContent>
                <w:tc>
                  <w:tcPr>
                    <w:tcW w:w="538" w:type="dxa"/>
                    <w:tcBorders>
                      <w:top w:val="nil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</w:tcPr>
                  <w:p w:rsidR="000F2BE9" w:rsidRPr="004F49DF" w:rsidRDefault="00D8473F" w:rsidP="000800FC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  <w:id w:val="-1954241182"/>
                      </w:sdtPr>
                      <w:sdtEndPr/>
                      <w:sdtContent>
                        <w:r w:rsidR="00E859EC" w:rsidRPr="004F49DF">
                          <w:rPr>
                            <w:rFonts w:ascii="Wingdings 2" w:hAnsi="Wingdings 2" w:cs="Times"/>
                            <w:sz w:val="20"/>
                            <w:szCs w:val="20"/>
                          </w:rPr>
                          <w:t></w:t>
                        </w:r>
                      </w:sdtContent>
                    </w:sdt>
                  </w:p>
                </w:tc>
              </w:sdtContent>
            </w:sdt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4F49DF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146805846"/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4F49DF" w:rsidRDefault="000F2BE9" w:rsidP="000800F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4F49DF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A2BF4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13984565"/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4F49DF" w:rsidRDefault="000F2BE9" w:rsidP="000800F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4F49DF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325040833"/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4F49DF" w:rsidRDefault="002D4F7B" w:rsidP="000800F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4F49DF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18029189"/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4F49DF" w:rsidRDefault="000F2BE9" w:rsidP="000800F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4F49DF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19513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373577791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376688077"/>
              </w:sdtPr>
              <w:sdtEndPr/>
              <w:sdtContent>
                <w:tc>
                  <w:tcPr>
                    <w:tcW w:w="54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:rsidR="00A340BB" w:rsidRPr="004F49DF" w:rsidRDefault="004F49DF" w:rsidP="00AA592B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4F49DF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p>
                </w:tc>
              </w:sdtContent>
            </w:sdt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40BB" w:rsidRPr="004F49DF" w:rsidRDefault="00A340BB" w:rsidP="00AA592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1859210"/>
          </w:sdtPr>
          <w:sdtEndPr/>
          <w:sdtContent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431200636"/>
              </w:sdtPr>
              <w:sdtEndPr/>
              <w:sdtContent>
                <w:tc>
                  <w:tcPr>
                    <w:tcW w:w="53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:rsidR="00A340BB" w:rsidRPr="004F49DF" w:rsidRDefault="004F49DF" w:rsidP="00AA592B">
                    <w:pPr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</w:pPr>
                    <w:r w:rsidRPr="004F49DF">
                      <w:rPr>
                        <w:rFonts w:ascii="Segoe UI Symbol" w:eastAsia="Times New Roman" w:hAnsi="Segoe UI Symbol" w:cs="Segoe UI Symbol"/>
                        <w:b/>
                        <w:sz w:val="20"/>
                        <w:szCs w:val="20"/>
                        <w:lang w:eastAsia="sk-SK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40BB" w:rsidRPr="004F49DF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04490383"/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A340BB" w:rsidRPr="004F49DF" w:rsidRDefault="00A340BB" w:rsidP="00AA592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4F49D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40BB" w:rsidRPr="004F49DF" w:rsidRDefault="00A340BB" w:rsidP="00AA592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AB6FA8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AB6FA8" w:rsidRPr="00B043B4" w:rsidTr="00AB6FA8">
        <w:trPr>
          <w:trHeight w:val="713"/>
        </w:trPr>
        <w:tc>
          <w:tcPr>
            <w:tcW w:w="9180" w:type="dxa"/>
            <w:gridSpan w:val="7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AB6FA8" w:rsidRPr="004A688D" w:rsidRDefault="00AB6FA8" w:rsidP="000A67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Predkladaný materiál má </w:t>
            </w:r>
            <w:r w:rsidR="00722F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vplyv na rozpočet verejnej správy</w:t>
            </w:r>
            <w:r w:rsidR="0007500D">
              <w:rPr>
                <w:rFonts w:ascii="Times New Roman" w:eastAsia="Calibri" w:hAnsi="Times New Roman" w:cs="Times New Roman"/>
                <w:sz w:val="20"/>
                <w:szCs w:val="20"/>
              </w:rPr>
              <w:t>, ktorý</w:t>
            </w:r>
            <w:r w:rsidR="0007500D" w:rsidRPr="000750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bude zabezpečen</w:t>
            </w:r>
            <w:r w:rsidR="0007500D">
              <w:rPr>
                <w:rFonts w:ascii="Times New Roman" w:eastAsia="Calibri" w:hAnsi="Times New Roman" w:cs="Times New Roman"/>
                <w:sz w:val="20"/>
                <w:szCs w:val="20"/>
              </w:rPr>
              <w:t>ý/rozpočtovo krytý</w:t>
            </w:r>
            <w:r w:rsidR="0007500D" w:rsidRPr="000750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 rámci dlhodobého pozitívneho vývoja celkového plnenia príjmov kapitoly Ministerstvo spravodlivosti Slovenskej republiky v iných oblastiach príjmov</w:t>
            </w:r>
            <w:r w:rsidR="00722F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0A67C3" w:rsidRPr="000A67C3">
              <w:rPr>
                <w:rFonts w:ascii="Times New Roman" w:eastAsia="Calibri" w:hAnsi="Times New Roman" w:cs="Times New Roman"/>
                <w:sz w:val="20"/>
                <w:szCs w:val="20"/>
              </w:rPr>
              <w:t>Ostatné vplyvy na rozpočet vyplývajúce z návrhu, ktoré sa týkajú hlavne personálneho zabezpečenia a s tým súvisiacich výdavkov, budú zabezpečené v rámci aktuálnych limitov rozpočtu zboru</w:t>
            </w:r>
            <w:r w:rsidR="000A67C3">
              <w:rPr>
                <w:rFonts w:ascii="Times New Roman" w:eastAsia="Calibri" w:hAnsi="Times New Roman" w:cs="Times New Roman"/>
                <w:sz w:val="20"/>
                <w:szCs w:val="20"/>
              </w:rPr>
              <w:t>/MS SR</w:t>
            </w:r>
            <w:r w:rsidR="000A67C3" w:rsidRPr="000A67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pridelených systemizovaných miest účelovo určených pre zabezpečenie výkonu činností v novovznikajúcom ústave Rimavská Sobota – Sabová</w:t>
            </w:r>
            <w:r w:rsidR="000A67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AB6FA8" w:rsidRPr="00B043B4" w:rsidTr="00AB6FA8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B6FA8" w:rsidRPr="00B043B4" w:rsidRDefault="00AB6FA8" w:rsidP="00AB6FA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AB6FA8" w:rsidRPr="0019513F" w:rsidTr="00AB6FA8">
        <w:trPr>
          <w:trHeight w:val="586"/>
        </w:trPr>
        <w:tc>
          <w:tcPr>
            <w:tcW w:w="9180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FA8" w:rsidRDefault="00A649CC" w:rsidP="00A649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Mgr. Barbora Maliarová, PhD.</w:t>
            </w:r>
            <w:r w:rsidR="00AB6FA8" w:rsidRP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27338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tel: 02/88891289, email:</w:t>
            </w:r>
            <w:r w:rsidR="00AB6FA8" w:rsidRP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hyperlink r:id="rId9" w:history="1">
              <w:r w:rsidRPr="001B1901">
                <w:rPr>
                  <w:rStyle w:val="Hypertextovprepojenie"/>
                  <w:rFonts w:ascii="Times New Roman" w:hAnsi="Times New Roman" w:cs="Times New Roman"/>
                  <w:sz w:val="20"/>
                  <w:szCs w:val="20"/>
                </w:rPr>
                <w:t>barbora.maliarova@justice.sk</w:t>
              </w:r>
            </w:hyperlink>
            <w:r w:rsidR="00AB6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338E" w:rsidRPr="0027338E" w:rsidRDefault="0027338E" w:rsidP="0027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Ministerstvo spravodlivosti Slovenskej republiky, </w:t>
            </w:r>
            <w:r w:rsidRPr="0027338E">
              <w:rPr>
                <w:rFonts w:ascii="Times New Roman" w:hAnsi="Times New Roman" w:cs="Times New Roman"/>
                <w:sz w:val="20"/>
                <w:szCs w:val="20"/>
              </w:rPr>
              <w:t>Račianska 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338E">
              <w:rPr>
                <w:rFonts w:ascii="Times New Roman" w:hAnsi="Times New Roman" w:cs="Times New Roman"/>
                <w:sz w:val="20"/>
                <w:szCs w:val="20"/>
              </w:rPr>
              <w:t>813 11 Bratislava</w:t>
            </w:r>
          </w:p>
          <w:p w:rsidR="0027338E" w:rsidRPr="00AC3350" w:rsidRDefault="0027338E" w:rsidP="00A649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6FA8" w:rsidRPr="00B043B4" w:rsidTr="00AB6FA8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B6FA8" w:rsidRPr="00B043B4" w:rsidRDefault="00AB6FA8" w:rsidP="00AB6FA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AB6FA8" w:rsidRPr="0019513F" w:rsidTr="00AB6FA8">
        <w:trPr>
          <w:trHeight w:val="401"/>
        </w:trPr>
        <w:tc>
          <w:tcPr>
            <w:tcW w:w="9180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FA8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951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je výstupom </w:t>
            </w:r>
            <w:r w:rsidRPr="004613F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odbornej komisie </w:t>
            </w:r>
            <w:r w:rsidRPr="0019513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zriadenej Ministerstvom spravodlivosti Slovenskej republiky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   </w:t>
            </w:r>
            <w:r w:rsidRPr="004613F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 prípravu legislatívnych zmien upravujúcich podmienky výkonu väzby a výkonu trestu odňatia slobody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B6FA8" w:rsidRPr="0019513F" w:rsidRDefault="00AB6FA8" w:rsidP="00AB6F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AB6FA8" w:rsidRPr="00B043B4" w:rsidTr="00AB6FA8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AB6FA8" w:rsidRPr="00B043B4" w:rsidRDefault="00AB6FA8" w:rsidP="00AB6FA8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</w:p>
          <w:p w:rsidR="00AB6FA8" w:rsidRPr="00B043B4" w:rsidRDefault="00AB6FA8" w:rsidP="00AB6FA8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AB6FA8" w:rsidRPr="00B043B4" w:rsidTr="00AB6FA8">
        <w:trPr>
          <w:trHeight w:val="1236"/>
        </w:trPr>
        <w:tc>
          <w:tcPr>
            <w:tcW w:w="9180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FA8" w:rsidRPr="00B043B4" w:rsidRDefault="00AB6FA8" w:rsidP="00AB6F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B6FA8" w:rsidRPr="00535A85" w:rsidTr="000800FC">
              <w:trPr>
                <w:trHeight w:val="396"/>
              </w:trPr>
              <w:tc>
                <w:tcPr>
                  <w:tcW w:w="2552" w:type="dxa"/>
                </w:tcPr>
                <w:p w:rsidR="00AB6FA8" w:rsidRPr="00535A85" w:rsidRDefault="00D8473F" w:rsidP="00AB6FA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898445880"/>
                    </w:sdtPr>
                    <w:sdtEndPr/>
                    <w:sdtContent>
                      <w:r w:rsidR="00AB6FA8" w:rsidRPr="00535A85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B6FA8" w:rsidRPr="00535A8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Súhlasné </w:t>
                  </w:r>
                </w:p>
              </w:tc>
              <w:tc>
                <w:tcPr>
                  <w:tcW w:w="3827" w:type="dxa"/>
                </w:tcPr>
                <w:p w:rsidR="00AB6FA8" w:rsidRPr="00535A85" w:rsidRDefault="00D8473F" w:rsidP="00AB6FA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440152439"/>
                    </w:sdtPr>
                    <w:sdtEndPr/>
                    <w:sdtContent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  <w:id w:val="-2281150"/>
                        </w:sdtPr>
                        <w:sdtEndPr/>
                        <w:sdt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sk-SK"/>
                              </w:rPr>
                              <w:id w:val="242769657"/>
                            </w:sdtPr>
                            <w:sdtEndPr/>
                            <w:sdtContent>
                              <w:r w:rsidR="00AB6FA8" w:rsidRPr="00535A85">
                                <w:rPr>
                                  <w:rFonts w:ascii="Segoe UI Symbol" w:eastAsia="Times New Roman" w:hAnsi="Segoe UI Symbol" w:cs="Segoe UI Symbol"/>
                                  <w:b/>
                                  <w:sz w:val="20"/>
                                  <w:szCs w:val="20"/>
                                  <w:lang w:eastAsia="sk-SK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AB6FA8" w:rsidRPr="00535A8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Súhlasné s návrhom na dopracovanie</w:t>
                  </w:r>
                </w:p>
              </w:tc>
              <w:tc>
                <w:tcPr>
                  <w:tcW w:w="2534" w:type="dxa"/>
                </w:tcPr>
                <w:p w:rsidR="00AB6FA8" w:rsidRPr="00535A85" w:rsidRDefault="00D8473F" w:rsidP="00AB6FA8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070344587"/>
                    </w:sdtPr>
                    <w:sdtEndPr/>
                    <w:sdtContent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sk-SK"/>
                          </w:rPr>
                          <w:id w:val="1316761996"/>
                        </w:sdtPr>
                        <w:sdtEndPr/>
                        <w:sdt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sk-SK"/>
                              </w:rPr>
                              <w:id w:val="803360401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0"/>
                                    <w:szCs w:val="20"/>
                                    <w:lang w:eastAsia="sk-SK"/>
                                  </w:rPr>
                                  <w:id w:val="1782994516"/>
                                </w:sdtPr>
                                <w:sdtEndPr/>
                                <w:sdtContent>
                                  <w:r w:rsidR="00AB6FA8" w:rsidRPr="004F49DF">
                                    <w:rPr>
                                      <w:rFonts w:ascii="Wingdings 2" w:hAnsi="Wingdings 2" w:cs="Times"/>
                                      <w:sz w:val="20"/>
                                      <w:szCs w:val="20"/>
                                    </w:rPr>
                                    <w:t></w:t>
                                  </w:r>
                                </w:sdtContent>
                              </w:sdt>
                            </w:sdtContent>
                          </w:sdt>
                          <w:r w:rsidR="00AB6FA8" w:rsidRPr="00535A85">
                            <w:rPr>
                              <w:rFonts w:ascii="Times New Roman" w:eastAsia="Times New Roman" w:hAnsi="Times New Roman" w:cs="Times New Roman"/>
                              <w:b/>
                              <w:sz w:val="20"/>
                              <w:szCs w:val="20"/>
                              <w:lang w:eastAsia="sk-SK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  <w:r w:rsidR="00AB6FA8" w:rsidRPr="00535A8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Nesúhlasné</w:t>
                  </w:r>
                </w:p>
              </w:tc>
            </w:tr>
          </w:tbl>
          <w:p w:rsidR="00AB6FA8" w:rsidRPr="00B043B4" w:rsidRDefault="00AB6FA8" w:rsidP="00AB6FA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35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AB6FA8" w:rsidRDefault="00AB6FA8" w:rsidP="00AB6FA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 vplyvom na rozpočet verejnej správy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doložke je vyznačený negatívny, rozpočtovo nekrytý vplyv na rozpočet verejnej správy. V analýze vplyvov je v tabuľke č. 1 kvantifikovaný celkový úbytok príjmov v sume 434 873 eur od roku 2022 každoročne (v tom: zavedenie možnosti odpustenia pohľadávky na náhradu trov spojených s výkonom väzby v sume 267 000 eur/rok, zníženie počtu kalendárnych dní zo 180 na 90 na náhradu trov výkonu väzby v sume 160 000 eur/rok, nepodmieňovanie nákupu kreditu na telefonovanie úhradou pohľadávok v sume 2 743 eur/rok a vypustenie úhrady nákladov za spotrebovanú elektrickú energiu pri používaní vlastného elektrického spotrebiča v sume 5 130 eur/rok)  a taktiež celkový nárast výdavkov v sume 350 116 eur od roku 2022 každoročne (v tom: osobné výdavky v sume 327 942 eur/rok na navýšenie počtu personálu o 9 funkčných miest samostatných referentov a o 9 funkčných miest koordinátorov vzdelávania, výdavky na IT v sume 16 732 eur a s tým spojené služby v sume 5 442 eur/rok). </w:t>
            </w:r>
          </w:p>
          <w:p w:rsidR="00AB6FA8" w:rsidRPr="003A2023" w:rsidRDefault="0012678A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časti 2.2.4.</w:t>
            </w:r>
            <w:r w:rsidR="00AB6FA8"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analýzy vplyvov je k zavedeniu systému videonávštev uvedené, že vstupné výdavky budú v sume 9 400 eur (tablety) a výdavky za dátové pripojenie v sume 7 332 eur/rok. Vstupné výdavky na tablety sú v tabuľke č. 1 zahrnuté aj v rokoch 2023 a 2024. Predmetné sumy výdavkov za roky 2023 až 2024 žiada Komisia ponížiť o vstupné výdavky na tablety.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žiada zosúladiť poistné a príspevky do poisťovní uvádzané v tabuľke č. 4 a 5.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tabuľke č. 1 je v časti výdavky verejnej správy celkom v riadku „v tom: Ministerstvo spravodlivosti SR“ nesprávne uvádzaný čiastkový vplyv, nakoľko jeho súčet nedáva výsledný celkový vplyv. Uvedené žiada Komisia upraviť.  </w:t>
            </w:r>
          </w:p>
          <w:p w:rsidR="00AB6FA8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Komisia nesúhlasí so zvýšením systemizovaného počtu príslušníkov Zboru väzenskej a justičnej stráže a s tým spojeným zvyšovaním osobných výdavkov vyplývajúcich zo zabezpečenia humanizácie a zmierňovania obmedzení väznených osôb. Taktiež Komisia nesúhlasí s rozpočtovo nekrytým vplyvom vyplývajúcim z ostatných navrhovaných opatrení. Komisia žiada všetky vplyvy, vrátane poklesu príjmov, vyplývajúce z návrhov zabezpečiť v rámci schválených limitov dotknutého subjektu na príslušné rozpočtové roky, bez dodatočných požiadaviek na štátny rozpočet. V nadväznosti na uvedené je potrebné upraviť doložku vybraných vplyvov a analýzu vplyvov tak, aby z nich nevyplýval rozpočtovo nekrytý vplyv. </w:t>
            </w:r>
          </w:p>
          <w:p w:rsidR="00AB6FA8" w:rsidRPr="003A2023" w:rsidRDefault="00AB6FA8" w:rsidP="00AB6F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AB6FA8" w:rsidRDefault="00AB6FA8" w:rsidP="00AB6F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Analýza vplyvov na rozpočet verejnej správy </w:t>
            </w:r>
            <w:r w:rsidRPr="00894E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bola primerane upravená.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AB6FA8" w:rsidRPr="003A2023" w:rsidRDefault="00AB6FA8" w:rsidP="00AB6FA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K sociálnym vplyvom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Predloženú analýzu sociálnych vplyvov je potrebné  vypracovať v novej šablóne pre analýzu sociálnych vplyvov podľa Jednotnej metodiky na posudzovanie vybraných vplyvov </w:t>
            </w:r>
            <w:r w:rsidR="001267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</w:t>
            </w: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činnej od 1. júna 2021.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analýze sociálnych vplyvov je v bode 4.1 (vplyvy na hospodárenie dotknutých domácností) potrebné uviesť hodnotenie vplyvov nasledovných návrhov opatrení predloženého návrhu zákona: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návrh na naviazanie pracovnej odmeny obvinených na minimálnu mzdu, 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  návrh na zníženie náhrady trov výkonu väzby z prvých 180 kalendárnych dní trvania väzby na prvých 90 kalendárnych dní trvania väzby,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-návrh, podľa ktorého sa povinnosť náhrady trov výkonu väzby už nebude vzťahovať na všetkých odsúdených, ale iba na odsúdených k výkonu  nepodmienečného trestu odňatia slobody,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-návrh na vypustenie úhrady nákladov za spotrebovanú elektrickú energiu pri používaní vlastného elektrického spotrebiča (napr. rádio, televízny prijímač, kanvica).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Hodnotenie ostatných návrhov opatrení v predloženej analýze sociálnych vplyvov, v bode 4.1 je potrebné vypustiť.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analýze sociálnych vplyvov je potrebné v bode 4.2  (prístup k zdrojom, právam, tovarom a službám) doplniť aj hodnotenie  vplyvov  nasledovných návrhov opatrení predloženého návrhu zákona: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 návrh na  zavedenie mechanizmu možnosti odpustenia pohľadávky na náhradu trov spojených s výkonom väzby,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-návrh na  zavedenie systému videonávštev prostredníctvom tabletov s internetovým pripojením,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 nepodmieňovanie nákupu kreditu na telefonovanie úhradou pohľadávok,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návrh na zúženie  kontraindikácii pre oddelené ubytovanie obvinených,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 návrh na zúženie  skupiny obvinených, ktorí môžu byť umiestnení do bezpečnostnej cely,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-návrh na rozšírenie okruh vecí osobnej potreby, ktoré môže mať obvinený pri sebe,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-návrh na  naviazanie výšky sumy peňažných prostriedkov obvineného na konte a v pokladnici ústavu nepostihnuteľnej v rámci exekúcie na sumu životného minima pre jednu plnoletú fyzickú osobu,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-návrh na zúženie kontraindikácii pre zaradenie obvineného do oddielu so zmierneným režimom. 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Zároveň je potrebné predložené hodnotenie v bode 4.2 upraviť podľa nasledovnej pripomienky.</w:t>
            </w:r>
          </w:p>
          <w:p w:rsidR="00AB6FA8" w:rsidRPr="003A2023" w:rsidRDefault="00AB6FA8" w:rsidP="00AB6F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A202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Hodnotenie sociálnych vplyvov jednotlivých navrhovaných opatrení je potrebné (vo všetkých bodoch analýzy sociálnych vplyvov) vykonať tak, aby z analýzy sociálnych vplyvov bol  zrejmý opis hodnoteného návrhu opatrenia so sociálnym vplyvom, špecifikácia  návrhom opatrenia dotknutej skupiny a jej veľkosť a kvalitatívne a aj kvantitatívne hodnotenie vplyvu navrhovaného opatrenia požadované podľa Metodického postupu pre analýzu sociálnych vplyvov (Príloha č. 4 Jednotnej metodiky na posudzovanie vybraných vplyvov).</w:t>
            </w:r>
          </w:p>
          <w:p w:rsidR="00AB6FA8" w:rsidRDefault="00AB6FA8" w:rsidP="00AB6F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AB6FA8" w:rsidRDefault="00AB6FA8" w:rsidP="00AB6F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Požadovaná analýza sociálnych vplyvov bola prepracovaná.</w:t>
            </w:r>
          </w:p>
          <w:p w:rsidR="00AB6FA8" w:rsidRDefault="00AB6FA8" w:rsidP="00AB6F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AB6FA8" w:rsidRPr="00B043B4" w:rsidRDefault="00AB6FA8" w:rsidP="00AB6F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AB6FA8" w:rsidRPr="00B043B4" w:rsidTr="00AB6FA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80" w:type="dxa"/>
            <w:gridSpan w:val="7"/>
            <w:tcBorders>
              <w:top w:val="single" w:sz="4" w:space="0" w:color="auto"/>
            </w:tcBorders>
            <w:shd w:val="clear" w:color="auto" w:fill="E2E2E2"/>
          </w:tcPr>
          <w:p w:rsidR="00AB6FA8" w:rsidRPr="00B043B4" w:rsidRDefault="00AB6FA8" w:rsidP="00AB6FA8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AB6FA8" w:rsidRPr="00B043B4" w:rsidTr="00AB6FA8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80" w:type="dxa"/>
            <w:gridSpan w:val="7"/>
            <w:shd w:val="clear" w:color="auto" w:fill="FFFFFF"/>
          </w:tcPr>
          <w:p w:rsidR="00AB6FA8" w:rsidRPr="00B043B4" w:rsidRDefault="00AB6FA8" w:rsidP="00AB6F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B6FA8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AB6FA8" w:rsidRPr="00B043B4" w:rsidRDefault="00D8473F" w:rsidP="00AB6FA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347761034"/>
                    </w:sdtPr>
                    <w:sdtEndPr/>
                    <w:sdtContent>
                      <w:r w:rsidR="00AB6FA8"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B6FA8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Súhlasné </w:t>
                  </w:r>
                </w:p>
              </w:tc>
              <w:tc>
                <w:tcPr>
                  <w:tcW w:w="3827" w:type="dxa"/>
                </w:tcPr>
                <w:p w:rsidR="00AB6FA8" w:rsidRPr="00B043B4" w:rsidRDefault="00D8473F" w:rsidP="00AB6FA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79908699"/>
                    </w:sdtPr>
                    <w:sdtEndPr/>
                    <w:sdtContent>
                      <w:r w:rsidR="00AB6FA8"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B6FA8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Súhlasné s  návrhom na dopracovanie</w:t>
                  </w:r>
                </w:p>
              </w:tc>
              <w:tc>
                <w:tcPr>
                  <w:tcW w:w="2534" w:type="dxa"/>
                </w:tcPr>
                <w:p w:rsidR="00AB6FA8" w:rsidRPr="00B043B4" w:rsidRDefault="00D8473F" w:rsidP="00AB6FA8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2041658436"/>
                    </w:sdtPr>
                    <w:sdtEndPr/>
                    <w:sdtContent>
                      <w:r w:rsidR="00AB6FA8" w:rsidRPr="00B043B4">
                        <w:rPr>
                          <w:rFonts w:ascii="Segoe UI Symbol" w:eastAsia="Times New Roman" w:hAnsi="Segoe UI Symbol" w:cs="Segoe UI Symbol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AB6FA8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Nesúhlasné</w:t>
                  </w:r>
                </w:p>
              </w:tc>
            </w:tr>
          </w:tbl>
          <w:p w:rsidR="00AB6FA8" w:rsidRPr="00B043B4" w:rsidRDefault="00AB6FA8" w:rsidP="00AB6FA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AB6FA8" w:rsidRPr="00B043B4" w:rsidRDefault="00AB6FA8" w:rsidP="00AB6F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AB6FA8" w:rsidRPr="00B043B4" w:rsidRDefault="00AB6FA8" w:rsidP="00AB6F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D8473F"/>
    <w:sectPr w:rsidR="00274130" w:rsidSect="0019513F"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73F" w:rsidRDefault="00D8473F" w:rsidP="001B23B7">
      <w:pPr>
        <w:spacing w:after="0" w:line="240" w:lineRule="auto"/>
      </w:pPr>
      <w:r>
        <w:separator/>
      </w:r>
    </w:p>
  </w:endnote>
  <w:endnote w:type="continuationSeparator" w:id="0">
    <w:p w:rsidR="00D8473F" w:rsidRDefault="00D8473F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558014"/>
      <w:docPartObj>
        <w:docPartGallery w:val="Page Numbers (Bottom of Page)"/>
        <w:docPartUnique/>
      </w:docPartObj>
    </w:sdtPr>
    <w:sdtEndPr/>
    <w:sdtContent>
      <w:p w:rsidR="0019513F" w:rsidRDefault="00C920C3">
        <w:pPr>
          <w:pStyle w:val="Pta"/>
          <w:jc w:val="center"/>
        </w:pPr>
        <w:r>
          <w:fldChar w:fldCharType="begin"/>
        </w:r>
        <w:r w:rsidR="0019513F">
          <w:instrText>PAGE   \* MERGEFORMAT</w:instrText>
        </w:r>
        <w:r>
          <w:fldChar w:fldCharType="separate"/>
        </w:r>
        <w:r w:rsidR="009B1A08">
          <w:rPr>
            <w:noProof/>
          </w:rPr>
          <w:t>2</w:t>
        </w:r>
        <w:r>
          <w:fldChar w:fldCharType="end"/>
        </w:r>
      </w:p>
    </w:sdtContent>
  </w:sdt>
  <w:p w:rsidR="0019513F" w:rsidRDefault="001951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73F" w:rsidRDefault="00D8473F" w:rsidP="001B23B7">
      <w:pPr>
        <w:spacing w:after="0" w:line="240" w:lineRule="auto"/>
      </w:pPr>
      <w:r>
        <w:separator/>
      </w:r>
    </w:p>
  </w:footnote>
  <w:footnote w:type="continuationSeparator" w:id="0">
    <w:p w:rsidR="00D8473F" w:rsidRDefault="00D8473F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7936"/>
    <w:rsid w:val="00043706"/>
    <w:rsid w:val="00044664"/>
    <w:rsid w:val="0007500D"/>
    <w:rsid w:val="00097069"/>
    <w:rsid w:val="000A67C3"/>
    <w:rsid w:val="000C2022"/>
    <w:rsid w:val="000D2627"/>
    <w:rsid w:val="000D5B66"/>
    <w:rsid w:val="000E3692"/>
    <w:rsid w:val="000F2BE9"/>
    <w:rsid w:val="0012678A"/>
    <w:rsid w:val="0019513F"/>
    <w:rsid w:val="001A729C"/>
    <w:rsid w:val="001B23B7"/>
    <w:rsid w:val="001E3562"/>
    <w:rsid w:val="001E6391"/>
    <w:rsid w:val="00207489"/>
    <w:rsid w:val="00220BCD"/>
    <w:rsid w:val="00243652"/>
    <w:rsid w:val="00263DD2"/>
    <w:rsid w:val="002675E8"/>
    <w:rsid w:val="0027338E"/>
    <w:rsid w:val="002C7B5B"/>
    <w:rsid w:val="002D2EF0"/>
    <w:rsid w:val="002D4F7B"/>
    <w:rsid w:val="003500C3"/>
    <w:rsid w:val="003A057B"/>
    <w:rsid w:val="003A2023"/>
    <w:rsid w:val="003A2AF6"/>
    <w:rsid w:val="003E643C"/>
    <w:rsid w:val="004613FE"/>
    <w:rsid w:val="0049476D"/>
    <w:rsid w:val="004A4383"/>
    <w:rsid w:val="004F49DF"/>
    <w:rsid w:val="004F7C34"/>
    <w:rsid w:val="00535A85"/>
    <w:rsid w:val="005462AD"/>
    <w:rsid w:val="005835D0"/>
    <w:rsid w:val="00591EC6"/>
    <w:rsid w:val="00653A54"/>
    <w:rsid w:val="006573A0"/>
    <w:rsid w:val="00667BC0"/>
    <w:rsid w:val="006B2103"/>
    <w:rsid w:val="007056A8"/>
    <w:rsid w:val="00720322"/>
    <w:rsid w:val="00722F9E"/>
    <w:rsid w:val="007404F2"/>
    <w:rsid w:val="00796C92"/>
    <w:rsid w:val="007B40C1"/>
    <w:rsid w:val="007B57A3"/>
    <w:rsid w:val="007C2899"/>
    <w:rsid w:val="007D4126"/>
    <w:rsid w:val="00814CE3"/>
    <w:rsid w:val="008468BC"/>
    <w:rsid w:val="00860D24"/>
    <w:rsid w:val="00865E81"/>
    <w:rsid w:val="008801B5"/>
    <w:rsid w:val="00894EC5"/>
    <w:rsid w:val="008A5DC7"/>
    <w:rsid w:val="008B222D"/>
    <w:rsid w:val="008C79B7"/>
    <w:rsid w:val="009303F3"/>
    <w:rsid w:val="009431E3"/>
    <w:rsid w:val="00946F92"/>
    <w:rsid w:val="009475F5"/>
    <w:rsid w:val="009717F5"/>
    <w:rsid w:val="00987280"/>
    <w:rsid w:val="009B1A08"/>
    <w:rsid w:val="009C424C"/>
    <w:rsid w:val="009D370E"/>
    <w:rsid w:val="009E09F7"/>
    <w:rsid w:val="009F4832"/>
    <w:rsid w:val="00A33386"/>
    <w:rsid w:val="00A340BB"/>
    <w:rsid w:val="00A60407"/>
    <w:rsid w:val="00A649CC"/>
    <w:rsid w:val="00AA3239"/>
    <w:rsid w:val="00AB0FD8"/>
    <w:rsid w:val="00AB2BA0"/>
    <w:rsid w:val="00AB6FA8"/>
    <w:rsid w:val="00AC3350"/>
    <w:rsid w:val="00AE54FC"/>
    <w:rsid w:val="00B43A6F"/>
    <w:rsid w:val="00B84F87"/>
    <w:rsid w:val="00BA2BF4"/>
    <w:rsid w:val="00BB6CD3"/>
    <w:rsid w:val="00BC1885"/>
    <w:rsid w:val="00BF383B"/>
    <w:rsid w:val="00C13A19"/>
    <w:rsid w:val="00C32A14"/>
    <w:rsid w:val="00C920C3"/>
    <w:rsid w:val="00CE6AAE"/>
    <w:rsid w:val="00CF1A25"/>
    <w:rsid w:val="00D2313B"/>
    <w:rsid w:val="00D52D86"/>
    <w:rsid w:val="00D663BC"/>
    <w:rsid w:val="00D807A2"/>
    <w:rsid w:val="00D8473F"/>
    <w:rsid w:val="00D95374"/>
    <w:rsid w:val="00DF357C"/>
    <w:rsid w:val="00E71769"/>
    <w:rsid w:val="00E801D5"/>
    <w:rsid w:val="00E859EC"/>
    <w:rsid w:val="00EF76B9"/>
    <w:rsid w:val="00F33151"/>
    <w:rsid w:val="00F857A9"/>
    <w:rsid w:val="00F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7200F5-54C1-43CC-9B88-954DF578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F383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9513F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A5D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5D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5D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5D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5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barbora.maliarova@just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72253E0-505D-40EE-A3D0-E086B298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MALIAROVÁ Barbora</cp:lastModifiedBy>
  <cp:revision>4</cp:revision>
  <cp:lastPrinted>2021-08-10T05:56:00Z</cp:lastPrinted>
  <dcterms:created xsi:type="dcterms:W3CDTF">2022-05-24T07:15:00Z</dcterms:created>
  <dcterms:modified xsi:type="dcterms:W3CDTF">2022-05-24T07:16:00Z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