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navrhovaná právna úprava zmenu rodinného prostredia? Ak áno, v akom rozsahu? Ak je to možné, doplňte kvantifikáciu, prípadne dôvod chýbajúcej kvantifikácie. </w:t>
            </w:r>
          </w:p>
          <w:p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E629A5" w:rsidRDefault="007B5D1B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 w:rsidR="00E629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E629A5" w:rsidRDefault="00E629A5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076C" w:rsidRDefault="007B5D1B" w:rsidP="001B3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Jej pozitívnym vplyvom je</w:t>
            </w:r>
            <w:r w:rsidR="001B3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 všeobecnosti</w:t>
            </w: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zefektívnenie a spružnenie 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>konaní o výkon ro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zhodnutia vo veciach maloletých a explicitné ukotvenie spoločnej osobnej starostlivosti ako ďalšej formy osobnej starostlivosti o dieťaťa v zákone </w:t>
            </w:r>
            <w:r w:rsidR="00E629A5">
              <w:rPr>
                <w:rFonts w:ascii="Times New Roman" w:hAnsi="Times New Roman"/>
                <w:sz w:val="20"/>
                <w:szCs w:val="20"/>
              </w:rPr>
              <w:t xml:space="preserve">č. 36/2005 Z.  z. </w:t>
            </w:r>
            <w:r w:rsidR="0049076C">
              <w:rPr>
                <w:rFonts w:ascii="Times New Roman" w:hAnsi="Times New Roman"/>
                <w:sz w:val="20"/>
                <w:szCs w:val="20"/>
              </w:rPr>
              <w:t>o</w:t>
            </w:r>
            <w:r w:rsidR="00E629A5">
              <w:rPr>
                <w:rFonts w:ascii="Times New Roman" w:hAnsi="Times New Roman"/>
                <w:sz w:val="20"/>
                <w:szCs w:val="20"/>
              </w:rPr>
              <w:t> </w:t>
            </w:r>
            <w:r w:rsidR="0049076C">
              <w:rPr>
                <w:rFonts w:ascii="Times New Roman" w:hAnsi="Times New Roman"/>
                <w:sz w:val="20"/>
                <w:szCs w:val="20"/>
              </w:rPr>
              <w:t>rodine</w:t>
            </w:r>
            <w:r w:rsidR="00E629A5">
              <w:rPr>
                <w:rFonts w:ascii="Times New Roman" w:hAnsi="Times New Roman"/>
                <w:sz w:val="20"/>
                <w:szCs w:val="20"/>
              </w:rPr>
              <w:t xml:space="preserve"> a o zmene a doplnení niektorých zákonov v znení neskorších predpisov (ďalej len „zákon o rodine“)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>Efektívnejší</w:t>
            </w:r>
            <w:r w:rsidR="00414956">
              <w:rPr>
                <w:rFonts w:ascii="Times New Roman" w:hAnsi="Times New Roman"/>
                <w:sz w:val="20"/>
                <w:szCs w:val="20"/>
              </w:rPr>
              <w:t xml:space="preserve"> a adresnejší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 xml:space="preserve"> priebeh konaní o výkon rozhodnutia vo veciach maloletých </w:t>
            </w:r>
            <w:r w:rsidR="00E629A5">
              <w:rPr>
                <w:rFonts w:ascii="Times New Roman" w:hAnsi="Times New Roman"/>
                <w:sz w:val="20"/>
                <w:szCs w:val="20"/>
              </w:rPr>
              <w:t xml:space="preserve">môže 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>zároveň pozitívnym spôsobom eliminovať prípadné napäté vzťahy medzi rodičmi, ako aj nestabiln</w:t>
            </w:r>
            <w:r w:rsidR="00414956" w:rsidRPr="00414956">
              <w:rPr>
                <w:rFonts w:ascii="Times New Roman" w:hAnsi="Times New Roman"/>
                <w:sz w:val="20"/>
                <w:szCs w:val="20"/>
              </w:rPr>
              <w:t>ú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414956" w:rsidRPr="00414956">
              <w:rPr>
                <w:rFonts w:ascii="Times New Roman" w:hAnsi="Times New Roman"/>
                <w:sz w:val="20"/>
                <w:szCs w:val="20"/>
              </w:rPr>
              <w:t> neistú rodinnú atmosféru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956" w:rsidRPr="00414956">
              <w:rPr>
                <w:rFonts w:ascii="Times New Roman" w:hAnsi="Times New Roman"/>
                <w:sz w:val="20"/>
                <w:szCs w:val="20"/>
              </w:rPr>
              <w:t xml:space="preserve">vo </w:t>
            </w:r>
            <w:r w:rsidR="00414956" w:rsidRPr="0049076C">
              <w:rPr>
                <w:rFonts w:ascii="Times New Roman" w:hAnsi="Times New Roman"/>
                <w:sz w:val="20"/>
                <w:szCs w:val="20"/>
              </w:rPr>
              <w:t>vzťahu k maloletému dieťaťu.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76C" w:rsidRPr="0049076C">
              <w:rPr>
                <w:rFonts w:ascii="Times New Roman" w:hAnsi="Times New Roman"/>
                <w:bCs/>
                <w:sz w:val="20"/>
                <w:szCs w:val="20"/>
              </w:rPr>
              <w:t>Cieľom navrhovanej zmeny</w:t>
            </w:r>
            <w:r w:rsidR="00EF0D8C">
              <w:rPr>
                <w:rFonts w:ascii="Times New Roman" w:hAnsi="Times New Roman"/>
                <w:bCs/>
                <w:sz w:val="20"/>
                <w:szCs w:val="20"/>
              </w:rPr>
              <w:t xml:space="preserve"> v </w:t>
            </w:r>
            <w:r w:rsidR="004C7C03" w:rsidDel="004C7C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7C03">
              <w:rPr>
                <w:rFonts w:ascii="Times New Roman" w:hAnsi="Times New Roman"/>
                <w:bCs/>
                <w:sz w:val="20"/>
                <w:szCs w:val="20"/>
              </w:rPr>
              <w:t xml:space="preserve">zákone </w:t>
            </w:r>
            <w:r w:rsidR="0049076C">
              <w:rPr>
                <w:rFonts w:ascii="Times New Roman" w:hAnsi="Times New Roman"/>
                <w:bCs/>
                <w:sz w:val="20"/>
                <w:szCs w:val="20"/>
              </w:rPr>
              <w:t>o rodine</w:t>
            </w:r>
            <w:r w:rsidR="0049076C" w:rsidRPr="0049076C">
              <w:rPr>
                <w:rFonts w:ascii="Times New Roman" w:hAnsi="Times New Roman"/>
                <w:bCs/>
                <w:sz w:val="20"/>
                <w:szCs w:val="20"/>
              </w:rPr>
              <w:t xml:space="preserve"> je</w:t>
            </w:r>
            <w:r w:rsidR="0049076C" w:rsidRPr="004907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podporiť zachovanie, vytváranie a rozvoj vzťahových väzieb dieťaťa s obidvomi rodičmi aj na čas po rozvode a rozchode. </w:t>
            </w:r>
          </w:p>
          <w:p w:rsidR="00E629A5" w:rsidRPr="0049076C" w:rsidRDefault="00E629A5" w:rsidP="001B3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02E1" w:rsidRDefault="001B3251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Pr="007102E1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navrhovaná právna úprava vplyv na demografický rast? Ak áno, aký je vplyv vzhľadom k úrovni záchovnej hodnoty populácie? </w:t>
            </w:r>
          </w:p>
        </w:tc>
      </w:tr>
      <w:tr w:rsidR="00FD23DD" w:rsidTr="00A665AB">
        <w:trPr>
          <w:trHeight w:val="1579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1B3251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 w:rsidP="001B3251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.1.4 Má navrhovaná právna úprava vplyv na odstraňovanie prekážok, ktoré bránia pracujúcim rodičom dosiahnuť želaný počet detí?</w:t>
                  </w:r>
                </w:p>
              </w:tc>
            </w:tr>
          </w:tbl>
          <w:p w:rsidR="00FD23DD" w:rsidRDefault="00A665AB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Pr="00A665AB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1B3251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.1.5 Má navrhovaná právna úprava vplyv na množstvo času alebo príležitostí pre rodičov alebo pre deti na realizáciu rodinného života?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356744" w:rsidRDefault="00356744" w:rsidP="0035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356744" w:rsidRDefault="00356744" w:rsidP="001B3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23DD" w:rsidRDefault="001B3251" w:rsidP="001B3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Eliminovanie neadekvátneho predlžovania konaní o výkon rozhodnutia vo veciach maloletých a ich e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>fektívnejší</w:t>
            </w:r>
            <w:r>
              <w:rPr>
                <w:rFonts w:ascii="Times New Roman" w:hAnsi="Times New Roman"/>
                <w:sz w:val="20"/>
                <w:szCs w:val="20"/>
              </w:rPr>
              <w:t>,  adresnejší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 xml:space="preserve"> priebeh </w:t>
            </w:r>
            <w:r w:rsidR="00E629A5">
              <w:rPr>
                <w:rFonts w:ascii="Times New Roman" w:hAnsi="Times New Roman"/>
                <w:sz w:val="20"/>
                <w:szCs w:val="20"/>
              </w:rPr>
              <w:t>môžu</w:t>
            </w:r>
            <w:r w:rsidRPr="00414956">
              <w:rPr>
                <w:rFonts w:ascii="Times New Roman" w:hAnsi="Times New Roman"/>
                <w:sz w:val="20"/>
                <w:szCs w:val="20"/>
              </w:rPr>
              <w:t xml:space="preserve"> pozitívnym spôsobom </w:t>
            </w:r>
            <w:r>
              <w:rPr>
                <w:rFonts w:ascii="Times New Roman" w:hAnsi="Times New Roman"/>
                <w:sz w:val="20"/>
                <w:szCs w:val="20"/>
              </w:rPr>
              <w:t>vplývať na</w:t>
            </w:r>
            <w:r w:rsidR="00F87319">
              <w:rPr>
                <w:rFonts w:ascii="Times New Roman" w:hAnsi="Times New Roman"/>
                <w:sz w:val="20"/>
                <w:szCs w:val="20"/>
              </w:rPr>
              <w:t xml:space="preserve"> množstvo času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príležitosti pre rodičov a deti na realizáciu rodinného života.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 Rovnako tak explicitné ukotvenie spoločnej osobnej starostlivosti o dieťa a</w:t>
            </w:r>
            <w:r w:rsidR="00E629A5">
              <w:rPr>
                <w:rFonts w:ascii="Times New Roman" w:hAnsi="Times New Roman"/>
                <w:sz w:val="20"/>
                <w:szCs w:val="20"/>
              </w:rPr>
              <w:t> možnosť zverenia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 dieťaťa do tejto formy starostl</w:t>
            </w:r>
            <w:r w:rsidR="00E629A5">
              <w:rPr>
                <w:rFonts w:ascii="Times New Roman" w:hAnsi="Times New Roman"/>
                <w:sz w:val="20"/>
                <w:szCs w:val="20"/>
              </w:rPr>
              <w:t>ivosti</w:t>
            </w:r>
            <w:r w:rsidR="0049076C" w:rsidRPr="00414956">
              <w:rPr>
                <w:rFonts w:ascii="Times New Roman" w:hAnsi="Times New Roman"/>
                <w:sz w:val="20"/>
                <w:szCs w:val="20"/>
              </w:rPr>
              <w:t xml:space="preserve"> by </w:t>
            </w:r>
            <w:r w:rsidR="0049076C">
              <w:rPr>
                <w:rFonts w:ascii="Times New Roman" w:hAnsi="Times New Roman"/>
                <w:sz w:val="20"/>
                <w:szCs w:val="20"/>
              </w:rPr>
              <w:t>mohlo</w:t>
            </w:r>
            <w:r w:rsidR="0049076C" w:rsidRPr="00414956">
              <w:rPr>
                <w:rFonts w:ascii="Times New Roman" w:hAnsi="Times New Roman"/>
                <w:sz w:val="20"/>
                <w:szCs w:val="20"/>
              </w:rPr>
              <w:t xml:space="preserve"> pozitívnym spôsobom </w:t>
            </w:r>
            <w:r w:rsidR="0049076C">
              <w:rPr>
                <w:rFonts w:ascii="Times New Roman" w:hAnsi="Times New Roman"/>
                <w:sz w:val="20"/>
                <w:szCs w:val="20"/>
              </w:rPr>
              <w:t>vplývať na množstvo času a príležitosti pre</w:t>
            </w:r>
            <w:r w:rsidR="00E629A5">
              <w:rPr>
                <w:rFonts w:ascii="Times New Roman" w:hAnsi="Times New Roman"/>
                <w:sz w:val="20"/>
                <w:szCs w:val="20"/>
              </w:rPr>
              <w:t xml:space="preserve"> rozvádzajúcich sa</w:t>
            </w:r>
            <w:r w:rsidR="0049076C">
              <w:rPr>
                <w:rFonts w:ascii="Times New Roman" w:hAnsi="Times New Roman"/>
                <w:sz w:val="20"/>
                <w:szCs w:val="20"/>
              </w:rPr>
              <w:t xml:space="preserve"> rodičov a deti na realizáciu rodinného života</w:t>
            </w:r>
            <w:r w:rsidR="00E629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596D" w:rsidRDefault="008A596D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Pr="001B3251" w:rsidRDefault="00356744" w:rsidP="001B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.1.6 Má navrhovaná právna úprava vplyv na prenikanie látkových alebo nelátkových závislostí do rodín?</w:t>
            </w:r>
          </w:p>
        </w:tc>
      </w:tr>
      <w:tr w:rsidR="00FD23DD" w:rsidTr="002D6001">
        <w:trPr>
          <w:trHeight w:val="245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A6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8A596D" w:rsidRDefault="008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596D" w:rsidRPr="002D6001" w:rsidRDefault="008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.2.1 Má navrhovaná právna úprava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356744" w:rsidRDefault="00356744" w:rsidP="0035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E629A5" w:rsidRDefault="00E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142" w:rsidRDefault="00EF0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Možnosť súdu zveriť dieťa</w:t>
            </w:r>
            <w:r w:rsidR="00537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 rozvode do spoločnej osobnej starostlivosti oboch rodičov, ktorí </w:t>
            </w:r>
            <w:r w:rsidR="00485B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obaja </w:t>
            </w:r>
            <w:r w:rsidR="00537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majú </w:t>
            </w:r>
            <w:r w:rsidR="00B60C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 takúto starostlivosti záujem a súhlasia s ňou, </w:t>
            </w:r>
            <w:r w:rsidR="00A81209">
              <w:rPr>
                <w:rFonts w:ascii="Times New Roman" w:eastAsia="Times New Roman" w:hAnsi="Times New Roman" w:cs="Times New Roman"/>
                <w:sz w:val="20"/>
                <w:szCs w:val="20"/>
              </w:rPr>
              <w:t>môže výrazne ovplyvniť</w:t>
            </w:r>
            <w:r w:rsidR="00537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súdržnosť členov rodiny. </w:t>
            </w:r>
          </w:p>
          <w:p w:rsidR="00A81209" w:rsidRDefault="00A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142" w:rsidRDefault="00537142" w:rsidP="00537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  <w:p w:rsidR="001B6621" w:rsidRDefault="001B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744" w:rsidRDefault="0035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.2.2 Má navrhovaná právna úprava vplyv na posilňovanie väzieb medzi členmi rodiny?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356744" w:rsidRDefault="00356744" w:rsidP="0035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5B5E0B" w:rsidRDefault="005B5E0B" w:rsidP="004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5B0E" w:rsidRDefault="00485B0E" w:rsidP="004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Možnosť súdu zveriť dieťaťa pri rozvode do spoločnej osobnej starostlivosti oboch rodičov, ktorí obaja majú </w:t>
            </w:r>
            <w:r w:rsidR="005B5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 takúto starostlivosti záujem a súhlasia s ňou, </w:t>
            </w:r>
            <w:r w:rsidR="00834D41">
              <w:rPr>
                <w:rFonts w:ascii="Times New Roman" w:eastAsia="Times New Roman" w:hAnsi="Times New Roman" w:cs="Times New Roman"/>
                <w:sz w:val="20"/>
                <w:szCs w:val="20"/>
              </w:rPr>
              <w:t>môže pozitívne ovplyvniť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posilňovanie </w:t>
            </w:r>
            <w:r w:rsidR="00834D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vzájomných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väzieb medzi členmi rodiny.  </w:t>
            </w:r>
          </w:p>
          <w:p w:rsidR="005B5E0B" w:rsidRDefault="005B5E0B" w:rsidP="004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5B0E" w:rsidRDefault="00485B0E" w:rsidP="0048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  <w:p w:rsidR="001B6621" w:rsidRDefault="001B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744" w:rsidRDefault="0035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.2.3 Má navrhovaná právna úprava vplyv na obnovovanie alebo záchranu rodín?</w:t>
                  </w: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5521" w:rsidRDefault="00D8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D85521" w:rsidRDefault="00D8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744" w:rsidRDefault="0035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.2.4 Má navrhovaná právna úprava vplyv na vznik či pretrvávanie konfliktov medzi členmi rodiny?</w:t>
                  </w: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7B292F" w:rsidRDefault="007B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Pr="007B292F" w:rsidRDefault="007B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1B6621" w:rsidRDefault="001B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56744" w:rsidRDefault="00356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.2.5 Má navrhovaná právna úprava vplyv na rozpad rodín?</w:t>
                  </w:r>
                </w:p>
              </w:tc>
            </w:tr>
            <w:tr w:rsidR="00FD23DD" w:rsidTr="007B292F">
              <w:trPr>
                <w:trHeight w:val="614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7B29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:rsidR="001B6621" w:rsidRDefault="001B6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1B6621" w:rsidRDefault="001B6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1B6621" w:rsidRPr="007B292F" w:rsidRDefault="001B6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/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.2.6 Má navrhovaná právna úprava vplyv na poskytovanie pomoci pri odkázanosti niektorého z členov rodiny na pomoc?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7B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1B6621" w:rsidRDefault="001B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6744" w:rsidRDefault="00356744"/>
    <w:p w:rsidR="00356744" w:rsidRDefault="00356744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.3.1 Má navrhovaná právna úprava vplyv na výchovu detí?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9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.3.2 Má navrhovaná právna úprava vplyv na výchovu detí v rodinách?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9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.3.3 Má navrhovaná právna úprava vplyv na výchovu detí k manželstvu a rodičovstvu?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9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.4.1 Má navrhovaná právna úprava vplyv na práva alebo zodpovednosť rodičov voči deťom?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356744" w:rsidRDefault="00356744" w:rsidP="0035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356744" w:rsidRDefault="00356744" w:rsidP="003E25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25B2" w:rsidRPr="00766B2C" w:rsidRDefault="003E25B2" w:rsidP="00AE3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2C">
              <w:rPr>
                <w:rFonts w:ascii="Times New Roman" w:hAnsi="Times New Roman"/>
                <w:sz w:val="20"/>
                <w:szCs w:val="20"/>
              </w:rPr>
              <w:t>Navrhuje sa,  aby sa výkon rozhodnutia, ktorým sa priznáva právo na styk s maloletým po obmedzený čas, uskutočňoval vždy v prítomnosti sudcu. Obligatórna prítomnosť sudcu na odnímaní maloletého dieťaťa sa navrhuje pri takom výkone, kedy má pravidelne dochádzať k výkonu rozhodnutia o úprave styku dieťaťa s tým rodičom</w:t>
            </w:r>
            <w:r w:rsidR="00FD41B0">
              <w:rPr>
                <w:rFonts w:ascii="Times New Roman" w:hAnsi="Times New Roman"/>
                <w:sz w:val="20"/>
                <w:szCs w:val="20"/>
              </w:rPr>
              <w:t>,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resp. osobou, ktorý maloletého nemá vo svojej osobnej starostlivosti. Rešpekt, ktorý by mala budiť osoba sudcu (funkc</w:t>
            </w:r>
            <w:r w:rsidR="00356744">
              <w:rPr>
                <w:rFonts w:ascii="Times New Roman" w:hAnsi="Times New Roman"/>
                <w:sz w:val="20"/>
                <w:szCs w:val="20"/>
              </w:rPr>
              <w:t>ia), má súčasne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psychologický vplyv a môže pozitívne ovplyvniť riešenie konfliktných situácií, ktoré počas odnímania nastávajú. </w:t>
            </w:r>
            <w:r w:rsidR="00356744">
              <w:rPr>
                <w:rFonts w:ascii="Times New Roman" w:hAnsi="Times New Roman"/>
                <w:sz w:val="20"/>
                <w:szCs w:val="20"/>
              </w:rPr>
              <w:t>P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>rítomnosť sudcu</w:t>
            </w:r>
            <w:r w:rsidR="00356744">
              <w:rPr>
                <w:rFonts w:ascii="Times New Roman" w:hAnsi="Times New Roman"/>
                <w:sz w:val="20"/>
                <w:szCs w:val="20"/>
              </w:rPr>
              <w:t xml:space="preserve"> v tomto prípade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môže pozitívne motivovať </w:t>
            </w:r>
            <w:r w:rsidR="00FD41B0">
              <w:rPr>
                <w:rFonts w:ascii="Times New Roman" w:hAnsi="Times New Roman"/>
                <w:sz w:val="20"/>
                <w:szCs w:val="20"/>
              </w:rPr>
              <w:t xml:space="preserve">zodpovednosť rodiča voči dieťaťu 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tým, že </w:t>
            </w:r>
            <w:r w:rsidR="00AE3D0B" w:rsidRPr="00766B2C">
              <w:rPr>
                <w:rFonts w:ascii="Times New Roman" w:hAnsi="Times New Roman"/>
                <w:sz w:val="20"/>
                <w:szCs w:val="20"/>
              </w:rPr>
              <w:t xml:space="preserve">pri odovzdaní dieťaťa 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>plní svoju povinnosť a odovzd</w:t>
            </w:r>
            <w:r w:rsidR="00356744">
              <w:rPr>
                <w:rFonts w:ascii="Times New Roman" w:hAnsi="Times New Roman"/>
                <w:sz w:val="20"/>
                <w:szCs w:val="20"/>
              </w:rPr>
              <w:t>á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3D0B" w:rsidRPr="00766B2C">
              <w:rPr>
                <w:rFonts w:ascii="Times New Roman" w:hAnsi="Times New Roman"/>
                <w:sz w:val="20"/>
                <w:szCs w:val="20"/>
              </w:rPr>
              <w:t>ho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6B2C" w:rsidRPr="00766B2C">
              <w:rPr>
                <w:rFonts w:ascii="Times New Roman" w:hAnsi="Times New Roman"/>
                <w:sz w:val="20"/>
                <w:szCs w:val="20"/>
              </w:rPr>
              <w:t xml:space="preserve">bez </w:t>
            </w:r>
            <w:r w:rsidR="00356744">
              <w:rPr>
                <w:rFonts w:ascii="Times New Roman" w:hAnsi="Times New Roman"/>
                <w:sz w:val="20"/>
                <w:szCs w:val="20"/>
              </w:rPr>
              <w:t xml:space="preserve">extrémnych </w:t>
            </w:r>
            <w:r w:rsidR="00766B2C" w:rsidRPr="00766B2C">
              <w:rPr>
                <w:rFonts w:ascii="Times New Roman" w:hAnsi="Times New Roman"/>
                <w:sz w:val="20"/>
                <w:szCs w:val="20"/>
              </w:rPr>
              <w:t>turbulencií</w:t>
            </w:r>
            <w:r w:rsidR="00F9231F" w:rsidRPr="00766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B2C">
              <w:rPr>
                <w:rFonts w:ascii="Times New Roman" w:hAnsi="Times New Roman"/>
                <w:sz w:val="20"/>
                <w:szCs w:val="20"/>
              </w:rPr>
              <w:t xml:space="preserve">druhému rodičovi. </w:t>
            </w:r>
          </w:p>
          <w:p w:rsidR="00AE3D0B" w:rsidRPr="00766B2C" w:rsidRDefault="00AE3D0B" w:rsidP="00AE3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25B2" w:rsidRPr="00766B2C" w:rsidRDefault="003E25B2" w:rsidP="00766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.5.1 Má navrhovaná právna úprava vplyv na chránené záujmy obsiahnuté v základných zásadách zákona o rodine?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356744" w:rsidRDefault="00356744" w:rsidP="0035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956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 je bez negatívnych vplyvov a má pozitívny vplyv. </w:t>
            </w:r>
          </w:p>
          <w:p w:rsidR="00506E2F" w:rsidRDefault="00506E2F" w:rsidP="00537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3DD" w:rsidRDefault="000F7DD8" w:rsidP="00537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DD8">
              <w:rPr>
                <w:rFonts w:ascii="Times New Roman" w:hAnsi="Times New Roman" w:cs="Times New Roman"/>
                <w:sz w:val="20"/>
                <w:szCs w:val="20"/>
              </w:rPr>
              <w:t xml:space="preserve">V konaní o výkon rozhodnutia vo veciach maloletých je prvoradý záujem maloletého dieťaťa v zmysle článku 5 základných zásad zákona </w:t>
            </w:r>
            <w:r w:rsidR="00506E2F">
              <w:rPr>
                <w:rFonts w:ascii="Times New Roman" w:hAnsi="Times New Roman" w:cs="Times New Roman"/>
                <w:sz w:val="20"/>
                <w:szCs w:val="20"/>
              </w:rPr>
              <w:t>o rodine.</w:t>
            </w:r>
            <w:r w:rsidRPr="000F7DD8">
              <w:rPr>
                <w:rFonts w:ascii="Times New Roman" w:hAnsi="Times New Roman" w:cs="Times New Roman"/>
                <w:sz w:val="20"/>
                <w:szCs w:val="20"/>
              </w:rPr>
              <w:t xml:space="preserve"> Navrhovanou zmenou v § 374 ods. 1 Civilného mimosporového poriadku, ktorou sa explicitne ustanovuje zásada, </w:t>
            </w:r>
            <w:r w:rsidR="00CD203A" w:rsidRPr="000F7DD8">
              <w:rPr>
                <w:rFonts w:ascii="Times New Roman" w:hAnsi="Times New Roman" w:cs="Times New Roman"/>
                <w:sz w:val="20"/>
                <w:szCs w:val="20"/>
              </w:rPr>
              <w:t xml:space="preserve">že v konaní o výkon rozhodnutia vo veciach maloletých súd na prejednanie veci obligatórne </w:t>
            </w:r>
            <w:r w:rsidRPr="000F7DD8">
              <w:rPr>
                <w:rFonts w:ascii="Times New Roman" w:hAnsi="Times New Roman" w:cs="Times New Roman"/>
                <w:sz w:val="20"/>
                <w:szCs w:val="20"/>
              </w:rPr>
              <w:t xml:space="preserve">nariadi pojednávanie, sa zohľadňujú zároveň kritériá v zmysle článku 5 písmen c), d), g), h) </w:t>
            </w:r>
            <w:r w:rsidR="00506E2F">
              <w:rPr>
                <w:rFonts w:ascii="Times New Roman" w:hAnsi="Times New Roman" w:cs="Times New Roman"/>
                <w:sz w:val="20"/>
                <w:szCs w:val="20"/>
              </w:rPr>
              <w:t xml:space="preserve">základných zásad. </w:t>
            </w:r>
            <w:r w:rsidR="00CD203A" w:rsidRPr="000F7DD8">
              <w:rPr>
                <w:rFonts w:ascii="Times New Roman" w:hAnsi="Times New Roman" w:cs="Times New Roman"/>
                <w:sz w:val="20"/>
                <w:szCs w:val="20"/>
              </w:rPr>
              <w:t>Uskutočnenie pojednávania pred nariadením výkonu rozhodnutia sa javí byť</w:t>
            </w:r>
            <w:r w:rsidR="00506E2F">
              <w:rPr>
                <w:rFonts w:ascii="Times New Roman" w:hAnsi="Times New Roman" w:cs="Times New Roman"/>
                <w:sz w:val="20"/>
                <w:szCs w:val="20"/>
              </w:rPr>
              <w:t xml:space="preserve"> ako</w:t>
            </w:r>
            <w:r w:rsidR="00CD203A" w:rsidRPr="000F7DD8">
              <w:rPr>
                <w:rFonts w:ascii="Times New Roman" w:hAnsi="Times New Roman" w:cs="Times New Roman"/>
                <w:sz w:val="20"/>
                <w:szCs w:val="20"/>
              </w:rPr>
              <w:t xml:space="preserve"> efektívny spôsob riešenia vzniknutej konfliktnej situácie. Pozícia sudcu reprezentuje vo vnímaní spoločnosti úradnú autoritu. Touto autoritou smerujúc k dobrovoľnému </w:t>
            </w:r>
            <w:r w:rsidR="00CD203A" w:rsidRPr="00537142">
              <w:rPr>
                <w:rFonts w:ascii="Times New Roman" w:hAnsi="Times New Roman" w:cs="Times New Roman"/>
                <w:sz w:val="20"/>
                <w:szCs w:val="20"/>
              </w:rPr>
              <w:t xml:space="preserve">plneniu môže sudca pôsobiť iba v priamom kontakte s účastníkmi konania. Sudca má rôzne možnosti, vie výchovne pôsobiť na účastníkov a dohovorom ich viesť k dobrovoľnému plneniu rozhodnutím uložených povinností. Má priestor účastníkov poučiť o možnosti súdu začať konať ex officio, napríklad o zmene zverenia dieťaťa druhému rodičovi v prípade nerešpektovania úpravy styku zo strany rodiča, ktorému je dieťa zverené. Výsledkom pojednávania môže byť tiež uloženie povinnej mediácie rodičom, či uloženie povinnosti absolvovať psychologické </w:t>
            </w:r>
            <w:r w:rsidR="00CD203A" w:rsidRPr="0053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poradenstvo. </w:t>
            </w:r>
          </w:p>
          <w:p w:rsidR="00537142" w:rsidRPr="00537142" w:rsidRDefault="00537142" w:rsidP="00537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42" w:rsidRDefault="00537142" w:rsidP="005371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 explicitnom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ukotvení sp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oločnej osobnej starostlivosti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 zákone o rodi</w:t>
            </w:r>
            <w:r w:rsidR="005D49A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 sa podporuje základná zásada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vyjadrená v prvej vete v  článku 5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základných zásad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zákona o rodine. Táto zásada určuje prioritu záujmu dieťaťa ako základného hľadiska pri rozhodovaní vo všetkých veciach, ktoré sa ho týkajú. Vzhľadom na to, že každé dieťa je jedinečné a konštelácia jeho životnej situác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ie je neopakovateľná, 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zákonodarca v znení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článku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5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základných zásad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zákona o rodine 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nevymedzil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ogentne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definíciu záujmu dieťaťa, ale ponúka príkladným a nehierarchickým spôsobom výpočet kritérií 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 posúdenie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záujmu dieťaťa. Vo výpočte kritérií záujmu dieťaťa sa nachádza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okrem iných aj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kritérium pod písmenom h), ktoré znie:  </w:t>
            </w:r>
            <w:r w:rsidRPr="00506E2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Pri určovaní a posudzovaní záujmu maloletého dieťaťa sa zohľadňujú podmienky na vytváranie a rozvoj vzťahových väzieb s obidvomi rodičmi, súrodencami a s inými blízkymi osobami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Návrh zákona prispeje k naplneniu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tiež ďalších základných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zásad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podľa 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zákona o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rodine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napríklad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 základnej zásade uvedenej v článku 4, podľa ktorej</w:t>
            </w:r>
            <w:r w:rsidR="00506E2F" w:rsidRPr="00506E2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:</w:t>
            </w:r>
            <w:r w:rsidRPr="00506E2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Rodičovské práva a povinnosti patria obom rodičom. Rodičia majú právo vychovávať deti v zhode s vlastným náboženským a filozofickým presvedčením a povinnosť zabezpečiť rodine pokojné a bezpečné prostredie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Rovnako sa to týka aj </w:t>
            </w:r>
            <w:r w:rsidR="00506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základnej zásady uvedenej v článku</w:t>
            </w:r>
            <w:r w:rsidR="003567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3, podľa ktorej: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06E2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Spoločnosť uznáva, že pre všestranný a harmonický vývin dieťaťa je najvhodnejšie stabilné prostredie rodiny tvorenej otcom a matkou dieťaťa.</w:t>
            </w:r>
            <w:r w:rsidRPr="00537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06E2F" w:rsidRPr="00537142" w:rsidRDefault="00506E2F" w:rsidP="005371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37142" w:rsidRPr="0094250A" w:rsidRDefault="00BF7099" w:rsidP="00942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Exaktnú kvantifikáciu nie je možné matematicky vyčísliť. </w:t>
            </w: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.6.1 Má navrhovaná právna úprava vplyv na uzavieranie manželstva? Ak áno, aký?</w:t>
            </w:r>
          </w:p>
        </w:tc>
      </w:tr>
      <w:tr w:rsidR="00FD23DD" w:rsidTr="00766B2C">
        <w:trPr>
          <w:trHeight w:val="562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76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Pr="00BF7099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.6.2 Má navrhovaná právna úprava vplyv na preferovaný čas vstupu do manželstva?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C449F6" w:rsidRDefault="00C4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49F6" w:rsidRDefault="00746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:rsidR="00356744" w:rsidRDefault="0035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:rsidTr="00A862C0">
              <w:trPr>
                <w:trHeight w:val="754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BF7099" w:rsidRPr="00BF7099" w:rsidRDefault="00004731" w:rsidP="007B1838">
                  <w:pPr>
                    <w:shd w:val="clear" w:color="auto" w:fill="F2F2F2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.6.3 Má navrhovaná právna úprava vplyv na informovanosť ohľadom povahy manželstva a záväzkov medzi manželmi a založenia rodiny?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C44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.6.4 Má navrhovaná právna úprava vplyv na predchádzanie rozpadom manželstiev?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C44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navrhovaná právna úprava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:rsidTr="00766B2C">
        <w:trPr>
          <w:trHeight w:val="59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C4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</w:tc>
      </w:tr>
    </w:tbl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A862C0" w:rsidP="00A862C0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D23DD" w:rsidSect="00A2121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61" w:rsidRDefault="00211761">
      <w:pPr>
        <w:spacing w:after="0" w:line="240" w:lineRule="auto"/>
      </w:pPr>
      <w:r>
        <w:separator/>
      </w:r>
    </w:p>
  </w:endnote>
  <w:endnote w:type="continuationSeparator" w:id="0">
    <w:p w:rsidR="00211761" w:rsidRDefault="0021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00465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61" w:rsidRDefault="00211761">
      <w:pPr>
        <w:spacing w:after="0" w:line="240" w:lineRule="auto"/>
      </w:pPr>
      <w:r>
        <w:separator/>
      </w:r>
    </w:p>
  </w:footnote>
  <w:footnote w:type="continuationSeparator" w:id="0">
    <w:p w:rsidR="00211761" w:rsidRDefault="0021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JŠINOVÁ Anna">
    <w15:presenceInfo w15:providerId="AD" w15:userId="S-1-5-21-1772437827-792146050-1153772777-12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D"/>
    <w:rsid w:val="00004057"/>
    <w:rsid w:val="00004731"/>
    <w:rsid w:val="000362C4"/>
    <w:rsid w:val="000E527B"/>
    <w:rsid w:val="000F7DD8"/>
    <w:rsid w:val="001B3251"/>
    <w:rsid w:val="001B6621"/>
    <w:rsid w:val="001D68E6"/>
    <w:rsid w:val="00211761"/>
    <w:rsid w:val="002534DF"/>
    <w:rsid w:val="00284832"/>
    <w:rsid w:val="002D6001"/>
    <w:rsid w:val="00356744"/>
    <w:rsid w:val="003A74F7"/>
    <w:rsid w:val="003B0A66"/>
    <w:rsid w:val="003B5C4A"/>
    <w:rsid w:val="003E25B2"/>
    <w:rsid w:val="003F1786"/>
    <w:rsid w:val="00414956"/>
    <w:rsid w:val="00485B0E"/>
    <w:rsid w:val="0049076C"/>
    <w:rsid w:val="00493162"/>
    <w:rsid w:val="004A4E39"/>
    <w:rsid w:val="004C7C03"/>
    <w:rsid w:val="004E478A"/>
    <w:rsid w:val="004F29DE"/>
    <w:rsid w:val="00506E2F"/>
    <w:rsid w:val="0052339B"/>
    <w:rsid w:val="00530E86"/>
    <w:rsid w:val="00537142"/>
    <w:rsid w:val="00586980"/>
    <w:rsid w:val="005B5E0B"/>
    <w:rsid w:val="005D49A3"/>
    <w:rsid w:val="00600465"/>
    <w:rsid w:val="00622E59"/>
    <w:rsid w:val="00641771"/>
    <w:rsid w:val="006565F6"/>
    <w:rsid w:val="00673532"/>
    <w:rsid w:val="007102E1"/>
    <w:rsid w:val="00717D33"/>
    <w:rsid w:val="00746914"/>
    <w:rsid w:val="00766B2C"/>
    <w:rsid w:val="007B1838"/>
    <w:rsid w:val="007B292F"/>
    <w:rsid w:val="007B5D1B"/>
    <w:rsid w:val="007E5547"/>
    <w:rsid w:val="007F268D"/>
    <w:rsid w:val="00810F21"/>
    <w:rsid w:val="00834D41"/>
    <w:rsid w:val="00887812"/>
    <w:rsid w:val="008A596D"/>
    <w:rsid w:val="008F3A60"/>
    <w:rsid w:val="0094250A"/>
    <w:rsid w:val="009903AC"/>
    <w:rsid w:val="009F16A4"/>
    <w:rsid w:val="00A17FA0"/>
    <w:rsid w:val="00A2121A"/>
    <w:rsid w:val="00A665AB"/>
    <w:rsid w:val="00A71280"/>
    <w:rsid w:val="00A81209"/>
    <w:rsid w:val="00A8523C"/>
    <w:rsid w:val="00A862C0"/>
    <w:rsid w:val="00AC7CFE"/>
    <w:rsid w:val="00AE3D0B"/>
    <w:rsid w:val="00B60C18"/>
    <w:rsid w:val="00B70960"/>
    <w:rsid w:val="00BE2D2E"/>
    <w:rsid w:val="00BF7099"/>
    <w:rsid w:val="00C24956"/>
    <w:rsid w:val="00C449F6"/>
    <w:rsid w:val="00C50BAB"/>
    <w:rsid w:val="00C960E8"/>
    <w:rsid w:val="00CD203A"/>
    <w:rsid w:val="00CE5353"/>
    <w:rsid w:val="00D11F40"/>
    <w:rsid w:val="00D42754"/>
    <w:rsid w:val="00D85521"/>
    <w:rsid w:val="00E1611C"/>
    <w:rsid w:val="00E629A5"/>
    <w:rsid w:val="00E6324B"/>
    <w:rsid w:val="00E7542C"/>
    <w:rsid w:val="00EF0D8C"/>
    <w:rsid w:val="00F1154F"/>
    <w:rsid w:val="00F87319"/>
    <w:rsid w:val="00F9231F"/>
    <w:rsid w:val="00FB2A41"/>
    <w:rsid w:val="00FD23DD"/>
    <w:rsid w:val="00FD41B0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BENCATOVA Viera</cp:lastModifiedBy>
  <cp:revision>2</cp:revision>
  <cp:lastPrinted>2022-05-26T10:25:00Z</cp:lastPrinted>
  <dcterms:created xsi:type="dcterms:W3CDTF">2022-05-26T10:27:00Z</dcterms:created>
  <dcterms:modified xsi:type="dcterms:W3CDTF">2022-05-26T10:27:00Z</dcterms:modified>
</cp:coreProperties>
</file>