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43" w:rsidRPr="00DB13A3" w:rsidRDefault="000736C2">
      <w:pPr>
        <w:pStyle w:val="PrefixBold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k-SK"/>
        </w:rPr>
      </w:pPr>
      <w:bookmarkStart w:id="0" w:name="_GoBack"/>
      <w:bookmarkEnd w:id="0"/>
      <w:r w:rsidRPr="00DB13A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k-SK"/>
        </w:rPr>
        <w:t>(Návrh)</w:t>
      </w:r>
    </w:p>
    <w:p w:rsidR="008D6B43" w:rsidRPr="00DB13A3" w:rsidRDefault="008D6B43">
      <w:pPr>
        <w:pStyle w:val="PrefixBold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7221F6" w:rsidRPr="00DB13A3" w:rsidRDefault="00200F2E">
      <w:pPr>
        <w:pStyle w:val="PrefixBold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" w:name="3247441"/>
      <w:bookmarkEnd w:id="1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VYHLÁŠKA</w:t>
      </w:r>
    </w:p>
    <w:p w:rsidR="007221F6" w:rsidRPr="00DB13A3" w:rsidRDefault="00200F2E">
      <w:pPr>
        <w:pStyle w:val="PrefixBold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" w:name="3247442"/>
      <w:bookmarkEnd w:id="2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Ministerstva hospodárstva Slovenskej republiky</w:t>
      </w:r>
    </w:p>
    <w:p w:rsidR="00DB13A3" w:rsidRPr="00DB13A3" w:rsidRDefault="00DB13A3" w:rsidP="00DB13A3">
      <w:pPr>
        <w:pStyle w:val="PrefixBold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7221F6" w:rsidRPr="00DB13A3" w:rsidRDefault="00200F2E" w:rsidP="00DB13A3">
      <w:pPr>
        <w:pStyle w:val="PrefixPredpisDatum"/>
        <w:spacing w:before="0"/>
        <w:rPr>
          <w:rFonts w:ascii="Times New Roman" w:hAnsi="Times New Roman" w:cs="Times New Roman"/>
          <w:color w:val="000000" w:themeColor="text1"/>
          <w:lang w:val="sk-SK"/>
        </w:rPr>
      </w:pPr>
      <w:bookmarkStart w:id="3" w:name="3247443"/>
      <w:bookmarkEnd w:id="3"/>
      <w:r w:rsidRPr="00DB13A3">
        <w:rPr>
          <w:rFonts w:ascii="Times New Roman" w:hAnsi="Times New Roman" w:cs="Times New Roman"/>
          <w:color w:val="000000" w:themeColor="text1"/>
          <w:lang w:val="sk-SK"/>
        </w:rPr>
        <w:t xml:space="preserve">z </w:t>
      </w:r>
      <w:r w:rsidR="00875BF0" w:rsidRPr="00DB13A3">
        <w:rPr>
          <w:rFonts w:ascii="Times New Roman" w:hAnsi="Times New Roman" w:cs="Times New Roman"/>
          <w:color w:val="000000" w:themeColor="text1"/>
          <w:lang w:val="sk-SK"/>
        </w:rPr>
        <w:t>… 2022,</w:t>
      </w:r>
    </w:p>
    <w:p w:rsidR="00DB13A3" w:rsidRPr="00DB13A3" w:rsidRDefault="00DB13A3" w:rsidP="00DB13A3">
      <w:pPr>
        <w:pStyle w:val="PrefixPredpisDatum"/>
        <w:spacing w:before="0" w:after="0"/>
        <w:rPr>
          <w:rFonts w:ascii="Times New Roman" w:hAnsi="Times New Roman" w:cs="Times New Roman"/>
          <w:color w:val="000000" w:themeColor="text1"/>
          <w:lang w:val="sk-SK"/>
        </w:rPr>
      </w:pPr>
    </w:p>
    <w:p w:rsidR="007221F6" w:rsidRPr="00DB13A3" w:rsidRDefault="00200F2E">
      <w:pPr>
        <w:pStyle w:val="PrefixTitle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" w:name="3247444"/>
      <w:bookmarkEnd w:id="4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ktorou sa vykonávajú niektoré ustanovenia zákona č. 309/2009 Z. z. o podpore obnoviteľných zdrojov energie a vysoko účinnej kombinovanej výroby</w:t>
      </w:r>
    </w:p>
    <w:p w:rsidR="007221F6" w:rsidRPr="00DB13A3" w:rsidRDefault="00200F2E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" w:name="3247445"/>
      <w:bookmarkEnd w:id="5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Ministerstvo hospodárstva Slovenskej republiky podľa </w:t>
      </w:r>
      <w:hyperlink r:id="rId7" w:anchor="f3648506" w:history="1">
        <w:r w:rsidRP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 xml:space="preserve">§ 19 ods. 1 písm. i) až k) zákona </w:t>
        </w:r>
        <w:r w:rsid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 xml:space="preserve">                          </w:t>
        </w:r>
        <w:r w:rsidRP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č. 309/2009 Z. z.</w:t>
        </w:r>
      </w:hyperlink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 podpore obnoviteľných zdrojov energie a vysoko účinnej kombinovanej výroby a o zmene a doplnení niektorých zákonov </w:t>
      </w:r>
      <w:r w:rsid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v znení neskorších predpisov 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(ďalej len „zákon“) ustanovuje:</w:t>
      </w:r>
    </w:p>
    <w:p w:rsidR="007221F6" w:rsidRPr="00DB13A3" w:rsidRDefault="00200F2E">
      <w:pPr>
        <w:pStyle w:val="Paragraf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" w:name="3247447"/>
      <w:bookmarkEnd w:id="6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§ 1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br/>
        <w:t>Predmet úpravy</w:t>
      </w:r>
    </w:p>
    <w:p w:rsidR="007221F6" w:rsidRPr="00DB13A3" w:rsidRDefault="00200F2E">
      <w:pPr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" w:name="3247449"/>
      <w:bookmarkEnd w:id="7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Táto vyhláška upravuje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" w:name="3247450"/>
      <w:bookmarkEnd w:id="8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a)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spôsob výpočtu podielu energie z obnoviteľných zdrojov,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" w:name="3247451"/>
      <w:bookmarkEnd w:id="9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b)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spôsob výpočtu národného cieľa uvedeného v Národnom akčnom pláne pre energiu z obnoviteľných zdrojov (ďalej len „národný cieľ“),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0" w:name="3247452"/>
      <w:bookmarkEnd w:id="10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c)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obsah oznámenia o spoločnom projekte a podmienky pre započítanie elektriny vyrobenej z obnoviteľných zdrojov energie v štáte, ktorý nie je členským štátom (ďalej len „tretí štát“); členským štátom sa rozumie členský štát Európskej únie alebo štát, ktorý je zmluvnou stranou Dohody o Európskom hospodárskom priestore,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1" w:name="3247453"/>
      <w:bookmarkEnd w:id="11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d)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obsah správy o pokroku pri presadzovaní a využívaní energie z obnoviteľných zdrojov energie (ďalej len „správa o pokroku“).</w:t>
      </w:r>
    </w:p>
    <w:p w:rsidR="007221F6" w:rsidRPr="00DB13A3" w:rsidRDefault="00200F2E">
      <w:pPr>
        <w:pStyle w:val="Paragraf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2" w:name="3247454"/>
      <w:bookmarkEnd w:id="12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§ 2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br/>
        <w:t>Výpočet podielu energie z obnoviteľných zdrojov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3" w:name="3247456"/>
      <w:bookmarkEnd w:id="13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(1)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Podiel energie z obnoviteľných zdrojov sa vypočíta ako podiel hrubej konečnej spotreby energie z obnoviteľných zdrojov energie a hrubej konečnej energetickej spotreby všetkých zdrojov energie.</w:t>
      </w:r>
    </w:p>
    <w:p w:rsid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4" w:name="3247457"/>
      <w:bookmarkEnd w:id="14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(2)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Podiel energie z obnoviteľných zdrojov sa vyjadruje v percentách.</w:t>
      </w:r>
      <w:bookmarkStart w:id="15" w:name="3247458"/>
      <w:bookmarkEnd w:id="15"/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(3)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Hrubá konečná spotreba energie z obnoviteľných zdrojov energie je súčet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6" w:name="3247459"/>
      <w:bookmarkEnd w:id="16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a)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hrubej konečnej spotreby elektriny z obnoviteľných zdrojov energie,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7" w:name="3247460"/>
      <w:bookmarkEnd w:id="17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b)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hrubej konečnej spotreby energie z obnoviteľných zdrojov energie na výrobu tepla a chladu,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8" w:name="3247461"/>
      <w:bookmarkEnd w:id="18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c)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konečnej spotreby energie z obnoviteľných zdrojov energie v doprave.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9" w:name="3247462"/>
      <w:bookmarkEnd w:id="19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(4)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Plyn, elektrina a vodík z obnoviteľných zdrojov energie sa na účely výpočtu podľa odseku 3 zohľadňujú len jedenkrát.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0" w:name="3247463"/>
      <w:bookmarkEnd w:id="20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(5)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Na účely výpočtu podľa odseku 3 sa zohľadňujú len biopalivá a biokvapaliny, ktoré spĺňajú kritériá trvalej udržateľnosti.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1" w:name="3247464"/>
      <w:bookmarkEnd w:id="21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lastRenderedPageBreak/>
        <w:t>(6)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Hrubá konečná energetická spotreba všetkých zdrojov energie zahŕňa energetické komodity dodávané na energetické účely pre priemysel, dopravu, domácnosti, služby vrátane verejných služieb, poľnohospodárstvo, ako aj lesné a rybné hospodárstvo, vrátane spotreby elektriny a tepla zo strany energetických odvetví, ktoré sa zaoberajú výrobou elektriny a tepla, a vrátane strát elektriny a tepla počas distribúcie a prenosu.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2" w:name="3247465"/>
      <w:bookmarkEnd w:id="22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(7)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Pri výpočte hrubej konečnej energetickej spotreby pre posudzovanie súladu podielu energie z obnoviteľných zdrojov energie s národným cieľom sa množstvo energie spotrebovanej v leteckej doprave, ako podiel na hrubej konečnej energetickej spotrebe daného členského štátu, považuje za neprevyšujúci 6,18 %.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3" w:name="3247466"/>
      <w:bookmarkEnd w:id="23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(8)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Pri výpočte podielu energie z obnoviteľných zdrojov energie sa použije metodika a vymedzenie pojmov podľa osobitného predpisu.</w:t>
      </w:r>
      <w:hyperlink w:anchor="3247591" w:history="1">
        <w:r w:rsidRPr="00DB13A3">
          <w:rPr>
            <w:rStyle w:val="Odkaznavysvetlivku"/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>1)</w:t>
        </w:r>
      </w:hyperlink>
    </w:p>
    <w:p w:rsidR="007221F6" w:rsidRPr="00DB13A3" w:rsidRDefault="00200F2E">
      <w:pPr>
        <w:pStyle w:val="Paragraf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4" w:name="3247467"/>
      <w:bookmarkEnd w:id="24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§ 3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br/>
        <w:t>Výpočet hrubej konečnej spotreby elektriny z obnoviteľných zdrojov energie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5" w:name="3247469"/>
      <w:bookmarkEnd w:id="25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(1)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Hrubá konečná spotreba elektriny z obnoviteľných zdrojov energie sa vypočíta ako množstvo elektriny vyrobené z obnoviteľných zdrojov energie s výnimkou výroby elektriny z vody v prečerpávacích vodných elektrárňach, ktorú predtým prečerpali do hornej nádrže.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6" w:name="3247470"/>
      <w:bookmarkEnd w:id="26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(2)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Pri výpočte elektriny v zariadení na výrobu elektriny, ktoré využíva obnoviteľné zdroje energie a neobnoviteľné zdroje energie, sa zohľadňuje len tá časť elektriny, ktorá bola vyrobená z obnoviteľných zdrojov energie. Na účely tohto výpočtu sa podiel každého zdroja energie vypočíta na základe jeho energetického obsahu.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7" w:name="3247471"/>
      <w:bookmarkEnd w:id="27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(3)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Pri výpočte elektriny vyrobenej z vodnej energie a veternej energie sa na účely výpočtu podľa odseku 1 postupuje podľa normalizačných pravidiel uvedených v </w:t>
      </w:r>
      <w:hyperlink w:anchor="3247558" w:history="1">
        <w:r w:rsidRP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prílohe č. 1</w:t>
        </w:r>
      </w:hyperlink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:rsidR="0010783F" w:rsidRPr="00DB13A3" w:rsidRDefault="0010783F" w:rsidP="0010783F">
      <w:pPr>
        <w:pStyle w:val="tl10ptPodaokraja"/>
        <w:autoSpaceDE/>
        <w:autoSpaceDN/>
        <w:ind w:right="63"/>
        <w:rPr>
          <w:i/>
          <w:color w:val="000000" w:themeColor="text1"/>
          <w:sz w:val="24"/>
          <w:szCs w:val="24"/>
        </w:rPr>
      </w:pPr>
      <w:r w:rsidRPr="00DB13A3">
        <w:rPr>
          <w:i/>
          <w:color w:val="000000" w:themeColor="text1"/>
          <w:sz w:val="24"/>
          <w:szCs w:val="24"/>
        </w:rPr>
        <w:t>(4) Elektrina z palív z biomasy sa zohľadňuje na účel uvedený v odseku 1 iba vtedy, ak spĺňa jednu alebo viaceré z týchto požiadaviek:</w:t>
      </w:r>
    </w:p>
    <w:p w:rsidR="0010783F" w:rsidRPr="00DB13A3" w:rsidRDefault="0010783F" w:rsidP="0010783F">
      <w:pPr>
        <w:pStyle w:val="tl10ptPodaokraja"/>
        <w:autoSpaceDE/>
        <w:autoSpaceDN/>
        <w:ind w:right="63"/>
        <w:rPr>
          <w:i/>
          <w:color w:val="000000" w:themeColor="text1"/>
          <w:sz w:val="24"/>
          <w:szCs w:val="24"/>
        </w:rPr>
      </w:pPr>
      <w:r w:rsidRPr="00DB13A3">
        <w:rPr>
          <w:i/>
          <w:color w:val="000000" w:themeColor="text1"/>
          <w:sz w:val="24"/>
          <w:szCs w:val="24"/>
        </w:rPr>
        <w:t>a) vyrába sa v zariadeniach s celkovým menovitým tepelným príkonom nižším ako 50 MW alebo</w:t>
      </w:r>
    </w:p>
    <w:p w:rsidR="0010783F" w:rsidRPr="00DB13A3" w:rsidRDefault="0010783F" w:rsidP="0010783F">
      <w:pPr>
        <w:pStyle w:val="tl10ptPodaokraja"/>
        <w:autoSpaceDE/>
        <w:autoSpaceDN/>
        <w:ind w:right="63"/>
        <w:rPr>
          <w:i/>
          <w:color w:val="000000" w:themeColor="text1"/>
          <w:sz w:val="24"/>
          <w:szCs w:val="24"/>
          <w:shd w:val="clear" w:color="auto" w:fill="FFFFFF"/>
        </w:rPr>
      </w:pPr>
      <w:r w:rsidRPr="00DB13A3">
        <w:rPr>
          <w:i/>
          <w:color w:val="000000" w:themeColor="text1"/>
          <w:sz w:val="24"/>
          <w:szCs w:val="24"/>
        </w:rPr>
        <w:t>b) v prípade zariadení s celkovým menovitým tepelným príkonom od 50 do 100 MW sa vyrába technológiou vysokoúčinnej kombinovanej výroby, alebo v prípade zariadení vyrábajúcich iba elektrinu spĺňa úroveň energetickej efektívnosti súvisiacu s najlepšími dostupnými technológiami (BAT-AEEL) v zmysle vykonávacieho rozhodnutia Komisie (EÚ) 2017/1442;</w:t>
      </w:r>
    </w:p>
    <w:p w:rsidR="0010783F" w:rsidRPr="00DB13A3" w:rsidRDefault="0010783F" w:rsidP="0010783F">
      <w:pPr>
        <w:pStyle w:val="tl10ptPodaokraja"/>
        <w:autoSpaceDE/>
        <w:autoSpaceDN/>
        <w:ind w:right="63"/>
        <w:rPr>
          <w:i/>
          <w:color w:val="000000" w:themeColor="text1"/>
          <w:sz w:val="24"/>
          <w:szCs w:val="24"/>
          <w:shd w:val="clear" w:color="auto" w:fill="FFFFFF"/>
        </w:rPr>
      </w:pPr>
      <w:r w:rsidRPr="00DB13A3">
        <w:rPr>
          <w:i/>
          <w:color w:val="000000" w:themeColor="text1"/>
          <w:sz w:val="24"/>
          <w:szCs w:val="24"/>
          <w:shd w:val="clear" w:color="auto" w:fill="FFFFFF"/>
        </w:rPr>
        <w:t xml:space="preserve">c) </w:t>
      </w:r>
      <w:r w:rsidRPr="00DB13A3">
        <w:rPr>
          <w:i/>
          <w:color w:val="000000" w:themeColor="text1"/>
          <w:sz w:val="24"/>
          <w:szCs w:val="24"/>
        </w:rPr>
        <w:t>v prípade zariadení s celkovým menovitým tepelným príkonom nad 100 MW, sa vyrába technológiou vysokoúčinnej kombinovanej výroby, alebo v prípade zariadení vyrábajúcich iba elektrinu dosahuje čistú elektrickú účinnosť aspoň 36 %;</w:t>
      </w:r>
    </w:p>
    <w:p w:rsidR="0010783F" w:rsidRPr="00DB13A3" w:rsidRDefault="0010783F" w:rsidP="0010783F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</w:pPr>
      <w:r w:rsidRPr="00DB13A3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d) vyrába sa s uplatnením zachytávania a ukladania CO</w:t>
      </w:r>
      <w:r w:rsidRPr="00DB13A3">
        <w:rPr>
          <w:rStyle w:val="sub"/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2</w:t>
      </w:r>
      <w:r w:rsidRPr="00DB13A3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 z biomasy.</w:t>
      </w:r>
    </w:p>
    <w:p w:rsidR="0010783F" w:rsidRPr="00DB13A3" w:rsidRDefault="0010783F" w:rsidP="0010783F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</w:pPr>
      <w:r w:rsidRPr="00DB13A3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(5) Na účel uvedený v odseku 1 sa zariadenia vyrábajúce iba elektrinu zohľadňujú len v prípade, ak nepoužívajú fosílne palivá ako hlavné palivo a len ak nie je k dispozícii nákladovo efektívny potenciál na uplatnenie technológie vysokoúčinnej kombinovanej výroby.</w:t>
      </w:r>
    </w:p>
    <w:p w:rsidR="0010783F" w:rsidRPr="00DB13A3" w:rsidRDefault="0010783F" w:rsidP="0010783F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</w:pPr>
      <w:r w:rsidRPr="00DB13A3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(6) Na účel uvedený v odseku 1 sa odseky 4 a 5 uplatňujú iba na zariadenia, ktoré začínajú prevádzku alebo prechádzajú na využívanie palív z biomasy po 25. decembri 2021.</w:t>
      </w:r>
    </w:p>
    <w:p w:rsidR="007221F6" w:rsidRPr="00DB13A3" w:rsidRDefault="00200F2E">
      <w:pPr>
        <w:pStyle w:val="Paragraf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8" w:name="3247472"/>
      <w:bookmarkEnd w:id="28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§ 4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br/>
        <w:t>Výpočet hrubej konečnej spotreby energie z obnoviteľných zdrojov energie na výrobu tepla a chladu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29" w:name="3247474"/>
      <w:bookmarkEnd w:id="29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(1)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Hrubá konečná spotreba energie z obnoviteľných zdrojov energie na výrobu tepla a chladu sa vypočíta ako súčet množstva energie na diaľkové zásobovanie teplom a chladom z obnoviteľných zdrojov energie a spotreby iných druhov energie z obnoviteľných zdrojov 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>energie v priemysle, domácnostiach, službách, poľnohospodárstve, lesnom a rybnom hospodárstve, na účely vykurovania, chladenia a prevádzky.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0" w:name="3247475"/>
      <w:bookmarkEnd w:id="30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(2)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Aerotermálna energia, geotermálna energia a hydrotermálna energia zachytená tepelnými čerpadlami sa zohľadňuje na účely odseku 1, ak konečný energetický výstup trojnásobne prevyšuje vstup primárnej energie na pohon tepelných čerpadiel. Množstvo tepla považovaného za energiu z obnoviteľných zdrojov energie na účely tejto vyhlášky sa vypočíta podľa metodiky v </w:t>
      </w:r>
      <w:hyperlink w:anchor="3247575" w:history="1">
        <w:r w:rsidRP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prílohe č. 2</w:t>
        </w:r>
      </w:hyperlink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1" w:name="3247476"/>
      <w:bookmarkEnd w:id="31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(3)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Tepelná energia vyrobená pasívnymi energetickými systémami, v ktorých sa nižšia energetická spotreba dosahuje pasívne prostredníctvom projektovania budov alebo z tepla vyrobeného z energie z neobnoviteľných zdrojov energie, sa na účely odseku 1 nezohľadňuje.</w:t>
      </w:r>
    </w:p>
    <w:p w:rsidR="008F19AE" w:rsidRPr="00DB13A3" w:rsidRDefault="008F19AE" w:rsidP="008F19AE">
      <w:pPr>
        <w:pStyle w:val="odsek"/>
        <w:spacing w:before="0" w:after="0"/>
        <w:ind w:firstLine="0"/>
        <w:rPr>
          <w:i/>
          <w:color w:val="000000" w:themeColor="text1"/>
        </w:rPr>
      </w:pPr>
      <w:r w:rsidRPr="00DB13A3">
        <w:rPr>
          <w:i/>
          <w:color w:val="000000" w:themeColor="text1"/>
        </w:rPr>
        <w:t xml:space="preserve">(4) Pri výpočte podielu energie z obnoviteľných zdrojov v odvetví vykurovania a chladenia sa môže započítať odpadové teplo a chlad do výšky 40 % priemerného ročného zvýšenia. </w:t>
      </w:r>
    </w:p>
    <w:p w:rsidR="008F19AE" w:rsidRPr="00DB13A3" w:rsidRDefault="008F19AE" w:rsidP="008F19AE">
      <w:pPr>
        <w:pStyle w:val="odsek"/>
        <w:spacing w:before="0" w:after="0"/>
        <w:ind w:firstLine="0"/>
        <w:rPr>
          <w:i/>
          <w:color w:val="000000" w:themeColor="text1"/>
        </w:rPr>
      </w:pPr>
      <w:r w:rsidRPr="00DB13A3">
        <w:rPr>
          <w:i/>
          <w:color w:val="000000" w:themeColor="text1"/>
        </w:rPr>
        <w:t>(5) Ak je podiel energie z obnoviteľných zdrojov v odvetví vykurovania a chladenia vyšší ako 60 %, započíta sa každý takýto podiel ako splnenie priemerného ročného zvýšenia.</w:t>
      </w:r>
    </w:p>
    <w:p w:rsidR="008F19AE" w:rsidRPr="00DB13A3" w:rsidRDefault="008F19AE" w:rsidP="008F19AE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</w:pPr>
      <w:r w:rsidRPr="00DB13A3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(6) Ak podiel energie z obnoviteľných zdrojov v odvetví vykurovania a chladenia prevyšuje 50 % a dosahuje najviac 60 %, započíta sa každý takýto podiel ako splnenie polovice priemerného ročného zvýšenia.</w:t>
      </w:r>
    </w:p>
    <w:p w:rsidR="007221F6" w:rsidRPr="00DB13A3" w:rsidRDefault="00200F2E">
      <w:pPr>
        <w:pStyle w:val="Paragraf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2" w:name="3247477"/>
      <w:bookmarkEnd w:id="32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§ 5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br/>
        <w:t>Výpočet konečnej spotreby energie z obnoviteľných zdrojov v doprave</w:t>
      </w:r>
    </w:p>
    <w:p w:rsidR="007221F6" w:rsidRPr="00DB13A3" w:rsidRDefault="0070319A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3" w:name="3247479"/>
      <w:bookmarkEnd w:id="33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(1) </w:t>
      </w:r>
      <w:r w:rsidR="00200F2E"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Pri výpočte konečnej spotreby energie z obnoviteľných zdrojov energie v doprave sa zohľadňuje energetický obsah motorových palív uvedený v </w:t>
      </w:r>
      <w:hyperlink w:anchor="3247583" w:history="1">
        <w:r w:rsidR="00200F2E" w:rsidRP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prílohe č. 3</w:t>
        </w:r>
      </w:hyperlink>
      <w:r w:rsidR="00200F2E"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:rsidR="0070319A" w:rsidRPr="00DB13A3" w:rsidRDefault="0070319A" w:rsidP="0070319A">
      <w:pPr>
        <w:pStyle w:val="tl10ptPodaokraja"/>
        <w:autoSpaceDE/>
        <w:autoSpaceDN/>
        <w:ind w:right="63"/>
        <w:rPr>
          <w:color w:val="000000" w:themeColor="text1"/>
          <w:sz w:val="24"/>
          <w:szCs w:val="24"/>
        </w:rPr>
      </w:pPr>
      <w:r w:rsidRPr="00DB13A3">
        <w:rPr>
          <w:color w:val="000000" w:themeColor="text1"/>
          <w:sz w:val="24"/>
          <w:szCs w:val="24"/>
        </w:rPr>
        <w:t>(2) Pri výpočte hrubej konečnej energetickej spotreby energie z obnoviteľných zdrojov a minimálneho podielu v doprave sa podiel z biopalív, biokvapalín alebo palív z biomasy vyrobených z potravinárskych alebo krmovinárskych plodín, pri ktorých hrozí vysoké riziko nepriamej zmeny využívania pôdy a pri ktorých bolo pozorované významné rozšírenie oblasti výroby na pôdu s vysokými zásobami uhlíka, nepresiahnu úroveň spotreby takýchto palív v roku 2019, pokiaľ tieto palivá nie sú certifikované ako biopalivá, biokvapaliny alebo palivá z biomasy s nízkym rizikom nepriamej zmeny využívania pôdy.</w:t>
      </w:r>
    </w:p>
    <w:p w:rsidR="0070319A" w:rsidRPr="00DB13A3" w:rsidRDefault="0070319A">
      <w:pPr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7221F6" w:rsidRPr="00DB13A3" w:rsidRDefault="00200F2E">
      <w:pPr>
        <w:pStyle w:val="Paragraf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4" w:name="3247480"/>
      <w:bookmarkEnd w:id="34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§ 6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br/>
        <w:t>Výpočet národného cieľa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5" w:name="3247482"/>
      <w:bookmarkEnd w:id="35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(1)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DB13A3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Podiel energie z obnoviteľných zdrojov energie </w:t>
      </w:r>
      <w:r w:rsidR="00ED175C" w:rsidRPr="00DB13A3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je určený v integrovanom národnom energetickom a klimatickom pláne (ďalej len „národný cieľ“)</w:t>
      </w:r>
      <w:r w:rsidRPr="00DB13A3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.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6" w:name="3247483"/>
      <w:bookmarkEnd w:id="36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(2)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Pri výpočte národného cieľa sa zohľadňuje vplyv štatistických prenosov a spoločných projektov.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7" w:name="3247484"/>
      <w:bookmarkEnd w:id="37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(3)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Podiel energie z obnoviteľných zdrojov v doprave pre výpočet národného cieľa je najmenej 1</w:t>
      </w:r>
      <w:r w:rsidR="00ED175C"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4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% v roku 20</w:t>
      </w:r>
      <w:r w:rsidR="00ED175C"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30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:rsidR="007221F6" w:rsidRPr="00DB13A3" w:rsidRDefault="00200F2E">
      <w:pPr>
        <w:pStyle w:val="Paragraf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8" w:name="3247485"/>
      <w:bookmarkEnd w:id="38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§ 7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br/>
        <w:t>Vplyv štatistických prenosov a spoločných projektov na výpočet národného cieľa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39" w:name="3247487"/>
      <w:bookmarkEnd w:id="39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(1)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Pri štatistickom prenose sa prenesené množstvo energie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0" w:name="3247488"/>
      <w:bookmarkEnd w:id="40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a)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odpočíta od množstva energie z obnoviteľných zdrojov energie, ktoré sa zohľadňuje pri výpočte národného cieľa, ak sa uskutočňuje prenos energie z obnoviteľných zdrojov energie do iného členského štátu,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1" w:name="3247489"/>
      <w:bookmarkEnd w:id="41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lastRenderedPageBreak/>
        <w:t>b)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pripočíta k množstvu energie z obnoviteľných zdrojov energie, ktoré sa zohľadňuje pri výpočte národného cieľa, ak sa prijíma prenos energie z obnoviteľných zdrojov energie z iného členského štátu.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2" w:name="3247490"/>
      <w:bookmarkEnd w:id="42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(2)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Pri spoločnom projekte medzi členskými štátmi sa oznámené množstvo elektriny, tepla alebo chladu z obnoviteľných zdrojov energie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3" w:name="3247491"/>
      <w:bookmarkEnd w:id="43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a)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odpočíta od množstva elektriny, tepla alebo chladu z obnoviteľných zdrojov energie zohľadňovaného pri výpočte národného cieľa, ak sa podalo oznámenie podľa </w:t>
      </w:r>
      <w:hyperlink r:id="rId8" w:anchor="f3648109" w:history="1">
        <w:r w:rsidRP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§ 9a ods. 4 zákona</w:t>
        </w:r>
      </w:hyperlink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4" w:name="3247492"/>
      <w:bookmarkEnd w:id="44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b)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pripočíta k množstvu elektriny, tepla alebo chladu z obnoviteľných zdrojov energie zohľadňovaného pri výpočte národného cieľa, ak sa prijalo oznámenie podľa </w:t>
      </w:r>
      <w:hyperlink r:id="rId9" w:anchor="f3648109" w:history="1">
        <w:r w:rsidRP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§ 9a ods. 4 zákona</w:t>
        </w:r>
      </w:hyperlink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5" w:name="3247493"/>
      <w:bookmarkEnd w:id="45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(3)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Pri spoločnom projekte medzi členskými štátmi a tretím štátom sa množstvo elektriny z obnoviteľných zdrojov energie pripočíta k množstvu elektriny z obnoviteľných zdrojov energie zohľadňovanému pri výpočte národného cieľa, ak sú splnené podmienky podľa </w:t>
      </w:r>
      <w:hyperlink w:anchor="3247518" w:history="1">
        <w:r w:rsidRP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§ 10</w:t>
        </w:r>
      </w:hyperlink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:rsidR="007221F6" w:rsidRPr="00DB13A3" w:rsidRDefault="00200F2E">
      <w:pPr>
        <w:pStyle w:val="Paragraf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6" w:name="3247494"/>
      <w:bookmarkEnd w:id="46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§ 8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br/>
        <w:t>Výpočet podielu energie z obnoviteľných zdrojov v doprave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7" w:name="3247496"/>
      <w:bookmarkEnd w:id="47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(1)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Podiel energie z obnoviteľných zdrojov v doprave sa vypočíta ako podiel množstva energie z obnoviteľných zdrojov spotrebovanej v doprave a celkového množstva energie spotrebovanej v doprave.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48" w:name="3247497"/>
      <w:bookmarkEnd w:id="48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(2)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Pri výpočte množstva energie z obnoviteľných zdrojov spotrebovanej v doprave sa na účely výpočtu podľa odseku 1 zohľadňujú všetky druhy energie z obnoviteľných zdrojov spotrebovanej vo všetkých formách dopravy.</w:t>
      </w:r>
    </w:p>
    <w:p w:rsidR="007221F6" w:rsidRPr="00E54166" w:rsidRDefault="00200F2E" w:rsidP="00DB13A3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</w:pPr>
      <w:bookmarkStart w:id="49" w:name="3247498"/>
      <w:bookmarkEnd w:id="49"/>
      <w:r w:rsidRPr="00E5416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k-SK"/>
        </w:rPr>
        <w:t>(3)</w:t>
      </w:r>
      <w:r w:rsidRPr="00E54166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 Pri výpočte celkového množstva energie spotrebovanej v doprave podľa odseku 1 sa zohľadňuje</w:t>
      </w:r>
    </w:p>
    <w:p w:rsidR="007221F6" w:rsidRPr="003F38C4" w:rsidRDefault="00200F2E">
      <w:pPr>
        <w:ind w:left="568" w:hanging="284"/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</w:pPr>
      <w:bookmarkStart w:id="50" w:name="11188493"/>
      <w:bookmarkEnd w:id="50"/>
      <w:r w:rsidRPr="003F38C4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a) </w:t>
      </w:r>
      <w:r w:rsidR="00E54166" w:rsidRPr="003F38C4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energetický obsah </w:t>
      </w:r>
      <w:r w:rsidRPr="003F38C4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benzín</w:t>
      </w:r>
      <w:r w:rsidR="00E54166" w:rsidRPr="003F38C4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u</w:t>
      </w:r>
      <w:r w:rsidRPr="003F38C4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, motorov</w:t>
      </w:r>
      <w:r w:rsidR="00E54166" w:rsidRPr="003F38C4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ej</w:t>
      </w:r>
      <w:r w:rsidRPr="003F38C4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 naft</w:t>
      </w:r>
      <w:r w:rsidR="00E54166" w:rsidRPr="003F38C4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y,</w:t>
      </w:r>
      <w:r w:rsidRPr="003F38C4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 </w:t>
      </w:r>
      <w:r w:rsidR="00E54166" w:rsidRPr="003F38C4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zemného plynu, biopalív, bioplynu, kvapalných a plynných palív z obnoviteľných zdrojov nebiologického pôvodu</w:t>
      </w:r>
      <w:r w:rsidR="003F38C4" w:rsidRPr="003F38C4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 a</w:t>
      </w:r>
      <w:r w:rsidR="00E54166" w:rsidRPr="003F38C4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 paliv</w:t>
      </w:r>
      <w:r w:rsidR="003F38C4" w:rsidRPr="003F38C4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a</w:t>
      </w:r>
      <w:r w:rsidR="00E54166" w:rsidRPr="003F38C4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 s obsahom recyklovaného uhlíka </w:t>
      </w:r>
      <w:r w:rsidRPr="003F38C4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spotrebované v cestnej doprave a železničnej doprave a</w:t>
      </w:r>
    </w:p>
    <w:p w:rsidR="003F38C4" w:rsidRPr="003F38C4" w:rsidRDefault="00200F2E">
      <w:pPr>
        <w:ind w:left="568" w:hanging="284"/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</w:pPr>
      <w:bookmarkStart w:id="51" w:name="11188494"/>
      <w:bookmarkEnd w:id="51"/>
      <w:r w:rsidRPr="003F38C4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b) elektrina </w:t>
      </w:r>
      <w:r w:rsidR="003F38C4" w:rsidRPr="003F38C4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dodaná v </w:t>
      </w:r>
      <w:r w:rsidR="00E54166" w:rsidRPr="003F38C4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cestnej </w:t>
      </w:r>
      <w:r w:rsidRPr="003F38C4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doprave </w:t>
      </w:r>
      <w:r w:rsidR="003F38C4" w:rsidRPr="003F38C4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a železničnej doprave.</w:t>
      </w:r>
    </w:p>
    <w:p w:rsidR="00A2621E" w:rsidRPr="00DB13A3" w:rsidRDefault="00DB13A3" w:rsidP="00DB13A3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</w:pPr>
      <w:bookmarkStart w:id="52" w:name="3247499"/>
      <w:bookmarkEnd w:id="52"/>
      <w:r w:rsidRPr="00DB13A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k-SK"/>
        </w:rPr>
        <w:t xml:space="preserve"> </w:t>
      </w:r>
      <w:r w:rsidR="00A2621E" w:rsidRPr="00DB13A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k-SK"/>
        </w:rPr>
        <w:t>(4)</w:t>
      </w:r>
      <w:r w:rsidR="00A2621E" w:rsidRPr="00DB13A3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 xml:space="preserve"> Pri výpočte príspevku elektriny z obnoviteľných zdrojov energie spotrebovanej vo všetkých typoch vozidiel na elektrický pohon alebo na výrobu kvapalných alebo plynných motorových palív z obnoviteľných zdrojov energie nebiologického pôvodu sa použije podiel elektriny z obnoviteľných zdrojov energie v Slovenskej republike dosiahnutý dva roky pred rokom výpočtu.</w:t>
      </w:r>
      <w:r w:rsidR="00A2621E"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="00A2621E" w:rsidRPr="00DB13A3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V prípade elektriny získavanej z priameho prepojenia na zariadenie vyrábajúce elektrinu z obnoviteľných zdrojov a dodávanej cestným vozidlám, sa táto elektrina plne započíta ako elektrina z obnoviteľných zdrojov energie.</w:t>
      </w:r>
    </w:p>
    <w:p w:rsidR="00A2621E" w:rsidRPr="00DB13A3" w:rsidRDefault="00A2621E" w:rsidP="00A2621E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sk-SK"/>
        </w:rPr>
      </w:pPr>
      <w:bookmarkStart w:id="53" w:name="3247502"/>
      <w:bookmarkEnd w:id="53"/>
      <w:r w:rsidRPr="00DB13A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sk-SK"/>
        </w:rPr>
        <w:t>(5) Pri výpočte podľa odseku 2 sa množstvo elektriny z obnoviteľných zdrojov energie počíta ako</w:t>
      </w:r>
    </w:p>
    <w:p w:rsidR="00A2621E" w:rsidRPr="00DB13A3" w:rsidRDefault="00A2621E" w:rsidP="00A2621E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sk-SK"/>
        </w:rPr>
      </w:pPr>
      <w:bookmarkStart w:id="54" w:name="_Hlk97979001"/>
      <w:r w:rsidRPr="00DB13A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sk-SK"/>
        </w:rPr>
        <w:t>a) 1,5-násobok energetického obsahu elektriny z obnoviteľných zdrojov energie spotrebovanej elektrifikovanou železničnou dopravou,</w:t>
      </w:r>
    </w:p>
    <w:p w:rsidR="00A2621E" w:rsidRPr="00DB13A3" w:rsidRDefault="00A2621E" w:rsidP="00A2621E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sk-SK"/>
        </w:rPr>
      </w:pPr>
      <w:r w:rsidRPr="00DB13A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sk-SK"/>
        </w:rPr>
        <w:t>b) 4-násobok energetického obsahu elektriny z obnoviteľných zdrojov energie spotrebovanej cestnými vozidlami na elektrický pohon.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5" w:name="3247503"/>
      <w:bookmarkEnd w:id="54"/>
      <w:bookmarkEnd w:id="55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(6)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Pri výpočte podľa odseku 2 sa príspevok biopalív vyrobených z použitého kuchynského oleja, živočíšnych tukov zaradených do kategórií 1 a 2 podľa osobitného predpisu</w:t>
      </w:r>
      <w:hyperlink w:anchor="11188510" w:history="1">
        <w:r w:rsidRPr="00DB13A3">
          <w:rPr>
            <w:rStyle w:val="Odkaznavysvetlivku"/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>2)</w:t>
        </w:r>
      </w:hyperlink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 pokročilých biopalív podľa </w:t>
      </w:r>
      <w:hyperlink r:id="rId10" w:anchor="f4723942" w:history="1">
        <w:r w:rsidRP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§ 14f ods. 1 zákona</w:t>
        </w:r>
      </w:hyperlink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započíta dvojnásobne.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6" w:name="3247504"/>
      <w:bookmarkEnd w:id="56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lastRenderedPageBreak/>
        <w:t>(7)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Na účely výpočtu podielu energie z obnoviteľných zdrojov v doprave sa zohľadňuje energetický obsah motorových palív uvedený v </w:t>
      </w:r>
      <w:hyperlink w:anchor="3247583" w:history="1">
        <w:r w:rsidRP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prílohe č. 3</w:t>
        </w:r>
      </w:hyperlink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:rsidR="00DB13A3" w:rsidRDefault="00200F2E" w:rsidP="00A2621E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7" w:name="11188502"/>
      <w:bookmarkEnd w:id="57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(8)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Pri výpočte podľa odseku 2 sa nezapočíta príspevok biopalív a biokvapalín vyrobených z plodín bohatých na škrob, olejnín a plodín, ktoré sa pestujú ako hlavné plodiny najmä na energetické účely na poľnohospodárskej pôde, presahujúci 7 % podielu energie z obnoviteľných zdrojov energie v doprave.</w:t>
      </w:r>
    </w:p>
    <w:p w:rsidR="00A2621E" w:rsidRPr="00DB13A3" w:rsidRDefault="00A2621E" w:rsidP="00A2621E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DB13A3"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  <w:t>(9) Pri výpočte čitateľa sa podiel z biopalív a bioplynu vyrábaných zo surovín uvedených v časti B prílohy IX, obmedzí na 1,7 % energetického obsahu palív v doprave dodávaných na spotrebu alebo použitie na trhu.</w:t>
      </w:r>
    </w:p>
    <w:p w:rsidR="00A2621E" w:rsidRPr="00DB13A3" w:rsidRDefault="00A2621E" w:rsidP="00A2621E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sk-SK"/>
        </w:rPr>
      </w:pPr>
      <w:r w:rsidRPr="00DB13A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sk-SK"/>
        </w:rPr>
        <w:t>(10) Pri výpočte podľa odseku 2 sa príspevok palív dodávaných do odvetvia leteckej a námornej dopravy považuje za 1,2 násobok ich energetického obsahu, ak neboli vyrobené z potravinárskych a krmovinárskych plodín</w:t>
      </w:r>
    </w:p>
    <w:p w:rsidR="00A2621E" w:rsidRPr="00DB13A3" w:rsidRDefault="00A2621E" w:rsidP="00A2621E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sk-SK"/>
        </w:rPr>
      </w:pPr>
    </w:p>
    <w:p w:rsidR="00A2621E" w:rsidRPr="00DB13A3" w:rsidRDefault="00A2621E">
      <w:pPr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</w:p>
    <w:p w:rsidR="007221F6" w:rsidRPr="00DB13A3" w:rsidRDefault="00200F2E">
      <w:pPr>
        <w:pStyle w:val="Paragraf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8" w:name="3247505"/>
      <w:bookmarkEnd w:id="58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§ 9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br/>
        <w:t>Obsah oznámenia o spoločnom projekte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59" w:name="3247507"/>
      <w:bookmarkEnd w:id="59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(1)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Oznámenie o spoločnom projekte medzi členskými štátmi obsahuje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0" w:name="3247508"/>
      <w:bookmarkEnd w:id="60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a)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popis navrhovaného zariadenia alebo názov rekonštruovaného zariadenia,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1" w:name="3247509"/>
      <w:bookmarkEnd w:id="61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b)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podiel alebo množstvo elektriny, tepla alebo chladu vyrobeného v tomto zariadení, ktoré sa má započítať do národného cieľa iného členského štátu,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2" w:name="3247510"/>
      <w:bookmarkEnd w:id="62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c)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členský štát, v ktorého prospech sa oznámenie podáva,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3" w:name="3247511"/>
      <w:bookmarkEnd w:id="63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d)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obdobie v celých kalendárnych rokoch, počas ktorého sa má elektrina, teplo alebo chlad vyrobené z obnoviteľných zdrojov energie v tomto zariadení započítať do národného cieľa iného členského štátu.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4" w:name="3247512"/>
      <w:bookmarkEnd w:id="64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(2)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Oznámenie o spoločnom projekte medzi členskými štátmi a tretím štátom obsahuje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5" w:name="3247513"/>
      <w:bookmarkEnd w:id="65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a)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popis navrhovaného zariadenia alebo názov rekonštruovaného zariadenia,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6" w:name="3247514"/>
      <w:bookmarkEnd w:id="66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b)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podiel alebo množstvo elektriny vyrobenej v tomto zariadení, ktoré sa má započítať do národného cieľa členského štátu, a pri dodržaní požiadaviek na zachovanie dôvernosti sa uvedú aj súvisiace finančné dojednania,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7" w:name="3247515"/>
      <w:bookmarkEnd w:id="67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c)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obdobie v celých kalendárnych rokoch, počas ktorého sa má elektrina započítavať do národného cieľa členského štátu,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8" w:name="3247516"/>
      <w:bookmarkEnd w:id="68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d)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písomný súhlas tretieho štátu, na ktorého území sa má zariadenie prevádzkovať, so skutočnosťami uvedenými v písmenách b) a c) a a vyhlásenie o podiele alebo množstve elektriny vyrobenej v zariadení, ktorá sa použije v tomto treťom štáte.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69" w:name="3247517"/>
      <w:bookmarkEnd w:id="69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(3)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Ak je zvýšený výkon zariadenia, ktoré je obsahom oznámenia podľa odsekov 1 a 2, množstvo energie, ktoré sa vzťahuje na zvýšený výkon, sa považuje za množstvo energie vyrobené iným zariadením.</w:t>
      </w:r>
    </w:p>
    <w:p w:rsidR="007221F6" w:rsidRPr="00DB13A3" w:rsidRDefault="00200F2E">
      <w:pPr>
        <w:pStyle w:val="Paragraf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0" w:name="3247518"/>
      <w:bookmarkEnd w:id="70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§ 10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br/>
        <w:t>Podmienky pre započítanie elektriny vyrobenej z obnoviteľných zdrojov energie v tretích štátoch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1" w:name="3247520"/>
      <w:bookmarkEnd w:id="71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(1)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Podmienky pre započítanie elektriny vyrobenej z obnoviteľných zdrojov energie v tretích štátoch pri výpočte národného cieľa sú tieto: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2" w:name="3247521"/>
      <w:bookmarkEnd w:id="72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a)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elektrina sa spotrebúva v Európskej únii,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3" w:name="3247522"/>
      <w:bookmarkEnd w:id="73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lastRenderedPageBreak/>
        <w:t>b)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elektrina sa vyrába v zariadení, ktoré bolo uvedené do prevádzky po 25. júni 2009 alebo sa vyrába zo zvýšenej kapacity zariadenia, ktoré bolo rekonštruované po 25. júni 2009 v rámci spoločného projektu,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4" w:name="3247523"/>
      <w:bookmarkEnd w:id="74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c)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množstvo vyrobenej a vyvezenej elektriny nezískalo podporu zo systému podpory tretieho štátu s výnimkou investičnej pomoci udelenej zariadeniu.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5" w:name="3247524"/>
      <w:bookmarkEnd w:id="75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(2)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Požiadavka podľa odseku 1 písm. a) sa považuje za splnenú, ak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6" w:name="3247525"/>
      <w:bookmarkEnd w:id="76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a)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všetci príslušní prevádzkovatelia prenosovej sústavy v krajine pôvodu, krajine určenia a v prípade potreby aj v každom treťom štáte tranzitu pevne určili množstvo elektriny, ktoré zodpovedá započítanej elektrine, do pridelenej kapacity spojenia,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7" w:name="3247526"/>
      <w:bookmarkEnd w:id="77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b)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príslušný prevádzkovateľ prenosovej sústavy na strane členské štátu v rámci spojovacieho vedenia pevne zaregistroval do plánovaného stavu ekvivalent množstva elektriny, ktoré zodpovedá započítanej elektrine,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8" w:name="3247527"/>
      <w:bookmarkEnd w:id="78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c)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určená kapacita a výroba elektriny z obnoviteľných zdrojov energie v zariadení uvedenom v odseku 1 písm. b) sa týkajú rovnakého časového obdobia.</w:t>
      </w:r>
    </w:p>
    <w:p w:rsidR="007221F6" w:rsidRPr="00DB13A3" w:rsidRDefault="00200F2E">
      <w:pPr>
        <w:pStyle w:val="Paragraf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79" w:name="3247528"/>
      <w:bookmarkEnd w:id="79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§ 11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br/>
        <w:t>Obsah správy o pokroku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0" w:name="3247530"/>
      <w:bookmarkEnd w:id="80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(1)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Správa o pokroku zasielaná Ministerstvom hospodárstva Slovenskej republiky podľa </w:t>
      </w:r>
      <w:hyperlink r:id="rId11" w:anchor="f3648474" w:history="1">
        <w:r w:rsidRP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§ 18c ods. 4 zákona</w:t>
        </w:r>
      </w:hyperlink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obsahuje informácie o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1" w:name="3247531"/>
      <w:bookmarkEnd w:id="81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a)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odvetvových podieloch a celkových podieloch energie z obnoviteľných zdrojov energie za predchádzajúce dva kalendárne roky a o opatreniach prijatých alebo plánovaných na vnútroštátnej úrovni a zameraných na podporu rastu využívania energie z obnoviteľných zdrojov energie s ohľadom na orientačnú trajektóriu,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2" w:name="3247532"/>
      <w:bookmarkEnd w:id="82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b)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zavedení a fungovaní systémov podpory a iných opatrení zameraných na podporu využívania energie z obnoviteľných zdrojov energie a o akomkoľvek vývoji týkajúcom sa opatrení, ktoré boli použité so zreteľom na opatrenia stanovené v národných akčných plánoch členských štátov pre energiu z obnoviteľných zdrojov energie, a informácie o prideľovaní podporovanej elektriny koncovým spotrebiteľom,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3" w:name="3247533"/>
      <w:bookmarkEnd w:id="83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c)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tom, ako v uplatniteľných prípadoch v štruktúre svojich systémov podpory sa zohľadňuje spôsob využitia energie z obnoviteľných zdrojov energie, ktoré poskytujú dodatočný prínos vo vzťahu k iným, porovnateľným spôsobom, ale môžu byť aj nákladnejšie, vrátane biopalív vyrobených z odpadov, zvyškov, nepotravinárskych celulózových materiálov a z lignocelulózových materiálov,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4" w:name="3247534"/>
      <w:bookmarkEnd w:id="84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d)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fungovaní systému záruk o pôvode pre elektrinu, teplo a chlad z obnoviteľných zdrojov energie a o opatreniach prijatých na zaistenie spoľahlivosti systému a jeho ochrany proti podvodom,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5" w:name="3247535"/>
      <w:bookmarkEnd w:id="85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e)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pokroku vykonanom v hodnotení a zlepšovaní administratívnych postupov s cieľom odstrániť regulačné a neregulačné prekážky rozvoja energie z obnoviteľných zdrojov energie,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6" w:name="3247536"/>
      <w:bookmarkEnd w:id="86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f)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opatreniach prijatých na zaistenie prenosu a distribúcie elektriny vyrobenej z obnoviteľných zdrojov energie a na zlepšenie rámca alebo pravidiel znášania a rozdelenia nákladov medzi výrobcom elektriny a prevádzkovateľa distribučnou spoločnosťou,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7" w:name="3247537"/>
      <w:bookmarkEnd w:id="87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g)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vývoji v oblasti dostupnosti a využitia zdrojov biomasy na energetické účely,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8" w:name="3247538"/>
      <w:bookmarkEnd w:id="88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h)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zmenách cien komodít a využitia pôdy, ktoré sú spojené so zvýšeným využitím biomasy a iných foriem energie z obnoviteľných zdrojov energie,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89" w:name="3247539"/>
      <w:bookmarkEnd w:id="89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lastRenderedPageBreak/>
        <w:t>i)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vývoji a podiele biopalív vyrobených z odpadov, zvyškov, nepotravinárskych celulózových materiálov a lignocelulózových materiálov,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0" w:name="3247540"/>
      <w:bookmarkEnd w:id="90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i)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vývoji a podiele biopalív vyrobených z použitého kuchynského oleja, živočíšnych tukov zaradených do kategórií 1 a 2 podľa osobitného predpisu</w:t>
      </w:r>
      <w:hyperlink w:anchor="11188510" w:history="1">
        <w:r w:rsidRPr="00DB13A3">
          <w:rPr>
            <w:rStyle w:val="Odkaznavysvetlivku"/>
            <w:rFonts w:ascii="Times New Roman" w:hAnsi="Times New Roman" w:cs="Times New Roman"/>
            <w:color w:val="000000" w:themeColor="text1"/>
            <w:sz w:val="24"/>
            <w:szCs w:val="24"/>
            <w:lang w:val="sk-SK"/>
          </w:rPr>
          <w:t>2)</w:t>
        </w:r>
      </w:hyperlink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a zo surovín uvedených v </w:t>
      </w:r>
      <w:hyperlink r:id="rId12" w:anchor="f4723992" w:history="1">
        <w:r w:rsidRP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prílohe č. 1a zákona</w:t>
        </w:r>
      </w:hyperlink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vrátane posúdenia zdrojov, ktoré je zamerané na aspekty trvalej udržateľnosti účinkov nahradenia potravinových produktov a krmivových produktov výrobou biopalív, a to s náležitým ohľadom na zásady hierarchie odpadového hospodárstva a zásadu kaskádového využívania biomasy, pričom sa prihliada na miestne hospodárske podmienky, miestne technologické podmienky a zachovanie potrebnej zásoby uhlíka v pôde a kvality pôdy a ekosystémov,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1" w:name="3247541"/>
      <w:bookmarkEnd w:id="91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k)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odhadovaných úsporách emisií skleníkových plynov vyplývajúcich z využitia energie z obnoviteľných zdrojov energie,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2" w:name="3247542"/>
      <w:bookmarkEnd w:id="92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l)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odhadovanom množstve energie z obnoviteľných zdrojov energie, ktorá sa vyrobí navyše oproti množstvu uvedenému v orientačnej trajektórii, ktoré by sa mohlo preniesť do iných členských štátov, ako aj o odhadovanom potenciáli pre spoločné projekty do roku 2020,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3" w:name="3247543"/>
      <w:bookmarkEnd w:id="93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m)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odhadovanom dopyte po energii z obnoviteľných zdrojov energie, ktorý sa do roku 2020 pokryje inak ako domácou produkciou,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4" w:name="3247544"/>
      <w:bookmarkEnd w:id="94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n)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tom ako sa odhadoval podiel biologicky odbúrateľného odpadu v odpade využívanom na výrobu energie a o tom aké kroky sa podnikli na zlepšenie a overenie týchto odhadov,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5" w:name="11188505"/>
      <w:bookmarkEnd w:id="95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o)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množstve biopalív a biokvapalín zohľadnenom pri výpočte podielu podľa </w:t>
      </w:r>
      <w:hyperlink w:anchor="3247496" w:history="1">
        <w:r w:rsidRP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§ 8 ods. 1</w:t>
        </w:r>
      </w:hyperlink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 vyjadrenom v energetických jednotkách, v členení podľa surovín:</w:t>
      </w:r>
    </w:p>
    <w:p w:rsidR="007221F6" w:rsidRPr="00DB13A3" w:rsidRDefault="00200F2E">
      <w:pPr>
        <w:ind w:left="852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6" w:name="11188506"/>
      <w:bookmarkEnd w:id="96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1.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obilniny a iné plodiny bohaté na škrob,</w:t>
      </w:r>
    </w:p>
    <w:p w:rsidR="007221F6" w:rsidRPr="00DB13A3" w:rsidRDefault="00200F2E">
      <w:pPr>
        <w:ind w:left="852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7" w:name="11188507"/>
      <w:bookmarkEnd w:id="97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2.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cukornaté plodiny,</w:t>
      </w:r>
    </w:p>
    <w:p w:rsidR="007221F6" w:rsidRPr="00DB13A3" w:rsidRDefault="00200F2E">
      <w:pPr>
        <w:ind w:left="852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8" w:name="11188508"/>
      <w:bookmarkEnd w:id="98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3.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olejniny.</w:t>
      </w:r>
    </w:p>
    <w:p w:rsidR="007221F6" w:rsidRPr="00DB13A3" w:rsidRDefault="00200F2E" w:rsidP="00DB13A3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99" w:name="3247545"/>
      <w:bookmarkEnd w:id="99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(2)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 správe o pokroku, ktorá sa predloží do 31. decembra 2011, sa okrem informácií v odseku 1 uvedie, či sa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00" w:name="3247546"/>
      <w:bookmarkEnd w:id="100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a)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vytvorí jeden správny orgán zodpovedný za spracovanie žiadostí o schválenie, udelenia osvedčení a povolení týkajúcich sa zariadení na výrobu energie z obnoviteľných zdrojov energie a poskytujúci pomoc žiadateľom,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01" w:name="3247547"/>
      <w:bookmarkEnd w:id="101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b)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zavedie automatické schvaľovanie žiadostí týkajúcich sa plánovania a povolenia pre zariadenia na výrobu energie z obnoviteľných zdrojov energie, ak schvaľovací orgán nereagoval na žiadosť v stanovenej lehote, alebo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02" w:name="3247548"/>
      <w:bookmarkEnd w:id="102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c)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určia zemepisné oblasti vhodné na využitie energie z obnoviteľných zdrojov energie pri plánovaní využitia pôdy a pri vytváraní systémov diaľkového zásobovania teplom a chladom.</w:t>
      </w:r>
    </w:p>
    <w:p w:rsidR="007221F6" w:rsidRPr="00DB13A3" w:rsidRDefault="00200F2E">
      <w:pPr>
        <w:pStyle w:val="Nadpis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03" w:name="3247550"/>
      <w:bookmarkEnd w:id="103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Záverečné ustanovenia</w:t>
      </w:r>
    </w:p>
    <w:p w:rsidR="007221F6" w:rsidRPr="00DB13A3" w:rsidRDefault="00200F2E">
      <w:pPr>
        <w:pStyle w:val="Paragraf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04" w:name="3247551"/>
      <w:bookmarkEnd w:id="104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§ 12</w:t>
      </w:r>
    </w:p>
    <w:p w:rsidR="007221F6" w:rsidRPr="00DB13A3" w:rsidRDefault="00200F2E">
      <w:pPr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05" w:name="3247552"/>
      <w:bookmarkEnd w:id="105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Touto vyhláškou sa preberajú právne záväzné akty Európskej únie uvedené v </w:t>
      </w:r>
      <w:hyperlink w:anchor="3247586" w:history="1">
        <w:r w:rsidRP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prílohe č. 4</w:t>
        </w:r>
      </w:hyperlink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:rsidR="007221F6" w:rsidRPr="00DB13A3" w:rsidRDefault="00200F2E">
      <w:pPr>
        <w:pStyle w:val="Paragraf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06" w:name="3247553"/>
      <w:bookmarkEnd w:id="106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§ 13</w:t>
      </w:r>
    </w:p>
    <w:p w:rsidR="007221F6" w:rsidRPr="00DB13A3" w:rsidRDefault="00200F2E">
      <w:pPr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07" w:name="3247554"/>
      <w:bookmarkEnd w:id="107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Táto vyhláška nadobúda účinnosť </w:t>
      </w:r>
      <w:r w:rsid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... 2022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</w:t>
      </w:r>
    </w:p>
    <w:p w:rsidR="00DB13A3" w:rsidRDefault="00DB13A3">
      <w:pPr>
        <w:pStyle w:val="Priloha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08" w:name="3247556"/>
      <w:bookmarkStart w:id="109" w:name="3247558"/>
      <w:bookmarkEnd w:id="108"/>
      <w:bookmarkEnd w:id="109"/>
    </w:p>
    <w:p w:rsidR="007221F6" w:rsidRPr="00DB13A3" w:rsidRDefault="00200F2E" w:rsidP="00DB13A3">
      <w:pPr>
        <w:pStyle w:val="Priloha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 xml:space="preserve">Príloha č. 1 k vyhláške č. </w:t>
      </w:r>
      <w:r w:rsid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../2022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Z. z.</w:t>
      </w:r>
    </w:p>
    <w:p w:rsidR="007221F6" w:rsidRPr="00DB13A3" w:rsidRDefault="00200F2E">
      <w:pPr>
        <w:pStyle w:val="Nadpis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10" w:name="3247559"/>
      <w:bookmarkEnd w:id="110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NORMALIZAČNÉ VZORCE NA ZAPOČÍTANIE ELEKTRINY VYRÁBANEJ Z VODNEJ A VETERNEJ ENERGIE</w:t>
      </w:r>
    </w:p>
    <w:p w:rsidR="007221F6" w:rsidRPr="00DB13A3" w:rsidRDefault="00200F2E">
      <w:pPr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11" w:name="3247560"/>
      <w:bookmarkEnd w:id="111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(1)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Na účely započítania elektriny vyrábanej vo vodných elektrárňach sa uplatňuje vzorec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12" w:name="3247561"/>
      <w:bookmarkEnd w:id="112"/>
      <w:r w:rsidRPr="00DB13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k-SK" w:eastAsia="sk-SK"/>
        </w:rPr>
        <w:drawing>
          <wp:inline distT="0" distB="0" distL="0" distR="0" wp14:anchorId="7DDA4D54" wp14:editId="3AD58DFF">
            <wp:extent cx="4486275" cy="1123950"/>
            <wp:effectExtent l="19050" t="0" r="0" b="0"/>
            <wp:docPr id="1000001" name="2011c119z0373v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1" name="2011c119z0373v01" descr="Vzorec 0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13" w:name="3247562"/>
      <w:bookmarkEnd w:id="113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kde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14" w:name="3247563"/>
      <w:bookmarkEnd w:id="114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 – referenčný rok,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15" w:name="3247564"/>
      <w:bookmarkEnd w:id="115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Q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sk-SK"/>
        </w:rPr>
        <w:t>N(norm)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– normalizované množstvo elektriny na účely započítania vyrobenej vo všetkých vodných elektrárňach členského štátu za rok N,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16" w:name="3247565"/>
      <w:bookmarkEnd w:id="116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Q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sk-SK"/>
        </w:rPr>
        <w:t>i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– množstvo elektriny skutočne vyrobenej vo všetkých vodných elektrárňach členského štátu za rok i, merané v GWh, okrem výroby prostredníctvom prečerpávacích vodných elektrární z vody, ktorú predtým prečerpali do hornej nádrže,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17" w:name="3247566"/>
      <w:bookmarkEnd w:id="117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sk-SK"/>
        </w:rPr>
        <w:t>i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– celková inštalovaná kapacita všetkých vodných elektrární členského štátu na konci roku i bez prečerpania, meraná v MW.</w:t>
      </w:r>
    </w:p>
    <w:p w:rsidR="007221F6" w:rsidRPr="00DB13A3" w:rsidRDefault="00200F2E">
      <w:pPr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18" w:name="3247567"/>
      <w:bookmarkEnd w:id="118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(2)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Na účely započítania elektriny vyrábanej z veternej energie sa uplatňuje vzorec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19" w:name="3247568"/>
      <w:bookmarkEnd w:id="119"/>
      <w:r w:rsidRPr="00DB13A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k-SK" w:eastAsia="sk-SK"/>
        </w:rPr>
        <w:drawing>
          <wp:inline distT="0" distB="0" distL="0" distR="0" wp14:anchorId="2DB53A7E" wp14:editId="1C91B8DC">
            <wp:extent cx="5810250" cy="2038349"/>
            <wp:effectExtent l="19050" t="0" r="0" b="0"/>
            <wp:docPr id="1000002" name="2011c119z0373v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2" name="2011c119z0373v02" descr="Vzorec 0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03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20" w:name="3247569"/>
      <w:bookmarkEnd w:id="120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kde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21" w:name="3247570"/>
      <w:bookmarkEnd w:id="121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 – referenčný rok,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22" w:name="3247571"/>
      <w:bookmarkEnd w:id="122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Q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sk-SK"/>
        </w:rPr>
        <w:t>N(norm)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– normalizované množstvo elektriny na účely započítania vyrobenej vo všetkých veterných elektrárňach členského štátu v roku N,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23" w:name="3247572"/>
      <w:bookmarkEnd w:id="123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Q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sk-SK"/>
        </w:rPr>
        <w:t>i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– množstvo elektriny skutočne vyrobenej vo všetkých veterných elektrárňach členského štátu v roku i, merané v GWh,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24" w:name="3247573"/>
      <w:bookmarkEnd w:id="124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C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sk-SK"/>
        </w:rPr>
        <w:t>j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– celková inštalovaná kapacita všetkých veterných elektrární členského štátu na konci roku j, meraná v MW,</w:t>
      </w:r>
    </w:p>
    <w:p w:rsidR="007221F6" w:rsidRPr="00DB13A3" w:rsidRDefault="00200F2E">
      <w:pPr>
        <w:ind w:left="568" w:hanging="284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25" w:name="3247574"/>
      <w:bookmarkEnd w:id="125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n – 4 alebo počet rokov, ktoré predchádzali roku N, za ktorý sú k dispozícii údaje o kapacite a výrobe pre daný členský štát, podľa toho, ktorá hodnota je nižšia.</w:t>
      </w:r>
    </w:p>
    <w:p w:rsidR="007221F6" w:rsidRPr="00DB13A3" w:rsidRDefault="00200F2E" w:rsidP="00DB13A3">
      <w:pPr>
        <w:pStyle w:val="Priloha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26" w:name="3247575"/>
      <w:bookmarkEnd w:id="126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Príloha č. 2 k vyhláške č. </w:t>
      </w:r>
      <w:r w:rsid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...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/20</w:t>
      </w:r>
      <w:r w:rsid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22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Z. z.</w:t>
      </w:r>
    </w:p>
    <w:p w:rsidR="007221F6" w:rsidRPr="00DB13A3" w:rsidRDefault="00200F2E">
      <w:pPr>
        <w:pStyle w:val="Nadpis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27" w:name="3247576"/>
      <w:bookmarkEnd w:id="127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>METODIKA PRE ZAPOČÍTANIE ENERGIE Z TEPELNÝCH ČERPADIEL</w:t>
      </w:r>
    </w:p>
    <w:p w:rsidR="007221F6" w:rsidRPr="00DB13A3" w:rsidRDefault="00200F2E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28" w:name="3247577"/>
      <w:bookmarkEnd w:id="128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Množstvo aerotermálnej energie, geotermálnej energie a hydrotermálnej energie zachytenej tepelnými čerpadlami, ktorá sa považuje za energiu z obnoviteľných zdrojov energie na účely tejto vyhlášky, E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sk-SK"/>
        </w:rPr>
        <w:t>RES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, sa vypočíta podľa vzorca</w:t>
      </w:r>
    </w:p>
    <w:p w:rsidR="007221F6" w:rsidRPr="00DB13A3" w:rsidRDefault="00200F2E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29" w:name="3247578"/>
      <w:bookmarkEnd w:id="129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sk-SK"/>
        </w:rPr>
        <w:t>RES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= Q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sk-SK"/>
        </w:rPr>
        <w:t>využiteľné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(1 – 1/SPF),</w:t>
      </w:r>
    </w:p>
    <w:p w:rsidR="007221F6" w:rsidRPr="00DB13A3" w:rsidRDefault="00200F2E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30" w:name="3247579"/>
      <w:bookmarkEnd w:id="130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kde</w:t>
      </w:r>
    </w:p>
    <w:p w:rsidR="007221F6" w:rsidRPr="00DB13A3" w:rsidRDefault="00200F2E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31" w:name="3247580"/>
      <w:bookmarkEnd w:id="131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Q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sk-SK"/>
        </w:rPr>
        <w:t>využiteľné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– odhadované celkové využiteľné teplo dodané tepelným čerpadlom pri splnení kritérií uvedených v </w:t>
      </w:r>
      <w:hyperlink w:anchor="3247475" w:history="1">
        <w:r w:rsidRP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§ 4 ods. 2</w:t>
        </w:r>
      </w:hyperlink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uplatňované takto: zohľadnia sa len tepelné čerpadlá, pri ktorých SPF &gt; 1,15 1/η,</w:t>
      </w:r>
    </w:p>
    <w:p w:rsidR="007221F6" w:rsidRPr="00DB13A3" w:rsidRDefault="00200F2E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32" w:name="3247581"/>
      <w:bookmarkEnd w:id="132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SPF – odhadovaný priemerný sezónny výkonnostný faktor pre tieto tepelné čerpadlá,</w:t>
      </w:r>
    </w:p>
    <w:p w:rsidR="007221F6" w:rsidRPr="00DB13A3" w:rsidRDefault="00200F2E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33" w:name="3247582"/>
      <w:bookmarkEnd w:id="133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η – pomer medzi celkovou hrubou výrobou elektriny a primárnou energiou spotrebovanou na výrobu elektriny a vypočíta sa ako priemer Európskej únie založený na zverejnených údajoch štatistických výkazov Eurostat.</w:t>
      </w:r>
    </w:p>
    <w:p w:rsidR="007221F6" w:rsidRPr="00DB13A3" w:rsidRDefault="00200F2E" w:rsidP="00DB13A3">
      <w:pPr>
        <w:pStyle w:val="Priloha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34" w:name="3247583"/>
      <w:bookmarkEnd w:id="134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Príloha č. 3 k vyhláške č. </w:t>
      </w:r>
      <w:r w:rsid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...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/20</w:t>
      </w:r>
      <w:r w:rsid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22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Z. z.</w:t>
      </w:r>
    </w:p>
    <w:p w:rsidR="007221F6" w:rsidRPr="00DB13A3" w:rsidRDefault="00200F2E">
      <w:pPr>
        <w:pStyle w:val="Nadpis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35" w:name="3247584"/>
      <w:bookmarkEnd w:id="135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ENERGETICKÝ OBSAH MOTOROVÝCH PALÍV V</w:t>
      </w:r>
      <w:r w:rsidR="00190B64"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 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DOPRAVE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5941"/>
        <w:gridCol w:w="1566"/>
        <w:gridCol w:w="1555"/>
      </w:tblGrid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k-SK" w:eastAsia="sk-SK"/>
              </w:rPr>
              <w:t>Palivo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k-SK" w:eastAsia="sk-SK"/>
              </w:rPr>
              <w:t>Energetický obsah na základe hmotnosti (dolná výhrevnosť, MJ/kg)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k-SK" w:eastAsia="sk-SK"/>
              </w:rPr>
              <w:t>Energetický obsah na základe objemu (dolná výhrevnosť, MJ/l)</w:t>
            </w:r>
          </w:p>
        </w:tc>
      </w:tr>
      <w:tr w:rsidR="000736C2" w:rsidRPr="00DB13A3" w:rsidTr="00190B64">
        <w:trPr>
          <w:gridAfter w:val="2"/>
          <w:wAfter w:w="3594" w:type="dxa"/>
        </w:trPr>
        <w:tc>
          <w:tcPr>
            <w:tcW w:w="0" w:type="auto"/>
            <w:hideMark/>
          </w:tcPr>
          <w:p w:rsidR="00190B64" w:rsidRPr="00DB13A3" w:rsidRDefault="00190B64" w:rsidP="00190B64">
            <w:pPr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k-SK" w:eastAsia="sk-SK"/>
              </w:rPr>
              <w:t>PALIVÁ Z BIOMASY A/ALEBO OPERÁCIÍ SPRACOVANIA BIOMASY</w:t>
            </w:r>
          </w:p>
        </w:tc>
      </w:tr>
      <w:tr w:rsidR="000736C2" w:rsidRPr="00DB13A3" w:rsidTr="00190B64">
        <w:tc>
          <w:tcPr>
            <w:tcW w:w="0" w:type="auto"/>
            <w:hideMark/>
          </w:tcPr>
          <w:p w:rsidR="00190B64" w:rsidRPr="00DB13A3" w:rsidRDefault="00190B64" w:rsidP="00190B6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k-SK" w:eastAsia="sk-SK"/>
              </w:rPr>
            </w:pPr>
          </w:p>
        </w:tc>
        <w:tc>
          <w:tcPr>
            <w:tcW w:w="0" w:type="auto"/>
            <w:hideMark/>
          </w:tcPr>
          <w:p w:rsidR="00190B64" w:rsidRPr="00DB13A3" w:rsidRDefault="00190B64" w:rsidP="00190B6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</w:p>
        </w:tc>
        <w:tc>
          <w:tcPr>
            <w:tcW w:w="0" w:type="auto"/>
            <w:hideMark/>
          </w:tcPr>
          <w:p w:rsidR="00190B64" w:rsidRPr="00DB13A3" w:rsidRDefault="00190B64" w:rsidP="00190B6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biopropán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46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24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čistý rastlinný olej (olej vyrobený z olejnatých rastlín lisovaním, extrahovaním alebo podobnými postupmi, surový alebo rafinovaný, ale chemicky nemodifikovaný)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37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34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bionafta – metylester mastnej kyseliny (metyl-ester vyrábaný z oleja z biomasy)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37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33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bionafta – etylester mastnej kyseliny (etyl-ester vyrábaný z oleja z biomasy)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38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34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bioplyn, ktorý môže čistením dosiahnuť kvalitu zemného plynu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50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—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hydrogenačne rafinovaný (termochemicky spracovaný vodíkom) olej z biomasy určený ako náhrada za naftu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44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34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hydrogenačne rafinovaný (termochemicky spracovaný vodíkom) olej z biomasy určený ako náhrada za benzín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45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30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lastRenderedPageBreak/>
              <w:t>hydrogenačne rafinovaný (termochemicky spracovaný vodíkom) olej z biomasy určený ako náhrada za letecké palivo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44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34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hydrogenačne rafinovaný (termochemicky spracovaný vodíkom) olej z biomasy určený ako náhrada za skvapalnený ropný plyn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46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24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spoločne spracovaný (spracovaný v rafinérii súčasne s fosílnymi palivami) olej z biomasy alebo pyrolyzovanej biomasy určený ako náhrada za naftu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43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36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spoločne spracovaný (spracovaný v rafinérii súčasne s fosílnymi palivami) olej z biomasy alebo pyrolyzovanej biomasy určený ako náhrada za benzín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44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32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spoločne spracovaný (spracovaný v rafinérii súčasne s fosílnymi palivami) olej z biomasy alebo pyrolyzovanej biomasy určený ako náhrada za letecké palivo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43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33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spoločne spracovaný (spracovaný v rafinérii súčasne s fosílnymi palivami) olej z biomasy alebo pyrolyzovanej biomasy určený ako náhrada za skvapalnený ropný plyn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46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23</w:t>
            </w:r>
          </w:p>
        </w:tc>
      </w:tr>
      <w:tr w:rsidR="000736C2" w:rsidRPr="00DB13A3" w:rsidTr="00190B64">
        <w:trPr>
          <w:gridAfter w:val="2"/>
          <w:wAfter w:w="3594" w:type="dxa"/>
        </w:trPr>
        <w:tc>
          <w:tcPr>
            <w:tcW w:w="0" w:type="auto"/>
            <w:hideMark/>
          </w:tcPr>
          <w:p w:rsidR="00190B64" w:rsidRPr="00DB13A3" w:rsidRDefault="00190B64" w:rsidP="00190B64">
            <w:pPr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k-SK" w:eastAsia="sk-SK"/>
              </w:rPr>
              <w:t>OBNOVITEĽNÉ PALIVÁ, KTORÉ MOŽNO VYRÁBAŤ Z RÔZNYCH OBNOVITEĽNÝCH ZDROJOV, VRÁTANE BIOMASY</w:t>
            </w:r>
          </w:p>
        </w:tc>
      </w:tr>
      <w:tr w:rsidR="000736C2" w:rsidRPr="00DB13A3" w:rsidTr="00190B64">
        <w:tc>
          <w:tcPr>
            <w:tcW w:w="0" w:type="auto"/>
            <w:hideMark/>
          </w:tcPr>
          <w:p w:rsidR="00190B64" w:rsidRPr="00DB13A3" w:rsidRDefault="00190B64" w:rsidP="00190B6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k-SK" w:eastAsia="sk-SK"/>
              </w:rPr>
            </w:pPr>
          </w:p>
        </w:tc>
        <w:tc>
          <w:tcPr>
            <w:tcW w:w="0" w:type="auto"/>
            <w:hideMark/>
          </w:tcPr>
          <w:p w:rsidR="00190B64" w:rsidRPr="00DB13A3" w:rsidRDefault="00190B64" w:rsidP="00190B6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</w:p>
        </w:tc>
        <w:tc>
          <w:tcPr>
            <w:tcW w:w="0" w:type="auto"/>
            <w:hideMark/>
          </w:tcPr>
          <w:p w:rsidR="00190B64" w:rsidRPr="00DB13A3" w:rsidRDefault="00190B64" w:rsidP="00190B6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metanol z obnoviteľných zdrojov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20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16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etanol z obnoviteľných zdrojov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27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21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propanol z obnoviteľných zdrojov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31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25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butanol z obnoviteľných zdrojov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33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27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nafta vyrobená technológiou Fischer-Tropsch (syntetický uhľovodík alebo zmes syntetických uhľovodíkov určený(-á) ako náhrada za naftu)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44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34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benzín vyrobený technológiou Fischer-Tropsch (syntetický uhľovodík alebo zmes syntetických uhľovodíkov určený(-á) ako náhrada za benzín)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44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33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letecké palivo vyrobené technológiou Fischer-Tropsch (syntetický uhľovodík alebo zmes syntetických uhľovodíkov určený(-á) ako náhrada za letecké palivo)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44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33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skvapalnený ropný plyn vyrobený technológiou Fischer-Tropsch (syntetický uhľovodík alebo zmes syntetických uhľovodíkov určený(-á) ako náhrada za skvapalnený ropný plyn)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46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24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dimetyléter (DME)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28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19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vodík z obnoviteľných zdrojov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120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—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lastRenderedPageBreak/>
              <w:t>ETBE (etyl-terc-butyl-éter vyrobený na báze etanolu)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36 (z čoho 37 % z obnoviteľných zdrojov)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27 (z čoho 37 % z obnoviteľných zdrojov)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MTBE (metyl-terc-butyl-éter vyrobený na báze metanolu)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35 (z čoho 22 % z obnoviteľných zdrojov)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26 (z čoho 22 % z obnoviteľných zdrojov)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TAEE (terciárny amyl-etyl-éter vyrobený na báze etanolu)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38 (z čoho 29 % z obnoviteľných zdrojov)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29 (z čoho 29 % z obnoviteľných zdrojov)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TAME (terciárny amyl-metyl-éter vyrobený na báze metanolu)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36 (z čoho 18 % z obnoviteľných zdrojov)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28 (z čoho 18 % z obnoviteľných zdrojov)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THxEE (terciárny hexyl-etyl-éter vyrobený na báze etanolu)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38 (z čoho 25 % z obnoviteľných zdrojov)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30 (z čoho 25 % z obnoviteľných zdrojov)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THxME (terciárny hexyl-metyl-éter vyrobený na báze metanolu)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38 (z čoho 14 % z obnoviteľných zdrojov)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30 (z čoho 14 % z obnoviteľných zdrojov)</w:t>
            </w:r>
          </w:p>
        </w:tc>
      </w:tr>
      <w:tr w:rsidR="000736C2" w:rsidRPr="00DB13A3" w:rsidTr="00190B64">
        <w:trPr>
          <w:gridAfter w:val="2"/>
          <w:wAfter w:w="3594" w:type="dxa"/>
        </w:trPr>
        <w:tc>
          <w:tcPr>
            <w:tcW w:w="0" w:type="auto"/>
            <w:hideMark/>
          </w:tcPr>
          <w:p w:rsidR="00190B64" w:rsidRPr="00DB13A3" w:rsidRDefault="00190B64" w:rsidP="00190B64">
            <w:pPr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k-SK" w:eastAsia="sk-SK"/>
              </w:rPr>
              <w:t>FOSÍLNE PALIVÁ</w:t>
            </w:r>
          </w:p>
        </w:tc>
      </w:tr>
      <w:tr w:rsidR="000736C2" w:rsidRPr="00DB13A3" w:rsidTr="00190B64">
        <w:tc>
          <w:tcPr>
            <w:tcW w:w="0" w:type="auto"/>
            <w:hideMark/>
          </w:tcPr>
          <w:p w:rsidR="00190B64" w:rsidRPr="00DB13A3" w:rsidRDefault="00190B64" w:rsidP="00190B6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sk-SK" w:eastAsia="sk-SK"/>
              </w:rPr>
            </w:pPr>
          </w:p>
        </w:tc>
        <w:tc>
          <w:tcPr>
            <w:tcW w:w="0" w:type="auto"/>
            <w:hideMark/>
          </w:tcPr>
          <w:p w:rsidR="00190B64" w:rsidRPr="00DB13A3" w:rsidRDefault="00190B64" w:rsidP="00190B6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</w:p>
        </w:tc>
        <w:tc>
          <w:tcPr>
            <w:tcW w:w="0" w:type="auto"/>
            <w:hideMark/>
          </w:tcPr>
          <w:p w:rsidR="00190B64" w:rsidRPr="00DB13A3" w:rsidRDefault="00190B64" w:rsidP="00190B6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benzín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43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32</w:t>
            </w:r>
          </w:p>
        </w:tc>
      </w:tr>
      <w:tr w:rsidR="000736C2" w:rsidRPr="00DB13A3" w:rsidTr="00DB13A3">
        <w:tc>
          <w:tcPr>
            <w:tcW w:w="5468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nafta</w:t>
            </w:r>
          </w:p>
        </w:tc>
        <w:tc>
          <w:tcPr>
            <w:tcW w:w="1813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43</w:t>
            </w:r>
          </w:p>
        </w:tc>
        <w:tc>
          <w:tcPr>
            <w:tcW w:w="1781" w:type="dxa"/>
            <w:hideMark/>
          </w:tcPr>
          <w:p w:rsidR="00190B64" w:rsidRPr="00DB13A3" w:rsidRDefault="00190B64" w:rsidP="00190B64">
            <w:pPr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</w:pPr>
            <w:r w:rsidRPr="00DB13A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sk-SK" w:eastAsia="sk-SK"/>
              </w:rPr>
              <w:t>36</w:t>
            </w:r>
          </w:p>
        </w:tc>
      </w:tr>
    </w:tbl>
    <w:p w:rsidR="007221F6" w:rsidRPr="00DB13A3" w:rsidRDefault="00200F2E" w:rsidP="00DB13A3">
      <w:pPr>
        <w:pStyle w:val="Priloha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36" w:name="3247585"/>
      <w:bookmarkStart w:id="137" w:name="3247586"/>
      <w:bookmarkEnd w:id="136"/>
      <w:bookmarkEnd w:id="137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Príloha č. 4 k vyhláške č. </w:t>
      </w:r>
      <w:r w:rsid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...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/20</w:t>
      </w:r>
      <w:r w:rsid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22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Z. z.</w:t>
      </w:r>
    </w:p>
    <w:p w:rsidR="007221F6" w:rsidRPr="00DB13A3" w:rsidRDefault="00200F2E">
      <w:pPr>
        <w:pStyle w:val="Nadpis"/>
        <w:outlineLvl w:val="1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38" w:name="3247587"/>
      <w:bookmarkEnd w:id="138"/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>ZOZNAM PREBERANÝCH PRÁVNE ZÁVÄZNÝCH AKTOV EURÓPSKEJ ÚNIE</w:t>
      </w:r>
    </w:p>
    <w:p w:rsidR="007221F6" w:rsidRPr="00DB13A3" w:rsidRDefault="00200F2E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39" w:name="3247588"/>
      <w:bookmarkEnd w:id="139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1.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Smernica Európskeho parlamentu a Rady </w:t>
      </w:r>
      <w:hyperlink r:id="rId15" w:tooltip="Smernica Európskeho parlamentu a Rady 2009/28/ES z 23. apríla 2009 o podpore využívania energie z obnoviteľných zdrojov energie a o zmene a doplnení a následnom zrušení smerníc 2001/77/ES a 2003/30/ES (Text s významom pre EHP)" w:history="1">
        <w:r w:rsidRP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2009/28/ES</w:t>
        </w:r>
      </w:hyperlink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 23. apríla 2009 o podpore využívania energie z obnoviteľných zdrojov energie a o zmene a doplnení a následnom zrušení smerníc 2001/77/ES a 2003/30/ES (Ú. v. EÚ L 140, 5. 6. 2009).</w:t>
      </w:r>
    </w:p>
    <w:p w:rsidR="007221F6" w:rsidRPr="00DB13A3" w:rsidRDefault="00200F2E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40" w:name="3247589"/>
      <w:bookmarkEnd w:id="140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2.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Smernica Európskeho parlamentu a Rady </w:t>
      </w:r>
      <w:hyperlink r:id="rId16" w:tooltip="Smernica Európskeho parlamentu a Rady 2009/30/ES z 23. apríla 2009 , ktorou sa mení a dopĺňa smernica 98/70/ES, pokiaľ ide o kvalitu automobilového benzínu, motorovej nafty a plynového oleja a zavedenie mechanizmu na monitorovanie a zníženie emisií skleník" w:history="1">
        <w:r w:rsidRP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2009/30/ES</w:t>
        </w:r>
      </w:hyperlink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 23. apríla 2009, ktorou sa mení a dopĺňa smernica 98/70/ES, pokiaľ ide o kvalitu automobilového benzínu, motorovej nafty a plynového oleja a zavedenie mechanizmu na monitorovanie a zníženie emisií skleníkových plynov, a ktorou sa mení a dopĺňa smernica Rady 1999/32/ES, pokiaľ ide o kvalitu paliva využívaného v plavidlách vnútrozemskej vodnej dopravy, a zrušuje smernica 93/12/EHS (Ú. v. EÚ L 140, 5. 6. 2009).</w:t>
      </w:r>
    </w:p>
    <w:p w:rsidR="007221F6" w:rsidRPr="00DB13A3" w:rsidRDefault="00200F2E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41" w:name="11188509"/>
      <w:bookmarkEnd w:id="141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3.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Smernica Európskeho parlamentu a Rady </w:t>
      </w:r>
      <w:hyperlink r:id="rId17" w:tooltip="Smernica Rady 98/70/ES Európskeho parlamentu a Rady z 13. októbra 1998 týkajúca sa kvality benzínu a naftových palív, a ktorou sa mení a dopĺňa smernica Rady 93/12/ES" w:history="1">
        <w:r w:rsidRP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98/70/ES</w:t>
        </w:r>
      </w:hyperlink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 13. októbra 1998 týkajúca sa kvality benzínu a naftových palív, a ktorou sa mení a dopĺňa smernica Rady 93/12/ES (Ú. v. ES L 350, 28. 12. 1998) v znení smernice Európskeho parlamentu a Rady (EÚ) 2015/1513 z 9. septembra 2015, ktorou sa mení smernica 98/70/ES týkajúca sa kvality benzínu a naftových palív a ktorou 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lastRenderedPageBreak/>
        <w:t>sa mení smernica 2009/28/ES o podpore využívania energie z obnoviteľných zdrojov energie (Ú. v. EÚ L 239, 15. 9. 2015).</w:t>
      </w:r>
    </w:p>
    <w:p w:rsidR="007221F6" w:rsidRPr="00DB13A3" w:rsidRDefault="0094587D">
      <w:pP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pict>
          <v:rect id="_x0000_i1025" style="width:0;height:1.5pt" o:hralign="center" o:hrstd="t" o:hr="t" fillcolor="#a0a0a0" stroked="f"/>
        </w:pict>
      </w:r>
    </w:p>
    <w:p w:rsidR="007221F6" w:rsidRPr="00DB13A3" w:rsidRDefault="00200F2E">
      <w:pPr>
        <w:pStyle w:val="Textvysvetlivky"/>
        <w:shd w:val="clear" w:color="auto" w:fill="EFF8FD"/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42" w:name="3247591"/>
      <w:bookmarkEnd w:id="142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1)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Nariadenie Európskeho parlamentu a Rady (ES) č. </w:t>
      </w:r>
      <w:hyperlink r:id="rId18" w:tooltip="Nariadenie Európskeho parlamentu a Rady (ES) č. 1099/2008 z 22. októbra 2008 o energetickej štatistike (Text s významom pre EHP)" w:history="1">
        <w:r w:rsidRP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1099/2008</w:t>
        </w:r>
      </w:hyperlink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 22. októbra 2008 o energetickej štatistike (Ú. v. EÚ L 304, 14. 1. 2008) v platnom znení.</w:t>
      </w:r>
    </w:p>
    <w:p w:rsidR="007221F6" w:rsidRPr="00DB13A3" w:rsidRDefault="00200F2E">
      <w:pPr>
        <w:pStyle w:val="Textvysvetlivky"/>
        <w:shd w:val="clear" w:color="auto" w:fill="EFF8FD"/>
        <w:spacing w:after="240"/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</w:pPr>
      <w:bookmarkStart w:id="143" w:name="11188510"/>
      <w:bookmarkEnd w:id="143"/>
      <w:r w:rsidRPr="00DB13A3">
        <w:rPr>
          <w:rFonts w:ascii="Times New Roman" w:hAnsi="Times New Roman" w:cs="Times New Roman"/>
          <w:b/>
          <w:color w:val="000000" w:themeColor="text1"/>
          <w:sz w:val="24"/>
          <w:szCs w:val="24"/>
          <w:lang w:val="sk-SK"/>
        </w:rPr>
        <w:t>2)</w:t>
      </w:r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Čl. 8 a 9 nariadenia Európskeho parlamentu a Rady (ES) č. </w:t>
      </w:r>
      <w:hyperlink r:id="rId19" w:tooltip="Nariadenie Európskeho parlamentu a Rady (ES) č. 1069/2009 z  21. októbra 2009 , ktorým sa ustanovujú zdravotné predpisy týkajúce sa vedľajších živočíšnych produktov a odvodených produktov neurčených na ľudskú spotrebu a ktorým sa zrušuje nariadenie (ES) č." w:history="1">
        <w:r w:rsidRPr="00DB13A3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k-SK"/>
          </w:rPr>
          <w:t>1069/2009</w:t>
        </w:r>
      </w:hyperlink>
      <w:r w:rsidRPr="00DB13A3">
        <w:rPr>
          <w:rFonts w:ascii="Times New Roman" w:hAnsi="Times New Roman" w:cs="Times New Roman"/>
          <w:color w:val="000000" w:themeColor="text1"/>
          <w:sz w:val="24"/>
          <w:szCs w:val="24"/>
          <w:lang w:val="sk-SK"/>
        </w:rPr>
        <w:t xml:space="preserve"> z 21. októbra 2009, ktorým sa ustanovujú zdravotné predpisy týkajúce sa vedľajších živočíšnych produktov a odvodených produktov neurčených na ľudskú spotrebu a ktorým sa zrušuje nariadenie (ES) č. 1774/2002 (nariadenie o vedľajších živočíšnych produktoch) (Ú. v. EÚ L 300, 14. 11. 2009) v platnom znení.</w:t>
      </w:r>
    </w:p>
    <w:sectPr w:rsidR="007221F6" w:rsidRPr="00DB13A3" w:rsidSect="00726CD4">
      <w:headerReference w:type="even" r:id="rId20"/>
      <w:headerReference w:type="default" r:id="rId21"/>
      <w:footerReference w:type="even" r:id="rId22"/>
      <w:footerReference w:type="first" r:id="rId23"/>
      <w:pgSz w:w="11906" w:h="16838"/>
      <w:pgMar w:top="1417" w:right="1417" w:bottom="1417" w:left="1417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C3" w:rsidRDefault="007C2CC3" w:rsidP="00E50640">
      <w:pPr>
        <w:spacing w:after="0"/>
      </w:pPr>
      <w:r>
        <w:separator/>
      </w:r>
    </w:p>
  </w:endnote>
  <w:endnote w:type="continuationSeparator" w:id="0">
    <w:p w:rsidR="007C2CC3" w:rsidRDefault="007C2CC3" w:rsidP="00E506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94B" w:rsidRDefault="00BC394B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260629"/>
      <w:docPartObj>
        <w:docPartGallery w:val="Page Numbers (Bottom of Page)"/>
        <w:docPartUnique/>
      </w:docPartObj>
    </w:sdtPr>
    <w:sdtEndPr/>
    <w:sdtContent>
      <w:p w:rsidR="0073500D" w:rsidRDefault="0073500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87D" w:rsidRPr="0094587D">
          <w:rPr>
            <w:noProof/>
            <w:lang w:val="sk-SK"/>
          </w:rPr>
          <w:t>1</w:t>
        </w:r>
        <w:r>
          <w:fldChar w:fldCharType="end"/>
        </w:r>
      </w:p>
    </w:sdtContent>
  </w:sdt>
  <w:p w:rsidR="0073500D" w:rsidRDefault="007350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C3" w:rsidRDefault="007C2CC3" w:rsidP="00E50640">
      <w:pPr>
        <w:spacing w:after="0"/>
      </w:pPr>
      <w:r>
        <w:separator/>
      </w:r>
    </w:p>
  </w:footnote>
  <w:footnote w:type="continuationSeparator" w:id="0">
    <w:p w:rsidR="007C2CC3" w:rsidRDefault="007C2CC3" w:rsidP="00E506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94B" w:rsidRDefault="00BC394B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CC" w:rsidRPr="00726CD4" w:rsidRDefault="00CC62CC" w:rsidP="00237093">
    <w:pPr>
      <w:pStyle w:val="Hlavika"/>
      <w:spacing w:after="360"/>
      <w:contextualSpacing/>
      <w:rPr>
        <w:rStyle w:val="Zahlaviobecne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94"/>
    <w:rsid w:val="00011A18"/>
    <w:rsid w:val="00027397"/>
    <w:rsid w:val="0007042B"/>
    <w:rsid w:val="000736C2"/>
    <w:rsid w:val="00082165"/>
    <w:rsid w:val="00093F86"/>
    <w:rsid w:val="00096973"/>
    <w:rsid w:val="000A5180"/>
    <w:rsid w:val="000D3522"/>
    <w:rsid w:val="00100FC8"/>
    <w:rsid w:val="00103704"/>
    <w:rsid w:val="0010783F"/>
    <w:rsid w:val="00117251"/>
    <w:rsid w:val="0012726E"/>
    <w:rsid w:val="00130F96"/>
    <w:rsid w:val="001339EA"/>
    <w:rsid w:val="00190B64"/>
    <w:rsid w:val="001A5C61"/>
    <w:rsid w:val="001B7CB7"/>
    <w:rsid w:val="001E273E"/>
    <w:rsid w:val="001F1699"/>
    <w:rsid w:val="00200F2E"/>
    <w:rsid w:val="00201B8E"/>
    <w:rsid w:val="002023B2"/>
    <w:rsid w:val="002071EC"/>
    <w:rsid w:val="002246F1"/>
    <w:rsid w:val="00237093"/>
    <w:rsid w:val="002465A4"/>
    <w:rsid w:val="002867FF"/>
    <w:rsid w:val="00286B7E"/>
    <w:rsid w:val="002B2C39"/>
    <w:rsid w:val="002E1482"/>
    <w:rsid w:val="002E1F7C"/>
    <w:rsid w:val="00316208"/>
    <w:rsid w:val="00342399"/>
    <w:rsid w:val="003475C8"/>
    <w:rsid w:val="00351FA2"/>
    <w:rsid w:val="003609A2"/>
    <w:rsid w:val="00373AB2"/>
    <w:rsid w:val="00396D18"/>
    <w:rsid w:val="00397594"/>
    <w:rsid w:val="003F07EA"/>
    <w:rsid w:val="003F38C4"/>
    <w:rsid w:val="00405E47"/>
    <w:rsid w:val="004226DC"/>
    <w:rsid w:val="0045610D"/>
    <w:rsid w:val="004B4301"/>
    <w:rsid w:val="004C77EB"/>
    <w:rsid w:val="00505903"/>
    <w:rsid w:val="005336F3"/>
    <w:rsid w:val="00551685"/>
    <w:rsid w:val="00571483"/>
    <w:rsid w:val="00585A59"/>
    <w:rsid w:val="005916D3"/>
    <w:rsid w:val="005A214C"/>
    <w:rsid w:val="005A7424"/>
    <w:rsid w:val="005B066C"/>
    <w:rsid w:val="005B16A6"/>
    <w:rsid w:val="005B185F"/>
    <w:rsid w:val="005B5F5A"/>
    <w:rsid w:val="005C4548"/>
    <w:rsid w:val="006217AD"/>
    <w:rsid w:val="00651031"/>
    <w:rsid w:val="0066256E"/>
    <w:rsid w:val="00665CE8"/>
    <w:rsid w:val="00691B99"/>
    <w:rsid w:val="00694E3A"/>
    <w:rsid w:val="006B72EE"/>
    <w:rsid w:val="006D0E25"/>
    <w:rsid w:val="006D5832"/>
    <w:rsid w:val="0070319A"/>
    <w:rsid w:val="00710FC3"/>
    <w:rsid w:val="007221F6"/>
    <w:rsid w:val="00726CD4"/>
    <w:rsid w:val="00726F3A"/>
    <w:rsid w:val="0073500D"/>
    <w:rsid w:val="007561E0"/>
    <w:rsid w:val="00777F71"/>
    <w:rsid w:val="00790A20"/>
    <w:rsid w:val="00794B09"/>
    <w:rsid w:val="007B75EF"/>
    <w:rsid w:val="007C2CC3"/>
    <w:rsid w:val="00804765"/>
    <w:rsid w:val="00811512"/>
    <w:rsid w:val="0082457B"/>
    <w:rsid w:val="00863C1D"/>
    <w:rsid w:val="00872A36"/>
    <w:rsid w:val="00875BF0"/>
    <w:rsid w:val="00884305"/>
    <w:rsid w:val="00885E0D"/>
    <w:rsid w:val="008B0F12"/>
    <w:rsid w:val="008C1800"/>
    <w:rsid w:val="008D056B"/>
    <w:rsid w:val="008D6B43"/>
    <w:rsid w:val="008F19AE"/>
    <w:rsid w:val="00915500"/>
    <w:rsid w:val="00934E7D"/>
    <w:rsid w:val="009358FF"/>
    <w:rsid w:val="00943B49"/>
    <w:rsid w:val="0094587D"/>
    <w:rsid w:val="00967090"/>
    <w:rsid w:val="00967E32"/>
    <w:rsid w:val="00994541"/>
    <w:rsid w:val="009978E9"/>
    <w:rsid w:val="009A0881"/>
    <w:rsid w:val="009A2D09"/>
    <w:rsid w:val="00A236FF"/>
    <w:rsid w:val="00A2621E"/>
    <w:rsid w:val="00A51325"/>
    <w:rsid w:val="00A635E2"/>
    <w:rsid w:val="00A6784C"/>
    <w:rsid w:val="00A95822"/>
    <w:rsid w:val="00AB226A"/>
    <w:rsid w:val="00AB54F9"/>
    <w:rsid w:val="00AC6C65"/>
    <w:rsid w:val="00AE69E3"/>
    <w:rsid w:val="00AF3890"/>
    <w:rsid w:val="00AF693F"/>
    <w:rsid w:val="00B04D52"/>
    <w:rsid w:val="00B41EA7"/>
    <w:rsid w:val="00B55370"/>
    <w:rsid w:val="00B71186"/>
    <w:rsid w:val="00B8060D"/>
    <w:rsid w:val="00B934E3"/>
    <w:rsid w:val="00B93629"/>
    <w:rsid w:val="00B9426A"/>
    <w:rsid w:val="00BB3A7F"/>
    <w:rsid w:val="00BC394B"/>
    <w:rsid w:val="00BD3A91"/>
    <w:rsid w:val="00BE7E26"/>
    <w:rsid w:val="00BF4794"/>
    <w:rsid w:val="00C462CE"/>
    <w:rsid w:val="00C74377"/>
    <w:rsid w:val="00C759D7"/>
    <w:rsid w:val="00C8158C"/>
    <w:rsid w:val="00C91CDA"/>
    <w:rsid w:val="00C93795"/>
    <w:rsid w:val="00C96D63"/>
    <w:rsid w:val="00CA2B41"/>
    <w:rsid w:val="00CC62CC"/>
    <w:rsid w:val="00D07346"/>
    <w:rsid w:val="00D11E99"/>
    <w:rsid w:val="00D271F8"/>
    <w:rsid w:val="00D621B3"/>
    <w:rsid w:val="00D77E68"/>
    <w:rsid w:val="00D92D92"/>
    <w:rsid w:val="00DB1113"/>
    <w:rsid w:val="00DB13A3"/>
    <w:rsid w:val="00DB4AB3"/>
    <w:rsid w:val="00DB4F28"/>
    <w:rsid w:val="00DC0BE6"/>
    <w:rsid w:val="00E1718A"/>
    <w:rsid w:val="00E207E6"/>
    <w:rsid w:val="00E50640"/>
    <w:rsid w:val="00E54166"/>
    <w:rsid w:val="00E552CF"/>
    <w:rsid w:val="00E60E2A"/>
    <w:rsid w:val="00E75CE8"/>
    <w:rsid w:val="00EB7C44"/>
    <w:rsid w:val="00EC05E8"/>
    <w:rsid w:val="00EC60A0"/>
    <w:rsid w:val="00EC6D0E"/>
    <w:rsid w:val="00ED175C"/>
    <w:rsid w:val="00EF26D7"/>
    <w:rsid w:val="00F14C44"/>
    <w:rsid w:val="00F2048F"/>
    <w:rsid w:val="00F40E6F"/>
    <w:rsid w:val="00F52406"/>
    <w:rsid w:val="00F850B6"/>
    <w:rsid w:val="00F9475B"/>
    <w:rsid w:val="00F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43626F2-7D1C-41AE-A21A-5173C2A5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y">
    <w:name w:val="Normal"/>
    <w:qFormat/>
    <w:rsid w:val="001B7CB7"/>
    <w:pPr>
      <w:spacing w:before="60" w:after="60" w:line="240" w:lineRule="auto"/>
      <w:jc w:val="both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224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locked/>
    <w:rsid w:val="002246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locked/>
    <w:rsid w:val="00286B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locked/>
    <w:rsid w:val="002246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locked/>
    <w:rsid w:val="00E5064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E506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64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locked/>
    <w:rsid w:val="00E5064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E50640"/>
  </w:style>
  <w:style w:type="paragraph" w:styleId="Pta">
    <w:name w:val="footer"/>
    <w:basedOn w:val="Normlny"/>
    <w:link w:val="PtaChar"/>
    <w:uiPriority w:val="99"/>
    <w:unhideWhenUsed/>
    <w:locked/>
    <w:rsid w:val="00E5064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50640"/>
  </w:style>
  <w:style w:type="character" w:customStyle="1" w:styleId="Zahlaviobecne">
    <w:name w:val="Zahlavi obecne"/>
    <w:basedOn w:val="Predvolenpsmoodseku"/>
    <w:qFormat/>
    <w:rsid w:val="00BC394B"/>
    <w:rPr>
      <w:rFonts w:ascii="Arial" w:hAnsi="Arial"/>
      <w:color w:val="000000" w:themeColor="text1"/>
      <w:sz w:val="20"/>
    </w:rPr>
  </w:style>
  <w:style w:type="character" w:customStyle="1" w:styleId="ZahlaviNazevpredpisu">
    <w:name w:val="Zahlavi Nazev predpisu"/>
    <w:basedOn w:val="Zahlaviobecne"/>
    <w:qFormat/>
    <w:rsid w:val="00BC394B"/>
    <w:rPr>
      <w:rFonts w:ascii="Arial" w:hAnsi="Arial" w:cs="Arial"/>
      <w:b/>
      <w:color w:val="000000" w:themeColor="text1"/>
      <w:sz w:val="40"/>
      <w:szCs w:val="40"/>
    </w:rPr>
  </w:style>
  <w:style w:type="character" w:customStyle="1" w:styleId="Nadpis3Char">
    <w:name w:val="Nadpis 3 Char"/>
    <w:basedOn w:val="Predvolenpsmoodseku"/>
    <w:link w:val="Nadpis3"/>
    <w:uiPriority w:val="9"/>
    <w:rsid w:val="00286B7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cast">
    <w:name w:val="cast"/>
    <w:basedOn w:val="Normlny"/>
    <w:locked/>
    <w:rsid w:val="00286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y"/>
    <w:locked/>
    <w:rsid w:val="00286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y"/>
    <w:locked/>
    <w:rsid w:val="00286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locked/>
    <w:rsid w:val="00286B7E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locked/>
    <w:rsid w:val="00286B7E"/>
    <w:rPr>
      <w:color w:val="0000FF"/>
      <w:u w:val="single"/>
    </w:rPr>
  </w:style>
  <w:style w:type="paragraph" w:customStyle="1" w:styleId="Cast0">
    <w:name w:val="Cast"/>
    <w:next w:val="Normlny"/>
    <w:qFormat/>
    <w:rsid w:val="000D3522"/>
    <w:pPr>
      <w:spacing w:before="480" w:after="100" w:afterAutospacing="1" w:line="240" w:lineRule="auto"/>
      <w:jc w:val="center"/>
      <w:outlineLvl w:val="0"/>
    </w:pPr>
    <w:rPr>
      <w:rFonts w:ascii="Arial" w:eastAsia="Times New Roman" w:hAnsi="Arial" w:cs="Arial"/>
      <w:b/>
      <w:color w:val="1F497D" w:themeColor="text2"/>
      <w:sz w:val="28"/>
      <w:szCs w:val="32"/>
      <w:lang w:eastAsia="cs-CZ"/>
    </w:rPr>
  </w:style>
  <w:style w:type="paragraph" w:customStyle="1" w:styleId="Nadpis">
    <w:name w:val="Nadpis"/>
    <w:next w:val="Normlny"/>
    <w:qFormat/>
    <w:rsid w:val="000D3522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08A8F8"/>
      <w:sz w:val="29"/>
      <w:szCs w:val="29"/>
      <w:lang w:eastAsia="cs-CZ"/>
    </w:rPr>
  </w:style>
  <w:style w:type="paragraph" w:customStyle="1" w:styleId="Paragraf">
    <w:name w:val="Paragraf"/>
    <w:next w:val="Normlny"/>
    <w:qFormat/>
    <w:rsid w:val="000D3522"/>
    <w:pPr>
      <w:spacing w:before="240" w:after="100" w:afterAutospacing="1" w:line="240" w:lineRule="auto"/>
      <w:jc w:val="center"/>
      <w:outlineLvl w:val="6"/>
    </w:pPr>
    <w:rPr>
      <w:rFonts w:ascii="Arial" w:eastAsia="Times New Roman" w:hAnsi="Arial" w:cs="Arial"/>
      <w:b/>
      <w:color w:val="FF8400"/>
      <w:sz w:val="26"/>
      <w:szCs w:val="26"/>
      <w:lang w:eastAsia="cs-CZ"/>
    </w:rPr>
  </w:style>
  <w:style w:type="paragraph" w:customStyle="1" w:styleId="Podnadpis">
    <w:name w:val="Podnadpis"/>
    <w:next w:val="Normlny"/>
    <w:qFormat/>
    <w:rsid w:val="00665CE8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08A8F8"/>
      <w:sz w:val="29"/>
      <w:szCs w:val="29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locked/>
    <w:rsid w:val="00C96D6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6D6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locked/>
    <w:rsid w:val="00C96D63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qFormat/>
    <w:locked/>
    <w:rsid w:val="001B7CB7"/>
    <w:pPr>
      <w:spacing w:after="0"/>
      <w:jc w:val="left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B7CB7"/>
    <w:rPr>
      <w:rFonts w:ascii="Arial" w:hAnsi="Arial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locked/>
    <w:rsid w:val="00AB226A"/>
    <w:rPr>
      <w:vertAlign w:val="superscript"/>
    </w:rPr>
  </w:style>
  <w:style w:type="table" w:styleId="Mriekatabuky">
    <w:name w:val="Table Grid"/>
    <w:basedOn w:val="Normlnatabuka"/>
    <w:uiPriority w:val="59"/>
    <w:locked/>
    <w:rsid w:val="005A7424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left w:w="28" w:type="dxa"/>
        <w:right w:w="28" w:type="dxa"/>
      </w:tcMar>
    </w:tcPr>
  </w:style>
  <w:style w:type="paragraph" w:customStyle="1" w:styleId="Dil">
    <w:name w:val="Dil"/>
    <w:next w:val="Normlny"/>
    <w:qFormat/>
    <w:rsid w:val="000D3522"/>
    <w:pPr>
      <w:spacing w:before="240" w:line="240" w:lineRule="auto"/>
      <w:jc w:val="center"/>
      <w:outlineLvl w:val="2"/>
    </w:pPr>
    <w:rPr>
      <w:rFonts w:ascii="Arial" w:eastAsia="Times New Roman" w:hAnsi="Arial" w:cs="Times New Roman"/>
      <w:b/>
      <w:bCs/>
      <w:color w:val="548DD4" w:themeColor="text2" w:themeTint="99"/>
      <w:sz w:val="28"/>
      <w:szCs w:val="28"/>
      <w:lang w:eastAsia="cs-CZ"/>
    </w:rPr>
  </w:style>
  <w:style w:type="paragraph" w:customStyle="1" w:styleId="Clanek">
    <w:name w:val="Clanek"/>
    <w:next w:val="Normlny"/>
    <w:qFormat/>
    <w:rsid w:val="000D3522"/>
    <w:pPr>
      <w:spacing w:before="240" w:after="100" w:afterAutospacing="1" w:line="240" w:lineRule="auto"/>
      <w:jc w:val="center"/>
      <w:outlineLvl w:val="6"/>
    </w:pPr>
    <w:rPr>
      <w:rFonts w:ascii="Arial" w:hAnsi="Arial"/>
      <w:b/>
      <w:color w:val="E06000"/>
      <w:sz w:val="26"/>
      <w:szCs w:val="26"/>
    </w:rPr>
  </w:style>
  <w:style w:type="paragraph" w:customStyle="1" w:styleId="Kapitola">
    <w:name w:val="Kapitola"/>
    <w:next w:val="Normlny"/>
    <w:qFormat/>
    <w:rsid w:val="000D3522"/>
    <w:pPr>
      <w:spacing w:before="240" w:after="100" w:afterAutospacing="1" w:line="240" w:lineRule="auto"/>
      <w:jc w:val="center"/>
      <w:outlineLvl w:val="3"/>
    </w:pPr>
    <w:rPr>
      <w:rFonts w:ascii="Arial" w:hAnsi="Arial"/>
      <w:b/>
      <w:color w:val="E06000"/>
      <w:sz w:val="26"/>
      <w:szCs w:val="26"/>
    </w:rPr>
  </w:style>
  <w:style w:type="paragraph" w:customStyle="1" w:styleId="Hlava">
    <w:name w:val="Hlava"/>
    <w:next w:val="Normlny"/>
    <w:qFormat/>
    <w:rsid w:val="000D3522"/>
    <w:pPr>
      <w:spacing w:before="240" w:line="240" w:lineRule="auto"/>
      <w:jc w:val="center"/>
      <w:outlineLvl w:val="1"/>
    </w:pPr>
    <w:rPr>
      <w:rFonts w:ascii="Arial" w:eastAsia="Times New Roman" w:hAnsi="Arial" w:cs="Arial"/>
      <w:b/>
      <w:color w:val="548DD4" w:themeColor="text2" w:themeTint="99"/>
      <w:sz w:val="28"/>
      <w:szCs w:val="28"/>
      <w:lang w:eastAsia="cs-CZ"/>
    </w:rPr>
  </w:style>
  <w:style w:type="paragraph" w:customStyle="1" w:styleId="Oddil">
    <w:name w:val="Oddil"/>
    <w:next w:val="Normlny"/>
    <w:qFormat/>
    <w:rsid w:val="000D3522"/>
    <w:pPr>
      <w:spacing w:before="240" w:line="240" w:lineRule="auto"/>
      <w:jc w:val="center"/>
      <w:outlineLvl w:val="3"/>
    </w:pPr>
    <w:rPr>
      <w:rFonts w:ascii="Arial" w:eastAsiaTheme="majorEastAsia" w:hAnsi="Arial" w:cstheme="majorBidi"/>
      <w:b/>
      <w:i/>
      <w:iCs/>
      <w:color w:val="548DD4" w:themeColor="text2" w:themeTint="99"/>
      <w:sz w:val="28"/>
      <w:szCs w:val="28"/>
    </w:rPr>
  </w:style>
  <w:style w:type="paragraph" w:customStyle="1" w:styleId="Citace">
    <w:name w:val="Citace"/>
    <w:basedOn w:val="Normlny"/>
    <w:next w:val="Normlny"/>
    <w:qFormat/>
    <w:rsid w:val="00AE69E3"/>
    <w:pPr>
      <w:spacing w:after="240"/>
      <w:ind w:left="397"/>
    </w:pPr>
    <w:rPr>
      <w:i/>
    </w:rPr>
  </w:style>
  <w:style w:type="character" w:customStyle="1" w:styleId="Nadpis1Char">
    <w:name w:val="Nadpis 1 Char"/>
    <w:basedOn w:val="Predvolenpsmoodseku"/>
    <w:link w:val="Nadpis1"/>
    <w:uiPriority w:val="9"/>
    <w:rsid w:val="002246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246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246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ododdil">
    <w:name w:val="Pododdil"/>
    <w:qFormat/>
    <w:rsid w:val="000D3522"/>
    <w:pPr>
      <w:spacing w:before="240" w:after="100" w:afterAutospacing="1" w:line="240" w:lineRule="auto"/>
      <w:jc w:val="center"/>
      <w:outlineLvl w:val="4"/>
    </w:pPr>
    <w:rPr>
      <w:rFonts w:ascii="Arial" w:hAnsi="Arial"/>
      <w:b/>
      <w:i/>
      <w:color w:val="548DD4" w:themeColor="text2" w:themeTint="99"/>
      <w:sz w:val="28"/>
    </w:rPr>
  </w:style>
  <w:style w:type="paragraph" w:customStyle="1" w:styleId="Priloha">
    <w:name w:val="Priloha"/>
    <w:next w:val="Normlny"/>
    <w:qFormat/>
    <w:rsid w:val="000D3522"/>
    <w:pPr>
      <w:spacing w:before="240" w:after="100" w:afterAutospacing="1" w:line="240" w:lineRule="auto"/>
      <w:jc w:val="center"/>
      <w:outlineLvl w:val="0"/>
    </w:pPr>
    <w:rPr>
      <w:rFonts w:ascii="Arial" w:hAnsi="Arial"/>
      <w:b/>
      <w:color w:val="548DD4" w:themeColor="text2" w:themeTint="99"/>
      <w:sz w:val="28"/>
    </w:rPr>
  </w:style>
  <w:style w:type="table" w:customStyle="1" w:styleId="TableGrid1">
    <w:name w:val="Table Grid1"/>
    <w:basedOn w:val="Normlnatabuka"/>
    <w:next w:val="Mriekatabuky"/>
    <w:uiPriority w:val="59"/>
    <w:rsid w:val="001272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ixBold">
    <w:name w:val="PrefixBold"/>
    <w:basedOn w:val="Normlny"/>
    <w:qFormat/>
    <w:rsid w:val="00117251"/>
    <w:pPr>
      <w:jc w:val="center"/>
    </w:pPr>
    <w:rPr>
      <w:b/>
      <w:color w:val="17365D" w:themeColor="text2" w:themeShade="BF"/>
      <w:sz w:val="32"/>
      <w:szCs w:val="32"/>
    </w:rPr>
  </w:style>
  <w:style w:type="paragraph" w:customStyle="1" w:styleId="PrefixPredpisDatum">
    <w:name w:val="PrefixPredpisDatum"/>
    <w:basedOn w:val="PrefixBold"/>
    <w:qFormat/>
    <w:rsid w:val="00EC60A0"/>
    <w:rPr>
      <w:b w:val="0"/>
      <w:sz w:val="24"/>
      <w:szCs w:val="24"/>
    </w:rPr>
  </w:style>
  <w:style w:type="paragraph" w:customStyle="1" w:styleId="PrefixTitle">
    <w:name w:val="PrefixTitle"/>
    <w:basedOn w:val="Normlny"/>
    <w:qFormat/>
    <w:rsid w:val="00117251"/>
    <w:pPr>
      <w:spacing w:after="600"/>
      <w:jc w:val="center"/>
    </w:pPr>
    <w:rPr>
      <w:b/>
      <w:color w:val="17365D" w:themeColor="text2" w:themeShade="BF"/>
      <w:sz w:val="32"/>
    </w:rPr>
  </w:style>
  <w:style w:type="paragraph" w:customStyle="1" w:styleId="odsek">
    <w:name w:val="odsek"/>
    <w:basedOn w:val="Normlny"/>
    <w:rsid w:val="008F19AE"/>
    <w:pPr>
      <w:keepNext/>
      <w:ind w:firstLine="709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l10ptPodaokraja">
    <w:name w:val="Štýl 10 pt Podľa okraja"/>
    <w:basedOn w:val="Normlny"/>
    <w:rsid w:val="0070319A"/>
    <w:pPr>
      <w:keepNext/>
      <w:autoSpaceDE w:val="0"/>
      <w:autoSpaceDN w:val="0"/>
      <w:spacing w:before="0" w:after="0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sub">
    <w:name w:val="sub"/>
    <w:basedOn w:val="Predvolenpsmoodseku"/>
    <w:rsid w:val="0010783F"/>
  </w:style>
  <w:style w:type="paragraph" w:customStyle="1" w:styleId="tbl-hdr">
    <w:name w:val="tbl-hdr"/>
    <w:basedOn w:val="Normlny"/>
    <w:rsid w:val="00190B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bl-txt">
    <w:name w:val="tbl-txt"/>
    <w:basedOn w:val="Normlny"/>
    <w:rsid w:val="00190B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.sk/zz/2009-309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www.epi.sk/eurlex-rule/32008R1099.htm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epi.sk/zz/2009-309" TargetMode="External"/><Relationship Id="rId12" Type="http://schemas.openxmlformats.org/officeDocument/2006/relationships/hyperlink" Target="http://www.epi.sk/zz/2009-309" TargetMode="External"/><Relationship Id="rId17" Type="http://schemas.openxmlformats.org/officeDocument/2006/relationships/hyperlink" Target="http://www.epi.sk/eurlex-rule/31998L0070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pi.sk/eurlex-rule/32009L0030.ht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pi.sk/zz/2009-30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pi.sk/eurlex-rule/32009L0028.ht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epi.sk/zz/2009-309" TargetMode="External"/><Relationship Id="rId19" Type="http://schemas.openxmlformats.org/officeDocument/2006/relationships/hyperlink" Target="http://www.epi.sk/eurlex-rule/32009R106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i.sk/zz/2009-309" TargetMode="Externa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9101-7C9B-415D-BF7A-754C3578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4385</Words>
  <Characters>24998</Characters>
  <DocSecurity>0</DocSecurity>
  <Lines>208</Lines>
  <Paragraphs>58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Vyhláška Ministerstva hospodárstva Slovenskej republiky, ktorou sa vykonávajú niektoré ustanovenia zákona č. 309/2009 Z. z. o podpore obnoviteľných zdrojov energie a vysoko účinnej kombinovanej výroby</vt:lpstr>
      <vt:lpstr/>
      <vt:lpstr/>
    </vt:vector>
  </TitlesOfParts>
  <LinksUpToDate>false</LinksUpToDate>
  <CharactersWithSpaces>29325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2022-04-14T12:45:00Z</dcterms:created>
  <dcterms:modified xsi:type="dcterms:W3CDTF">2022-05-18T10:10:00Z</dcterms:modified>
</cp:coreProperties>
</file>