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E006E" w14:textId="6EAA6F36" w:rsidR="0013311D" w:rsidRPr="00C32B32" w:rsidRDefault="0013311D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1B796A13" w14:textId="1BE70D55" w:rsidR="00224A1F" w:rsidRPr="00763BB2" w:rsidRDefault="00224A1F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09F732B9" w14:textId="6B61A990" w:rsidR="00224A1F" w:rsidRPr="00763BB2" w:rsidRDefault="00224A1F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1CB2E8A9" w14:textId="16944BE0" w:rsidR="00224A1F" w:rsidRPr="00763BB2" w:rsidRDefault="00224A1F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22F97DB" w14:textId="06E19157" w:rsidR="00224A1F" w:rsidRPr="00763BB2" w:rsidRDefault="00224A1F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169175D9" w14:textId="6562C4FF" w:rsidR="00224A1F" w:rsidRPr="00763BB2" w:rsidRDefault="00224A1F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192C4933" w14:textId="4644D4C6" w:rsidR="00224A1F" w:rsidRPr="00763BB2" w:rsidRDefault="00224A1F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9A37F0D" w14:textId="704E0EBB" w:rsidR="00C32B32" w:rsidRPr="00763BB2" w:rsidRDefault="00C32B32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7D98032E" w14:textId="4BBF079A" w:rsidR="00C32B32" w:rsidRPr="00763BB2" w:rsidRDefault="00C32B32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7A937D94" w14:textId="3D1EC255" w:rsidR="00C32B32" w:rsidRPr="00763BB2" w:rsidRDefault="00C32B32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60120F25" w14:textId="37091277" w:rsidR="00C32B32" w:rsidRPr="00763BB2" w:rsidRDefault="00C32B32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721626C9" w14:textId="77777777" w:rsidR="00C32B32" w:rsidRPr="00763BB2" w:rsidRDefault="00C32B32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647E71C6" w14:textId="61DF9EC1" w:rsidR="00224A1F" w:rsidRPr="00763BB2" w:rsidRDefault="00224A1F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ADA4C8B" w14:textId="03B7690F" w:rsidR="00224A1F" w:rsidRPr="00763BB2" w:rsidRDefault="00224A1F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2E4621E4" w14:textId="77777777" w:rsidR="00224A1F" w:rsidRPr="00763BB2" w:rsidRDefault="00224A1F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0537318" w14:textId="123C6DA4" w:rsidR="0013311D" w:rsidRPr="00763BB2" w:rsidRDefault="0013311D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763BB2">
        <w:rPr>
          <w:rFonts w:ascii="Times New Roman" w:hAnsi="Times New Roman" w:cs="Times New Roman"/>
          <w:b/>
        </w:rPr>
        <w:t xml:space="preserve">z </w:t>
      </w:r>
      <w:r w:rsidR="00224A1F" w:rsidRPr="00763BB2">
        <w:rPr>
          <w:rFonts w:ascii="Times New Roman" w:hAnsi="Times New Roman" w:cs="Times New Roman"/>
          <w:b/>
        </w:rPr>
        <w:t xml:space="preserve">19. mája </w:t>
      </w:r>
      <w:r w:rsidRPr="00763BB2">
        <w:rPr>
          <w:rFonts w:ascii="Times New Roman" w:hAnsi="Times New Roman" w:cs="Times New Roman"/>
          <w:b/>
        </w:rPr>
        <w:t>2022,</w:t>
      </w:r>
    </w:p>
    <w:p w14:paraId="198CE964" w14:textId="77777777" w:rsidR="00EB43C8" w:rsidRPr="00763BB2" w:rsidRDefault="00EB43C8" w:rsidP="00EB43C8">
      <w:pPr>
        <w:jc w:val="center"/>
        <w:rPr>
          <w:rFonts w:ascii="Times New Roman" w:hAnsi="Times New Roman" w:cs="Times New Roman"/>
          <w:lang w:val="sk-SK"/>
        </w:rPr>
      </w:pPr>
    </w:p>
    <w:p w14:paraId="4DE26EA7" w14:textId="77777777" w:rsidR="00EB43C8" w:rsidRPr="00763BB2" w:rsidRDefault="00EB43C8" w:rsidP="00EB43C8">
      <w:pPr>
        <w:jc w:val="center"/>
        <w:rPr>
          <w:rFonts w:ascii="Times New Roman" w:hAnsi="Times New Roman" w:cs="Times New Roman"/>
          <w:b/>
          <w:lang w:val="sk-SK"/>
        </w:rPr>
      </w:pPr>
      <w:r w:rsidRPr="00763BB2">
        <w:rPr>
          <w:rFonts w:ascii="Times New Roman" w:hAnsi="Times New Roman" w:cs="Times New Roman"/>
          <w:b/>
          <w:lang w:val="sk-SK"/>
        </w:rPr>
        <w:t>ktor</w:t>
      </w:r>
      <w:r w:rsidR="00B53E56" w:rsidRPr="00763BB2">
        <w:rPr>
          <w:rFonts w:ascii="Times New Roman" w:hAnsi="Times New Roman" w:cs="Times New Roman"/>
          <w:b/>
          <w:lang w:val="sk-SK"/>
        </w:rPr>
        <w:t>ým sa mení a dopĺňa zákon č. 292/2014</w:t>
      </w:r>
      <w:r w:rsidRPr="00763BB2">
        <w:rPr>
          <w:rFonts w:ascii="Times New Roman" w:hAnsi="Times New Roman" w:cs="Times New Roman"/>
          <w:b/>
          <w:lang w:val="sk-SK"/>
        </w:rPr>
        <w:t xml:space="preserve"> Z. z. o</w:t>
      </w:r>
      <w:r w:rsidR="00B53E56" w:rsidRPr="00763BB2">
        <w:rPr>
          <w:rFonts w:ascii="Times New Roman" w:hAnsi="Times New Roman" w:cs="Times New Roman"/>
          <w:b/>
          <w:lang w:val="sk-SK"/>
        </w:rPr>
        <w:t> príspevku poskytovanom z európskych štrukturálnych a investičných fondov</w:t>
      </w:r>
      <w:r w:rsidRPr="00763BB2">
        <w:rPr>
          <w:rFonts w:ascii="Times New Roman" w:hAnsi="Times New Roman" w:cs="Times New Roman"/>
          <w:b/>
          <w:lang w:val="sk-SK"/>
        </w:rPr>
        <w:t xml:space="preserve"> a o zmene a doplnení niektorých zákonov v znení neskorších predpisov</w:t>
      </w:r>
    </w:p>
    <w:p w14:paraId="02BBE7E5" w14:textId="77777777" w:rsidR="00EB43C8" w:rsidRPr="00763BB2" w:rsidRDefault="00EB43C8" w:rsidP="00EB43C8">
      <w:pPr>
        <w:rPr>
          <w:rFonts w:ascii="Times New Roman" w:hAnsi="Times New Roman" w:cs="Times New Roman"/>
          <w:lang w:val="sk-SK"/>
        </w:rPr>
      </w:pPr>
    </w:p>
    <w:p w14:paraId="7DBBECE4" w14:textId="77777777" w:rsidR="00EB43C8" w:rsidRPr="00763BB2" w:rsidRDefault="00EB43C8" w:rsidP="00EB43C8">
      <w:pPr>
        <w:rPr>
          <w:rFonts w:ascii="Times New Roman" w:hAnsi="Times New Roman" w:cs="Times New Roman"/>
          <w:lang w:val="sk-SK"/>
        </w:rPr>
      </w:pPr>
    </w:p>
    <w:p w14:paraId="2D7BE995" w14:textId="77777777" w:rsidR="00EB43C8" w:rsidRPr="00763BB2" w:rsidRDefault="00EB43C8" w:rsidP="00EB43C8">
      <w:pPr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Národná rada Slovenskej republiky sa uzniesla na tomto zákone:</w:t>
      </w:r>
    </w:p>
    <w:p w14:paraId="05BCC230" w14:textId="65671164" w:rsidR="00EB43C8" w:rsidRPr="00763BB2" w:rsidRDefault="00EB43C8" w:rsidP="009D753B">
      <w:pPr>
        <w:jc w:val="center"/>
        <w:rPr>
          <w:rFonts w:ascii="Times New Roman" w:hAnsi="Times New Roman" w:cs="Times New Roman"/>
          <w:lang w:val="sk-SK"/>
        </w:rPr>
      </w:pPr>
    </w:p>
    <w:p w14:paraId="357262BC" w14:textId="329B6C0F" w:rsidR="009D753B" w:rsidRPr="00763BB2" w:rsidRDefault="009D753B" w:rsidP="009D753B">
      <w:pPr>
        <w:jc w:val="center"/>
        <w:rPr>
          <w:rFonts w:ascii="Times New Roman" w:hAnsi="Times New Roman" w:cs="Times New Roman"/>
          <w:b/>
          <w:lang w:val="sk-SK"/>
        </w:rPr>
      </w:pPr>
      <w:r w:rsidRPr="00763BB2">
        <w:rPr>
          <w:rFonts w:ascii="Times New Roman" w:hAnsi="Times New Roman" w:cs="Times New Roman"/>
          <w:b/>
          <w:lang w:val="sk-SK"/>
        </w:rPr>
        <w:t xml:space="preserve">Čl. </w:t>
      </w:r>
      <w:r w:rsidR="001A2310" w:rsidRPr="00763BB2">
        <w:rPr>
          <w:rFonts w:ascii="Times New Roman" w:hAnsi="Times New Roman" w:cs="Times New Roman"/>
          <w:b/>
          <w:lang w:val="sk-SK"/>
        </w:rPr>
        <w:t>I</w:t>
      </w:r>
    </w:p>
    <w:p w14:paraId="0F8D4BC7" w14:textId="77777777" w:rsidR="003D51F0" w:rsidRPr="00763BB2" w:rsidRDefault="003D51F0" w:rsidP="009D753B">
      <w:pPr>
        <w:jc w:val="center"/>
        <w:rPr>
          <w:rFonts w:ascii="Times New Roman" w:hAnsi="Times New Roman" w:cs="Times New Roman"/>
          <w:b/>
          <w:lang w:val="sk-SK"/>
        </w:rPr>
      </w:pPr>
    </w:p>
    <w:p w14:paraId="0042A217" w14:textId="53428032" w:rsidR="009D753B" w:rsidRPr="00763BB2" w:rsidRDefault="00B53E56" w:rsidP="0094575F">
      <w:pPr>
        <w:ind w:firstLine="72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Zákon č. 292/2014 Z. z. o príspevku poskytovanom z európskych štrukturálnych a investičných fondov a o zmene a doplnení niektorých zákonov v znení zákona č. 357/2015 Z. z., zákona č. 91/2016 Z. z., zákona č. 171/2016 Z. z., zákona č. 315/2016 Z. z., zákona č. 93/2017 Z. z., zákona č. 280/2017 Z. z., zákona č. 112/2018 Z. z., zákona č. 154/2019 Z. z., zákona č. 461/2019 Z. z., zákona č. 128/2020 Z. z., zákona č. 134/2020 Z. z., zákona č. 198/2020 Z. z., zákona č. 202/2021 Z. z., zákona č. 279/2021 Z. z., zákona č. 395/2021 Z. z., zákona č. 39/2022 Z.</w:t>
      </w:r>
      <w:r w:rsidR="003621BD" w:rsidRPr="00763BB2">
        <w:rPr>
          <w:rFonts w:ascii="Times New Roman" w:hAnsi="Times New Roman" w:cs="Times New Roman"/>
          <w:lang w:val="sk-SK"/>
        </w:rPr>
        <w:t xml:space="preserve"> </w:t>
      </w:r>
      <w:r w:rsidRPr="00763BB2">
        <w:rPr>
          <w:rFonts w:ascii="Times New Roman" w:hAnsi="Times New Roman" w:cs="Times New Roman"/>
          <w:lang w:val="sk-SK"/>
        </w:rPr>
        <w:t>z.</w:t>
      </w:r>
      <w:r w:rsidR="00AF0DB9" w:rsidRPr="00763BB2">
        <w:rPr>
          <w:rFonts w:ascii="Times New Roman" w:hAnsi="Times New Roman" w:cs="Times New Roman"/>
          <w:lang w:val="sk-SK"/>
        </w:rPr>
        <w:t>,</w:t>
      </w:r>
      <w:r w:rsidRPr="00763BB2">
        <w:rPr>
          <w:rFonts w:ascii="Times New Roman" w:hAnsi="Times New Roman" w:cs="Times New Roman"/>
          <w:lang w:val="sk-SK"/>
        </w:rPr>
        <w:t> zákona č. 64/2022 Z.</w:t>
      </w:r>
      <w:r w:rsidR="003621BD" w:rsidRPr="00763BB2">
        <w:rPr>
          <w:rFonts w:ascii="Times New Roman" w:hAnsi="Times New Roman" w:cs="Times New Roman"/>
          <w:lang w:val="sk-SK"/>
        </w:rPr>
        <w:t xml:space="preserve"> </w:t>
      </w:r>
      <w:r w:rsidRPr="00763BB2">
        <w:rPr>
          <w:rFonts w:ascii="Times New Roman" w:hAnsi="Times New Roman" w:cs="Times New Roman"/>
          <w:lang w:val="sk-SK"/>
        </w:rPr>
        <w:t>z.</w:t>
      </w:r>
      <w:r w:rsidR="006A32F2" w:rsidRPr="00763BB2">
        <w:rPr>
          <w:rFonts w:ascii="Times New Roman" w:hAnsi="Times New Roman" w:cs="Times New Roman"/>
          <w:lang w:val="sk-SK"/>
        </w:rPr>
        <w:t>, zákona č. 113/2022 Z. z.</w:t>
      </w:r>
      <w:r w:rsidR="009D753B" w:rsidRPr="00763BB2">
        <w:rPr>
          <w:rFonts w:ascii="Times New Roman" w:hAnsi="Times New Roman" w:cs="Times New Roman"/>
          <w:lang w:val="sk-SK"/>
        </w:rPr>
        <w:t xml:space="preserve"> </w:t>
      </w:r>
      <w:r w:rsidR="00AF0DB9" w:rsidRPr="00763BB2">
        <w:rPr>
          <w:rFonts w:ascii="Times New Roman" w:hAnsi="Times New Roman" w:cs="Times New Roman"/>
          <w:lang w:val="sk-SK"/>
        </w:rPr>
        <w:t xml:space="preserve">a zákona č. 121/2022 Z. z. </w:t>
      </w:r>
      <w:r w:rsidR="009D753B" w:rsidRPr="00763BB2">
        <w:rPr>
          <w:rFonts w:ascii="Times New Roman" w:hAnsi="Times New Roman" w:cs="Times New Roman"/>
          <w:lang w:val="sk-SK"/>
        </w:rPr>
        <w:t>sa mení a dopĺňa takto:</w:t>
      </w:r>
    </w:p>
    <w:p w14:paraId="1750ED07" w14:textId="77777777" w:rsidR="00AF08CC" w:rsidRPr="00763BB2" w:rsidRDefault="00AF08CC" w:rsidP="0094575F">
      <w:pPr>
        <w:jc w:val="both"/>
        <w:rPr>
          <w:rFonts w:ascii="Times New Roman" w:hAnsi="Times New Roman" w:cs="Times New Roman"/>
          <w:lang w:val="sk-SK"/>
        </w:rPr>
      </w:pPr>
    </w:p>
    <w:p w14:paraId="1F3C8530" w14:textId="77777777" w:rsidR="004D473B" w:rsidRPr="00763BB2" w:rsidRDefault="004D473B" w:rsidP="004D473B">
      <w:pPr>
        <w:pStyle w:val="Odsekzoznamu"/>
        <w:ind w:left="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 xml:space="preserve">1. V § 3 ods. 1 písmeno a) znie:  </w:t>
      </w:r>
    </w:p>
    <w:p w14:paraId="6FCE33B3" w14:textId="77777777" w:rsidR="004D473B" w:rsidRPr="00763BB2" w:rsidRDefault="004D473B" w:rsidP="004D473B">
      <w:pPr>
        <w:pStyle w:val="Odsekzoznamu"/>
        <w:ind w:left="284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„a) príspevkom finančné prostriedky poskytované z európskych štrukturálnych a investičných fondov a finančné prostriedky poskytované zo štátneho rozpočtu určené na financovanie spoločných programov Slovenskej republiky a Európskej únie; príspevok sa poskytuje ako:</w:t>
      </w:r>
    </w:p>
    <w:p w14:paraId="54A2577E" w14:textId="77777777" w:rsidR="004D473B" w:rsidRPr="00763BB2" w:rsidRDefault="004D473B" w:rsidP="004D473B">
      <w:pPr>
        <w:pStyle w:val="Odsekzoznamu"/>
        <w:ind w:left="284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1. nenávratný finančný príspevok alebo podmienečne vratný finančný príspevok na realizáciu projektu na základe zmluvy o poskytnutí nenávratného finančného príspevku alebo podmienečne vratného finančného príspevku podľa § 25 (ďalej len "zmluva") alebo rozhodnutia podľa § 16 ods. 2,</w:t>
      </w:r>
    </w:p>
    <w:p w14:paraId="2AA5141F" w14:textId="73036FEF" w:rsidR="00BB1558" w:rsidRPr="00763BB2" w:rsidRDefault="004D473B" w:rsidP="004D473B">
      <w:pPr>
        <w:pStyle w:val="Odsekzoznamu"/>
        <w:ind w:left="284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2. dodatočný príspevok, ktorý sa poskytuje podľa § 25a k príspevku podľa prvého bodu na realizáciu projektu na základe zmeny zmluvy,“.</w:t>
      </w:r>
    </w:p>
    <w:p w14:paraId="4BA767AB" w14:textId="77777777" w:rsidR="00BB1558" w:rsidRPr="00763BB2" w:rsidRDefault="00BB1558" w:rsidP="004D473B">
      <w:pPr>
        <w:pStyle w:val="Odsekzoznamu"/>
        <w:ind w:left="0"/>
        <w:jc w:val="both"/>
        <w:rPr>
          <w:rFonts w:ascii="Times New Roman" w:hAnsi="Times New Roman" w:cs="Times New Roman"/>
          <w:lang w:val="sk-SK"/>
        </w:rPr>
      </w:pPr>
    </w:p>
    <w:p w14:paraId="2C1A2429" w14:textId="4724643F" w:rsidR="00BB1558" w:rsidRPr="00763BB2" w:rsidRDefault="00224A1F" w:rsidP="004D473B">
      <w:pPr>
        <w:pStyle w:val="Odsekzoznamu"/>
        <w:ind w:left="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2</w:t>
      </w:r>
      <w:r w:rsidR="00BB1558" w:rsidRPr="00763BB2">
        <w:rPr>
          <w:rFonts w:ascii="Times New Roman" w:hAnsi="Times New Roman" w:cs="Times New Roman"/>
          <w:lang w:val="sk-SK"/>
        </w:rPr>
        <w:t>. V § 7 ods. 3 sa slovo „overuje“ nahrádza slovami „môže overiť“.</w:t>
      </w:r>
    </w:p>
    <w:p w14:paraId="01EA09BF" w14:textId="77777777" w:rsidR="00BB1558" w:rsidRPr="00763BB2" w:rsidRDefault="00BB1558" w:rsidP="00BB1558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</w:p>
    <w:p w14:paraId="0A84977E" w14:textId="190E1B71" w:rsidR="00BB1558" w:rsidRPr="00763BB2" w:rsidRDefault="00224A1F" w:rsidP="004D473B">
      <w:pPr>
        <w:pStyle w:val="Odsekzoznamu"/>
        <w:ind w:left="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3</w:t>
      </w:r>
      <w:r w:rsidR="00BB1558" w:rsidRPr="00763BB2">
        <w:rPr>
          <w:rFonts w:ascii="Times New Roman" w:hAnsi="Times New Roman" w:cs="Times New Roman"/>
          <w:lang w:val="sk-SK"/>
        </w:rPr>
        <w:t>. § 7 sa dopĺňa odsekom 14, ktorý znie:</w:t>
      </w:r>
    </w:p>
    <w:p w14:paraId="1BB46B9C" w14:textId="6E381BCC" w:rsidR="00BB1558" w:rsidRPr="00763BB2" w:rsidRDefault="00BB1558" w:rsidP="00BB1558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lastRenderedPageBreak/>
        <w:tab/>
        <w:t>„(14) Riadiaci orgán je oprávnený pri plnení svojich úloh požadovať od Policajného zboru, orgánov činných v trestnom konaní</w:t>
      </w:r>
      <w:r w:rsidRPr="00763BB2">
        <w:rPr>
          <w:rFonts w:ascii="Times New Roman" w:hAnsi="Times New Roman" w:cs="Times New Roman"/>
          <w:vertAlign w:val="superscript"/>
          <w:lang w:val="sk-SK"/>
        </w:rPr>
        <w:t>43b</w:t>
      </w:r>
      <w:r w:rsidRPr="00763BB2">
        <w:rPr>
          <w:rFonts w:ascii="Times New Roman" w:hAnsi="Times New Roman" w:cs="Times New Roman"/>
          <w:lang w:val="sk-SK"/>
        </w:rPr>
        <w:t>) a súdu informácie na účely riešenia nezrovnalostí a Policajný zbor, orgány činné v trestnom konaní a súd sú povinné požadované informácie poskytnúť. Policajný zbor, orgány činné v trestnom konaní a súd nie sú povinné poskytnúť riadiacemu orgánu informácie, ak by tým mohol byť ohrozený alebo zmarený účel trestného konania, alebo ak by tým mohlo dôjsť k ohrozeniu alebo zmareniu úloh podľa osobitného predpisu</w:t>
      </w:r>
      <w:r w:rsidR="00D85223">
        <w:rPr>
          <w:rFonts w:ascii="Times New Roman" w:hAnsi="Times New Roman" w:cs="Times New Roman"/>
          <w:lang w:val="sk-SK"/>
        </w:rPr>
        <w:t>.</w:t>
      </w:r>
      <w:r w:rsidRPr="00763BB2">
        <w:rPr>
          <w:rFonts w:ascii="Times New Roman" w:hAnsi="Times New Roman" w:cs="Times New Roman"/>
          <w:vertAlign w:val="superscript"/>
          <w:lang w:val="sk-SK"/>
        </w:rPr>
        <w:t>43c</w:t>
      </w:r>
      <w:r w:rsidRPr="00763BB2">
        <w:rPr>
          <w:rFonts w:ascii="Times New Roman" w:hAnsi="Times New Roman" w:cs="Times New Roman"/>
          <w:lang w:val="sk-SK"/>
        </w:rPr>
        <w:t>) Ustanovenie osobitného predpisu</w:t>
      </w:r>
      <w:r w:rsidRPr="00763BB2">
        <w:rPr>
          <w:rFonts w:ascii="Times New Roman" w:hAnsi="Times New Roman" w:cs="Times New Roman"/>
          <w:vertAlign w:val="superscript"/>
          <w:lang w:val="sk-SK"/>
        </w:rPr>
        <w:t>43d</w:t>
      </w:r>
      <w:r w:rsidRPr="00763BB2">
        <w:rPr>
          <w:rFonts w:ascii="Times New Roman" w:hAnsi="Times New Roman" w:cs="Times New Roman"/>
          <w:lang w:val="sk-SK"/>
        </w:rPr>
        <w:t>) tým nie je dotknuté.“</w:t>
      </w:r>
      <w:r w:rsidR="00D85223">
        <w:rPr>
          <w:rFonts w:ascii="Times New Roman" w:hAnsi="Times New Roman" w:cs="Times New Roman"/>
          <w:lang w:val="sk-SK"/>
        </w:rPr>
        <w:t>.</w:t>
      </w:r>
      <w:bookmarkStart w:id="0" w:name="_GoBack"/>
      <w:bookmarkEnd w:id="0"/>
    </w:p>
    <w:p w14:paraId="7390F7EE" w14:textId="77777777" w:rsidR="00BB1558" w:rsidRPr="00763BB2" w:rsidRDefault="00BB1558" w:rsidP="00BB1558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ab/>
      </w:r>
    </w:p>
    <w:p w14:paraId="1B84663A" w14:textId="0986E965" w:rsidR="00BB1558" w:rsidRPr="00763BB2" w:rsidRDefault="00BB1558" w:rsidP="00BB1558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Poznámky pod čiarou k odkazom 43b) až 43d) znejú:</w:t>
      </w:r>
    </w:p>
    <w:p w14:paraId="17B49013" w14:textId="77777777" w:rsidR="00BB1558" w:rsidRPr="00763BB2" w:rsidRDefault="00BB1558" w:rsidP="00BB1558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</w:p>
    <w:p w14:paraId="41528B93" w14:textId="75A53C1C" w:rsidR="00BB1558" w:rsidRPr="00763BB2" w:rsidRDefault="00BB1558" w:rsidP="004D473B">
      <w:pPr>
        <w:pStyle w:val="Odsekzoznamu"/>
        <w:ind w:left="709" w:hanging="283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„</w:t>
      </w:r>
      <w:r w:rsidRPr="00763BB2">
        <w:rPr>
          <w:rFonts w:ascii="Times New Roman" w:hAnsi="Times New Roman" w:cs="Times New Roman"/>
          <w:vertAlign w:val="superscript"/>
          <w:lang w:val="sk-SK"/>
        </w:rPr>
        <w:t>43b</w:t>
      </w:r>
      <w:r w:rsidRPr="00763BB2">
        <w:rPr>
          <w:rFonts w:ascii="Times New Roman" w:hAnsi="Times New Roman" w:cs="Times New Roman"/>
          <w:lang w:val="sk-SK"/>
        </w:rPr>
        <w:t>) § 10 Trestného poriadku v znení neskorších predpisov.</w:t>
      </w:r>
    </w:p>
    <w:p w14:paraId="16C14B57" w14:textId="77777777" w:rsidR="00BB1558" w:rsidRPr="00763BB2" w:rsidRDefault="00BB1558" w:rsidP="004D473B">
      <w:pPr>
        <w:pStyle w:val="Odsekzoznamu"/>
        <w:ind w:left="567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vertAlign w:val="superscript"/>
          <w:lang w:val="sk-SK"/>
        </w:rPr>
        <w:t>43c</w:t>
      </w:r>
      <w:r w:rsidRPr="00763BB2">
        <w:rPr>
          <w:rFonts w:ascii="Times New Roman" w:hAnsi="Times New Roman" w:cs="Times New Roman"/>
          <w:lang w:val="sk-SK"/>
        </w:rPr>
        <w:t>) Zákon Národnej rady Slovenskej republiky č. 171/1993 Z. z. o Policajnom zbore v znení neskorších predpisov.</w:t>
      </w:r>
    </w:p>
    <w:p w14:paraId="10740048" w14:textId="1D9ABCF4" w:rsidR="00BB1558" w:rsidRPr="00763BB2" w:rsidRDefault="00BB1558" w:rsidP="004D473B">
      <w:pPr>
        <w:pStyle w:val="Odsekzoznamu"/>
        <w:ind w:left="567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vertAlign w:val="superscript"/>
          <w:lang w:val="sk-SK"/>
        </w:rPr>
        <w:t>43d</w:t>
      </w:r>
      <w:r w:rsidRPr="00763BB2">
        <w:rPr>
          <w:rFonts w:ascii="Times New Roman" w:hAnsi="Times New Roman" w:cs="Times New Roman"/>
          <w:lang w:val="sk-SK"/>
        </w:rPr>
        <w:t>) § 6 Trestného poriadku v znení neskorších predpisov.“.</w:t>
      </w:r>
    </w:p>
    <w:p w14:paraId="4D3B7C0F" w14:textId="77777777" w:rsidR="00BB1558" w:rsidRPr="00763BB2" w:rsidRDefault="00BB1558" w:rsidP="00BB1558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</w:p>
    <w:p w14:paraId="7E13243C" w14:textId="155500D5" w:rsidR="00BB1558" w:rsidRPr="00763BB2" w:rsidRDefault="00224A1F" w:rsidP="004D473B">
      <w:pPr>
        <w:pStyle w:val="Odsekzoznamu"/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4</w:t>
      </w:r>
      <w:r w:rsidR="00BB1558" w:rsidRPr="00763BB2">
        <w:rPr>
          <w:rFonts w:ascii="Times New Roman" w:hAnsi="Times New Roman" w:cs="Times New Roman"/>
          <w:lang w:val="sk-SK"/>
        </w:rPr>
        <w:t>. V § 16a ods. 2 sa za slovom „vyzvaní“ vypúšťa čiarka a slová „v zmluve podľa § 16 ods. 1 alebo v rozhodnutí podľa § 16 ods. 2</w:t>
      </w:r>
      <w:r w:rsidR="00BB1558" w:rsidRPr="00763BB2">
        <w:rPr>
          <w:rFonts w:ascii="Times New Roman" w:hAnsi="Times New Roman" w:cs="Times New Roman"/>
          <w:vertAlign w:val="superscript"/>
          <w:lang w:val="sk-SK"/>
        </w:rPr>
        <w:t>62da</w:t>
      </w:r>
      <w:r w:rsidR="00BB1558" w:rsidRPr="00763BB2">
        <w:rPr>
          <w:rFonts w:ascii="Times New Roman" w:hAnsi="Times New Roman" w:cs="Times New Roman"/>
          <w:lang w:val="sk-SK"/>
        </w:rPr>
        <w:t>)“.</w:t>
      </w:r>
    </w:p>
    <w:p w14:paraId="3F621B5E" w14:textId="77777777" w:rsidR="00BB1558" w:rsidRPr="00763BB2" w:rsidRDefault="00BB1558" w:rsidP="00BB1558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</w:p>
    <w:p w14:paraId="31C0AB82" w14:textId="77777777" w:rsidR="00BB1558" w:rsidRPr="00763BB2" w:rsidRDefault="00BB1558" w:rsidP="00BB1558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Poznámka pod čiarou k odkazu 62da sa vypúšťa.</w:t>
      </w:r>
    </w:p>
    <w:p w14:paraId="47806335" w14:textId="77777777" w:rsidR="00BB1558" w:rsidRPr="00763BB2" w:rsidRDefault="00BB1558" w:rsidP="00BB1558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</w:p>
    <w:p w14:paraId="137E0342" w14:textId="5B43B300" w:rsidR="00BB1558" w:rsidRPr="00763BB2" w:rsidRDefault="00224A1F" w:rsidP="004D473B">
      <w:pPr>
        <w:pStyle w:val="Odsekzoznamu"/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5</w:t>
      </w:r>
      <w:r w:rsidR="00BB1558" w:rsidRPr="00763BB2">
        <w:rPr>
          <w:rFonts w:ascii="Times New Roman" w:hAnsi="Times New Roman" w:cs="Times New Roman"/>
          <w:lang w:val="sk-SK"/>
        </w:rPr>
        <w:t>. V § 17 ods. 6 sa na konci pripája táto veta: „Za prvé rozhodnutie podľa prvej a druhej vety sa nepovažuje rozhodnutie o zastavení konania podľa § 20 ods. 1 písm. a), b) a d).“.</w:t>
      </w:r>
    </w:p>
    <w:p w14:paraId="4D85C97E" w14:textId="77777777" w:rsidR="00BB1558" w:rsidRPr="00763BB2" w:rsidRDefault="00BB1558" w:rsidP="004D473B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</w:p>
    <w:p w14:paraId="642F380D" w14:textId="77777777" w:rsidR="004D473B" w:rsidRPr="00763BB2" w:rsidRDefault="004D473B" w:rsidP="00763BB2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Za § 25 sa vkladá § 25a, ktorý vrátane nadpisu znie:</w:t>
      </w:r>
    </w:p>
    <w:p w14:paraId="02862983" w14:textId="77777777" w:rsidR="004D473B" w:rsidRPr="00763BB2" w:rsidRDefault="004D473B" w:rsidP="004D473B">
      <w:pPr>
        <w:pStyle w:val="Odsekzoznamu"/>
        <w:ind w:left="502"/>
        <w:jc w:val="both"/>
        <w:rPr>
          <w:rFonts w:ascii="Times New Roman" w:hAnsi="Times New Roman" w:cs="Times New Roman"/>
          <w:lang w:val="sk-SK"/>
        </w:rPr>
      </w:pPr>
    </w:p>
    <w:p w14:paraId="6FF34873" w14:textId="5202EB03" w:rsidR="004D473B" w:rsidRPr="00763BB2" w:rsidRDefault="004D473B" w:rsidP="004D473B">
      <w:pPr>
        <w:pStyle w:val="Odsekzoznamu"/>
        <w:ind w:left="502"/>
        <w:jc w:val="center"/>
        <w:rPr>
          <w:rFonts w:ascii="Times New Roman" w:hAnsi="Times New Roman" w:cs="Times New Roman"/>
          <w:b/>
          <w:lang w:val="sk-SK"/>
        </w:rPr>
      </w:pPr>
      <w:r w:rsidRPr="00763BB2">
        <w:rPr>
          <w:rFonts w:ascii="Times New Roman" w:hAnsi="Times New Roman" w:cs="Times New Roman"/>
          <w:b/>
          <w:lang w:val="sk-SK"/>
        </w:rPr>
        <w:t>„§ 25a</w:t>
      </w:r>
    </w:p>
    <w:p w14:paraId="632F5705" w14:textId="54FEB020" w:rsidR="004D473B" w:rsidRPr="00763BB2" w:rsidRDefault="004D473B" w:rsidP="004D473B">
      <w:pPr>
        <w:pStyle w:val="Odsekzoznamu"/>
        <w:ind w:left="502"/>
        <w:jc w:val="center"/>
        <w:rPr>
          <w:rFonts w:ascii="Times New Roman" w:hAnsi="Times New Roman" w:cs="Times New Roman"/>
          <w:b/>
          <w:lang w:val="sk-SK"/>
        </w:rPr>
      </w:pPr>
      <w:r w:rsidRPr="00763BB2">
        <w:rPr>
          <w:rFonts w:ascii="Times New Roman" w:hAnsi="Times New Roman" w:cs="Times New Roman"/>
          <w:b/>
          <w:lang w:val="sk-SK"/>
        </w:rPr>
        <w:t>Osobitné ustanovenia k poskytovaniu dodatočného príspevku</w:t>
      </w:r>
    </w:p>
    <w:p w14:paraId="49B793E4" w14:textId="77777777" w:rsidR="004D473B" w:rsidRPr="00763BB2" w:rsidRDefault="004D473B" w:rsidP="004D473B">
      <w:pPr>
        <w:pStyle w:val="Odsekzoznamu"/>
        <w:ind w:left="502"/>
        <w:jc w:val="center"/>
        <w:rPr>
          <w:rFonts w:ascii="Times New Roman" w:hAnsi="Times New Roman" w:cs="Times New Roman"/>
          <w:b/>
          <w:lang w:val="sk-SK"/>
        </w:rPr>
      </w:pPr>
    </w:p>
    <w:p w14:paraId="2A2A334F" w14:textId="77777777" w:rsidR="004D473B" w:rsidRPr="00763BB2" w:rsidRDefault="004D473B" w:rsidP="004D473B">
      <w:pPr>
        <w:pStyle w:val="Odsekzoznamu"/>
        <w:ind w:left="284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(1) Na účely tohto zákona sa dodatočný príspevok považuje za súčasť finančných prostriedkov členského štátu.</w:t>
      </w:r>
      <w:r w:rsidRPr="00763BB2">
        <w:rPr>
          <w:rFonts w:ascii="Times New Roman" w:hAnsi="Times New Roman" w:cs="Times New Roman"/>
          <w:vertAlign w:val="superscript"/>
          <w:lang w:val="sk-SK"/>
        </w:rPr>
        <w:t>64a</w:t>
      </w:r>
      <w:r w:rsidRPr="00763BB2">
        <w:rPr>
          <w:rFonts w:ascii="Times New Roman" w:hAnsi="Times New Roman" w:cs="Times New Roman"/>
          <w:lang w:val="sk-SK"/>
        </w:rPr>
        <w:t xml:space="preserve">) Poskytovateľ môže prijímateľovi poskytnúť dodatočný príspevok, ak </w:t>
      </w:r>
    </w:p>
    <w:p w14:paraId="2FFF2508" w14:textId="40D631CC" w:rsidR="004D473B" w:rsidRPr="00763BB2" w:rsidRDefault="004D473B" w:rsidP="004D473B">
      <w:pPr>
        <w:pStyle w:val="Odsekzoznamu"/>
        <w:ind w:left="709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a) poskytovateľ disponuje finančnými prostriedkami určenými na poskytnutie dodatočného príspevku,</w:t>
      </w:r>
    </w:p>
    <w:p w14:paraId="6A3C7ABF" w14:textId="022A71B4" w:rsidR="004D473B" w:rsidRPr="00763BB2" w:rsidRDefault="004D473B" w:rsidP="004D473B">
      <w:pPr>
        <w:pStyle w:val="Odsekzoznamu"/>
        <w:ind w:left="709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b)  sa zvýšia celkové oprávnené výdavky projektu týkajúce sa hlavných aktivít projektu a bez úhrady ktorých by nebolo možné dosiahnuť ciele projektu podľa zmluvy a</w:t>
      </w:r>
    </w:p>
    <w:p w14:paraId="2D3DDF3C" w14:textId="5F5EEEB9" w:rsidR="004D473B" w:rsidRPr="00763BB2" w:rsidRDefault="004D473B" w:rsidP="004D473B">
      <w:pPr>
        <w:pStyle w:val="Odsekzoznamu"/>
        <w:ind w:left="709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c) sú splnené podmienky podľa osobitného predpisu.</w:t>
      </w:r>
      <w:r w:rsidRPr="00763BB2">
        <w:rPr>
          <w:rFonts w:ascii="Times New Roman" w:hAnsi="Times New Roman" w:cs="Times New Roman"/>
          <w:vertAlign w:val="superscript"/>
          <w:lang w:val="sk-SK"/>
        </w:rPr>
        <w:t>64b</w:t>
      </w:r>
      <w:r w:rsidRPr="00763BB2">
        <w:rPr>
          <w:rFonts w:ascii="Times New Roman" w:hAnsi="Times New Roman" w:cs="Times New Roman"/>
          <w:lang w:val="sk-SK"/>
        </w:rPr>
        <w:t>)</w:t>
      </w:r>
    </w:p>
    <w:p w14:paraId="39A9BF36" w14:textId="77777777" w:rsidR="004D473B" w:rsidRPr="00763BB2" w:rsidRDefault="004D473B" w:rsidP="004D473B">
      <w:pPr>
        <w:pStyle w:val="Odsekzoznamu"/>
        <w:ind w:left="284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(2) Dodatočný príspevok sa poskytuje prijímateľovi na základe zmeny zmluvy a postupom v nej dohodnutom. Právny nárok na poskytnutie dodatočného príspevku vzniká nadobudnutím účinnosti zmeny zmluvy.</w:t>
      </w:r>
    </w:p>
    <w:p w14:paraId="40196038" w14:textId="77777777" w:rsidR="004D473B" w:rsidRPr="00763BB2" w:rsidRDefault="004D473B" w:rsidP="004D473B">
      <w:pPr>
        <w:pStyle w:val="Odsekzoznamu"/>
        <w:ind w:left="284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(3) Na poskytnutie dodatočného príspevku sa neuplatňuje postup pri poskytovaní príspevku podľa § 16, okrem odsekov 5 až 7, § 16a až 24, § 26 až 32 a § 35.“.</w:t>
      </w:r>
    </w:p>
    <w:p w14:paraId="288D29E0" w14:textId="77777777" w:rsidR="004D473B" w:rsidRPr="00763BB2" w:rsidRDefault="004D473B" w:rsidP="004D473B">
      <w:pPr>
        <w:pStyle w:val="Odsekzoznamu"/>
        <w:ind w:left="502"/>
        <w:jc w:val="both"/>
        <w:rPr>
          <w:rFonts w:ascii="Times New Roman" w:hAnsi="Times New Roman" w:cs="Times New Roman"/>
          <w:lang w:val="sk-SK"/>
        </w:rPr>
      </w:pPr>
    </w:p>
    <w:p w14:paraId="4A8C2E92" w14:textId="77777777" w:rsidR="004D473B" w:rsidRPr="00763BB2" w:rsidRDefault="004D473B" w:rsidP="004D473B">
      <w:pPr>
        <w:pStyle w:val="Odsekzoznamu"/>
        <w:ind w:left="502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Poznámky pod čiarou k odkazom 64a a 64b znejú:</w:t>
      </w:r>
    </w:p>
    <w:p w14:paraId="7EE379B7" w14:textId="77777777" w:rsidR="004D473B" w:rsidRPr="00763BB2" w:rsidRDefault="004D473B" w:rsidP="004D473B">
      <w:pPr>
        <w:pStyle w:val="Odsekzoznamu"/>
        <w:ind w:left="502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„</w:t>
      </w:r>
      <w:r w:rsidRPr="00763BB2">
        <w:rPr>
          <w:rFonts w:ascii="Times New Roman" w:hAnsi="Times New Roman" w:cs="Times New Roman"/>
          <w:vertAlign w:val="superscript"/>
          <w:lang w:val="sk-SK"/>
        </w:rPr>
        <w:t>64a</w:t>
      </w:r>
      <w:r w:rsidRPr="00763BB2">
        <w:rPr>
          <w:rFonts w:ascii="Times New Roman" w:hAnsi="Times New Roman" w:cs="Times New Roman"/>
          <w:lang w:val="sk-SK"/>
        </w:rPr>
        <w:t>) Čl. 25a ods. 1 a 1a nariadenia (EÚ) č. 1303/2013.</w:t>
      </w:r>
    </w:p>
    <w:p w14:paraId="7981FDB5" w14:textId="77C16A26" w:rsidR="004D473B" w:rsidRPr="00763BB2" w:rsidRDefault="004D473B" w:rsidP="004D473B">
      <w:pPr>
        <w:pStyle w:val="Odsekzoznamu"/>
        <w:ind w:left="502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vertAlign w:val="superscript"/>
          <w:lang w:val="sk-SK"/>
        </w:rPr>
        <w:t>64b</w:t>
      </w:r>
      <w:r w:rsidRPr="00763BB2">
        <w:rPr>
          <w:rFonts w:ascii="Times New Roman" w:hAnsi="Times New Roman" w:cs="Times New Roman"/>
          <w:lang w:val="sk-SK"/>
        </w:rPr>
        <w:t>) Napríklad § 19 ods. 3 zákona č. 523/2004 Z. z. v znení neskorších predpisov, zákon č. 343/2015 Z. z. v znení neskorších predpisov, zákon č. 357/2015 Z. z. v znení neskorších predpisov.“.</w:t>
      </w:r>
    </w:p>
    <w:p w14:paraId="1090613C" w14:textId="77777777" w:rsidR="004D473B" w:rsidRPr="00763BB2" w:rsidRDefault="004D473B" w:rsidP="004D473B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</w:p>
    <w:p w14:paraId="16A1E084" w14:textId="34D29F4E" w:rsidR="000A08D2" w:rsidRPr="00763BB2" w:rsidRDefault="00BB1558" w:rsidP="0094575F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eastAsia="Times New Roman" w:hAnsi="Times New Roman" w:cs="Times New Roman"/>
          <w:lang w:eastAsia="sk-SK"/>
        </w:rPr>
        <w:t>§ 28 sa dopĺňa odsekom 5, ktorý znie</w:t>
      </w:r>
      <w:r w:rsidR="005F6465" w:rsidRPr="00763BB2">
        <w:rPr>
          <w:rFonts w:ascii="Times New Roman" w:hAnsi="Times New Roman" w:cs="Times New Roman"/>
          <w:lang w:val="sk-SK"/>
        </w:rPr>
        <w:t>:</w:t>
      </w:r>
    </w:p>
    <w:p w14:paraId="21F07AFC" w14:textId="2248937F" w:rsidR="00BB1558" w:rsidRPr="00763BB2" w:rsidRDefault="00BB1558" w:rsidP="004D473B">
      <w:pPr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763BB2">
        <w:rPr>
          <w:rFonts w:ascii="Times New Roman" w:eastAsia="Times New Roman" w:hAnsi="Times New Roman" w:cs="Times New Roman"/>
          <w:lang w:eastAsia="sk-SK"/>
        </w:rPr>
        <w:t>„(5) Poskytovateľ môže z vlastného podnetu zmeniť právoplatné rozhodnutie o neschválení žiadosti, ak žiadosť nebolo možné schváliť z dôvodu nedostatku finančných prostriedkov určených na vyčerpanie vo vyzvaní, a rozhodnúť o schválení žiadosti na projekty technickej pomoci. Na postup podľa prvej vety sa primerane použijú ustanovenia § 21 ods. 1 až 3 a ods. 5 a 6. Poskytovateľ je pri rozhodovaní o zmene rozhodnutia o neschválení žiadosti viazaný dodržaním poradia žiadostí, pričom najprv koná o žiadosti, ktorá bola predložená ako prvá v poradí. Ak na prvú žiadosť v poradí nepostačuje výška finančných prostriedkov určených na vyčerpanie vo vyzvaní, poskytovateľ rozhoduje o nasledujúcej žiadosti v poradí podľa tretej vety, na ktorú výška finančných prostriedkov určených na vyčerpanie vo vyzvaní postačuje.“.</w:t>
      </w:r>
    </w:p>
    <w:p w14:paraId="554F2502" w14:textId="584BAE91" w:rsidR="00BB1558" w:rsidRPr="00763BB2" w:rsidRDefault="00BB1558" w:rsidP="004D473B">
      <w:pPr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3055EBE4" w14:textId="51C55F1F" w:rsidR="00BB1558" w:rsidRPr="00763BB2" w:rsidRDefault="00224A1F" w:rsidP="004D473B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763BB2">
        <w:rPr>
          <w:rFonts w:ascii="Times New Roman" w:eastAsia="Times New Roman" w:hAnsi="Times New Roman" w:cs="Times New Roman"/>
          <w:lang w:eastAsia="sk-SK"/>
        </w:rPr>
        <w:t>8</w:t>
      </w:r>
      <w:r w:rsidR="00BB1558" w:rsidRPr="00763BB2">
        <w:rPr>
          <w:rFonts w:ascii="Times New Roman" w:eastAsia="Times New Roman" w:hAnsi="Times New Roman" w:cs="Times New Roman"/>
          <w:lang w:eastAsia="sk-SK"/>
        </w:rPr>
        <w:t xml:space="preserve">. V § 44 odsek 4 znie: </w:t>
      </w:r>
    </w:p>
    <w:p w14:paraId="6B474F49" w14:textId="77777777" w:rsidR="00BB1558" w:rsidRPr="00763BB2" w:rsidRDefault="00BB1558" w:rsidP="00BB1558">
      <w:pPr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763BB2">
        <w:rPr>
          <w:rFonts w:ascii="Times New Roman" w:eastAsia="Times New Roman" w:hAnsi="Times New Roman" w:cs="Times New Roman"/>
          <w:lang w:eastAsia="sk-SK"/>
        </w:rPr>
        <w:t xml:space="preserve">„(4) Na účely účtovníctva sa plnenie inej osoby ako prijímateľa považuje za plnenie prijímateľa, ak </w:t>
      </w:r>
    </w:p>
    <w:p w14:paraId="29B98BF9" w14:textId="77777777" w:rsidR="00BB1558" w:rsidRPr="00763BB2" w:rsidRDefault="00BB1558" w:rsidP="004D473B">
      <w:pPr>
        <w:ind w:left="851" w:hanging="284"/>
        <w:jc w:val="both"/>
        <w:rPr>
          <w:rFonts w:ascii="Times New Roman" w:eastAsia="Times New Roman" w:hAnsi="Times New Roman" w:cs="Times New Roman"/>
          <w:lang w:eastAsia="sk-SK"/>
        </w:rPr>
      </w:pPr>
      <w:r w:rsidRPr="00763BB2">
        <w:rPr>
          <w:rFonts w:ascii="Times New Roman" w:eastAsia="Times New Roman" w:hAnsi="Times New Roman" w:cs="Times New Roman"/>
          <w:lang w:eastAsia="sk-SK"/>
        </w:rPr>
        <w:t>a)</w:t>
      </w:r>
      <w:r w:rsidRPr="00763BB2">
        <w:rPr>
          <w:rFonts w:ascii="Times New Roman" w:eastAsia="Times New Roman" w:hAnsi="Times New Roman" w:cs="Times New Roman"/>
          <w:lang w:eastAsia="sk-SK"/>
        </w:rPr>
        <w:tab/>
        <w:t xml:space="preserve">z právoplatného súdneho rozhodnutia, ktoré sa týka projektu, v rámci ktorého má poskytovateľ voči prijímateľovi v správe pohľadávku z príspevku alebo pohľadávku z rozhodnutia, vyplýva osobe povinnosť vrátiť poskytovateľovi príspevok alebo jeho časť alebo nahradiť poskytovateľovi škodu, alebo </w:t>
      </w:r>
    </w:p>
    <w:p w14:paraId="4E3B8B06" w14:textId="77777777" w:rsidR="00BB1558" w:rsidRPr="00763BB2" w:rsidRDefault="00BB1558" w:rsidP="004D473B">
      <w:pPr>
        <w:ind w:left="851" w:hanging="284"/>
        <w:jc w:val="both"/>
        <w:rPr>
          <w:rFonts w:ascii="Times New Roman" w:eastAsia="Times New Roman" w:hAnsi="Times New Roman" w:cs="Times New Roman"/>
          <w:lang w:eastAsia="sk-SK"/>
        </w:rPr>
      </w:pPr>
      <w:r w:rsidRPr="00763BB2">
        <w:rPr>
          <w:rFonts w:ascii="Times New Roman" w:eastAsia="Times New Roman" w:hAnsi="Times New Roman" w:cs="Times New Roman"/>
          <w:lang w:eastAsia="sk-SK"/>
        </w:rPr>
        <w:t>b)</w:t>
      </w:r>
      <w:r w:rsidRPr="00763BB2">
        <w:rPr>
          <w:rFonts w:ascii="Times New Roman" w:eastAsia="Times New Roman" w:hAnsi="Times New Roman" w:cs="Times New Roman"/>
          <w:lang w:eastAsia="sk-SK"/>
        </w:rPr>
        <w:tab/>
        <w:t>ide o plnenie osoby, ktorá je blízka zakladateľovi alebo spoločníkovi prijímateľa alebo ktorá je ovládajúcou osobou</w:t>
      </w:r>
      <w:r w:rsidRPr="00763BB2">
        <w:rPr>
          <w:rFonts w:ascii="Times New Roman" w:eastAsia="Times New Roman" w:hAnsi="Times New Roman" w:cs="Times New Roman"/>
          <w:vertAlign w:val="superscript"/>
          <w:lang w:eastAsia="sk-SK"/>
        </w:rPr>
        <w:t>110a</w:t>
      </w:r>
      <w:r w:rsidRPr="00763BB2">
        <w:rPr>
          <w:rFonts w:ascii="Times New Roman" w:eastAsia="Times New Roman" w:hAnsi="Times New Roman" w:cs="Times New Roman"/>
          <w:lang w:eastAsia="sk-SK"/>
        </w:rPr>
        <w:t>) alebo ovládanou osobou</w:t>
      </w:r>
      <w:r w:rsidRPr="00763BB2">
        <w:rPr>
          <w:rFonts w:ascii="Times New Roman" w:eastAsia="Times New Roman" w:hAnsi="Times New Roman" w:cs="Times New Roman"/>
          <w:vertAlign w:val="superscript"/>
          <w:lang w:eastAsia="sk-SK"/>
        </w:rPr>
        <w:t>110b</w:t>
      </w:r>
      <w:r w:rsidRPr="00763BB2">
        <w:rPr>
          <w:rFonts w:ascii="Times New Roman" w:eastAsia="Times New Roman" w:hAnsi="Times New Roman" w:cs="Times New Roman"/>
          <w:lang w:eastAsia="sk-SK"/>
        </w:rPr>
        <w:t xml:space="preserve">) prijímateľa alebo zakladateľa alebo spoločníka prijímateľa.“. </w:t>
      </w:r>
    </w:p>
    <w:p w14:paraId="5D514E87" w14:textId="77777777" w:rsidR="00BB1558" w:rsidRPr="00763BB2" w:rsidRDefault="00BB1558" w:rsidP="00BB1558">
      <w:pPr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133E79B9" w14:textId="543B3E4F" w:rsidR="00BB1558" w:rsidRPr="00763BB2" w:rsidRDefault="00224A1F" w:rsidP="004D473B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763BB2">
        <w:rPr>
          <w:rFonts w:ascii="Times New Roman" w:eastAsia="Times New Roman" w:hAnsi="Times New Roman" w:cs="Times New Roman"/>
          <w:lang w:eastAsia="sk-SK"/>
        </w:rPr>
        <w:t>9</w:t>
      </w:r>
      <w:r w:rsidR="00BB1558" w:rsidRPr="00763BB2">
        <w:rPr>
          <w:rFonts w:ascii="Times New Roman" w:eastAsia="Times New Roman" w:hAnsi="Times New Roman" w:cs="Times New Roman"/>
          <w:lang w:eastAsia="sk-SK"/>
        </w:rPr>
        <w:t>. § 44 sa dopĺňa odsekom 5, ktorý znie:</w:t>
      </w:r>
    </w:p>
    <w:p w14:paraId="6A74DFA4" w14:textId="5ED0582A" w:rsidR="00BB1558" w:rsidRPr="00763BB2" w:rsidRDefault="00BB1558" w:rsidP="004D473B">
      <w:pPr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763BB2">
        <w:rPr>
          <w:rFonts w:ascii="Times New Roman" w:eastAsia="Times New Roman" w:hAnsi="Times New Roman" w:cs="Times New Roman"/>
          <w:lang w:eastAsia="sk-SK"/>
        </w:rPr>
        <w:t>„(5) Plnením podľa odseku 4 sa znižuje pohľadávka z príspevku alebo pohľadávka z rozhodnutia poskytovateľa, ktorú má voči prijímateľovi.“.</w:t>
      </w:r>
    </w:p>
    <w:p w14:paraId="43256A87" w14:textId="0F8A33F8" w:rsidR="000A08D2" w:rsidRPr="00763BB2" w:rsidRDefault="000A08D2" w:rsidP="00A771B5">
      <w:pPr>
        <w:jc w:val="both"/>
        <w:rPr>
          <w:rFonts w:ascii="Times New Roman" w:hAnsi="Times New Roman" w:cs="Times New Roman"/>
          <w:lang w:val="sk-SK"/>
        </w:rPr>
      </w:pPr>
    </w:p>
    <w:p w14:paraId="0D7498C2" w14:textId="29526657" w:rsidR="00294037" w:rsidRPr="00763BB2" w:rsidRDefault="003621BD" w:rsidP="00224A1F">
      <w:pPr>
        <w:pStyle w:val="Odsekzoznamu"/>
        <w:numPr>
          <w:ilvl w:val="0"/>
          <w:numId w:val="2"/>
        </w:numPr>
        <w:ind w:hanging="502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N</w:t>
      </w:r>
      <w:r w:rsidR="00B53E56" w:rsidRPr="00763BB2">
        <w:rPr>
          <w:rFonts w:ascii="Times New Roman" w:hAnsi="Times New Roman" w:cs="Times New Roman"/>
          <w:lang w:val="sk-SK"/>
        </w:rPr>
        <w:t>adpis nad § 56 znie:</w:t>
      </w:r>
      <w:r w:rsidR="009D753B" w:rsidRPr="00763BB2">
        <w:rPr>
          <w:rFonts w:ascii="Times New Roman" w:hAnsi="Times New Roman" w:cs="Times New Roman"/>
          <w:lang w:val="sk-SK"/>
        </w:rPr>
        <w:t xml:space="preserve"> </w:t>
      </w:r>
    </w:p>
    <w:p w14:paraId="4D150A8A" w14:textId="52CC29AB" w:rsidR="009D753B" w:rsidRPr="00763BB2" w:rsidRDefault="009D753B" w:rsidP="00224A1F">
      <w:pPr>
        <w:pStyle w:val="Odsekzoznamu"/>
        <w:ind w:left="851" w:hanging="502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„</w:t>
      </w:r>
      <w:r w:rsidR="00B53E56" w:rsidRPr="00763BB2">
        <w:rPr>
          <w:rFonts w:ascii="Times New Roman" w:hAnsi="Times New Roman" w:cs="Times New Roman"/>
          <w:lang w:val="sk-SK"/>
        </w:rPr>
        <w:t xml:space="preserve">Osobitné procesné ustanovenia v čase </w:t>
      </w:r>
      <w:r w:rsidR="00D85D9F" w:rsidRPr="00763BB2">
        <w:rPr>
          <w:rFonts w:ascii="Times New Roman" w:hAnsi="Times New Roman" w:cs="Times New Roman"/>
          <w:lang w:val="sk-SK"/>
        </w:rPr>
        <w:t>krízovej situácie</w:t>
      </w:r>
      <w:r w:rsidR="00B53E56" w:rsidRPr="00763BB2">
        <w:rPr>
          <w:rFonts w:ascii="Times New Roman" w:hAnsi="Times New Roman" w:cs="Times New Roman"/>
          <w:lang w:val="sk-SK"/>
        </w:rPr>
        <w:t>“.</w:t>
      </w:r>
    </w:p>
    <w:p w14:paraId="3B423596" w14:textId="77777777" w:rsidR="00B60092" w:rsidRPr="00763BB2" w:rsidRDefault="00B60092" w:rsidP="0094575F">
      <w:pPr>
        <w:jc w:val="both"/>
        <w:rPr>
          <w:rFonts w:ascii="Times New Roman" w:hAnsi="Times New Roman" w:cs="Times New Roman"/>
          <w:lang w:val="sk-SK"/>
        </w:rPr>
      </w:pPr>
    </w:p>
    <w:p w14:paraId="40279508" w14:textId="075F1A4B" w:rsidR="00116BD8" w:rsidRPr="00763BB2" w:rsidRDefault="00986AC8" w:rsidP="00763BB2">
      <w:pPr>
        <w:pStyle w:val="Odsekzoznamu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 xml:space="preserve">V </w:t>
      </w:r>
      <w:r w:rsidR="00B53E56" w:rsidRPr="00763BB2">
        <w:rPr>
          <w:rFonts w:ascii="Times New Roman" w:hAnsi="Times New Roman" w:cs="Times New Roman"/>
          <w:lang w:val="sk-SK"/>
        </w:rPr>
        <w:t>§ 56</w:t>
      </w:r>
      <w:r w:rsidR="00B60092" w:rsidRPr="00763BB2">
        <w:rPr>
          <w:rFonts w:ascii="Times New Roman" w:hAnsi="Times New Roman" w:cs="Times New Roman"/>
          <w:lang w:val="sk-SK"/>
        </w:rPr>
        <w:t xml:space="preserve"> ods. 1</w:t>
      </w:r>
      <w:r w:rsidR="00116BD8" w:rsidRPr="00763BB2">
        <w:rPr>
          <w:rFonts w:ascii="Times New Roman" w:hAnsi="Times New Roman" w:cs="Times New Roman"/>
          <w:lang w:val="sk-SK"/>
        </w:rPr>
        <w:t xml:space="preserve"> prvá veta znie:</w:t>
      </w:r>
      <w:r w:rsidR="00B53E56" w:rsidRPr="00763BB2">
        <w:rPr>
          <w:rFonts w:ascii="Times New Roman" w:hAnsi="Times New Roman" w:cs="Times New Roman"/>
          <w:lang w:val="sk-SK"/>
        </w:rPr>
        <w:t xml:space="preserve"> </w:t>
      </w:r>
    </w:p>
    <w:p w14:paraId="282D736F" w14:textId="7EA3616F" w:rsidR="00DF29EB" w:rsidRPr="00763BB2" w:rsidRDefault="00116BD8" w:rsidP="00D85D9F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 xml:space="preserve">„V čase mimoriadnej situácie, núdzového stavu alebo výnimočného stavu a v období šiestich mesiacov nasledujúcich po ich odvolaní alebo z dôvodu </w:t>
      </w:r>
      <w:r w:rsidR="00D85D9F" w:rsidRPr="00763BB2">
        <w:rPr>
          <w:rFonts w:ascii="Times New Roman" w:hAnsi="Times New Roman" w:cs="Times New Roman"/>
          <w:lang w:val="sk-SK"/>
        </w:rPr>
        <w:t>mimoriadnej udalosti nespôsobenej prijímateľom, ktorú nemohol predvídať</w:t>
      </w:r>
      <w:r w:rsidRPr="00763BB2">
        <w:rPr>
          <w:rFonts w:ascii="Times New Roman" w:hAnsi="Times New Roman" w:cs="Times New Roman"/>
          <w:lang w:val="sk-SK"/>
        </w:rPr>
        <w:t xml:space="preserve"> (ďalej len „krízová situácia“)</w:t>
      </w:r>
      <w:r w:rsidR="00FD1905" w:rsidRPr="00763BB2">
        <w:rPr>
          <w:rFonts w:ascii="Times New Roman" w:hAnsi="Times New Roman" w:cs="Times New Roman"/>
          <w:lang w:val="sk-SK"/>
        </w:rPr>
        <w:t>,</w:t>
      </w:r>
      <w:r w:rsidRPr="00763BB2">
        <w:rPr>
          <w:rFonts w:ascii="Times New Roman" w:hAnsi="Times New Roman" w:cs="Times New Roman"/>
          <w:lang w:val="sk-SK"/>
        </w:rPr>
        <w:t xml:space="preserve"> sa zasadnutia Rady centrálneho koordinačného orgánu, osobitnej komisie, monitorovacieho výboru alebo ním zriadenej komisie (ďalej ako „kolektívny orgán“) môžu uskutočňovať prostredníctvom videokonferencie alebo inými prostriedkami informačnej a komunikačnej technológie.</w:t>
      </w:r>
      <w:r w:rsidR="003B4F98" w:rsidRPr="00763BB2">
        <w:rPr>
          <w:rFonts w:ascii="Times New Roman" w:hAnsi="Times New Roman" w:cs="Times New Roman"/>
          <w:lang w:val="sk-SK"/>
        </w:rPr>
        <w:t>“.</w:t>
      </w:r>
    </w:p>
    <w:p w14:paraId="5CDDDBA1" w14:textId="463F9684" w:rsidR="00BB1558" w:rsidRPr="00763BB2" w:rsidRDefault="00BB1558" w:rsidP="00D85D9F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</w:p>
    <w:p w14:paraId="107E166E" w14:textId="2983FFF4" w:rsidR="00BB1558" w:rsidRPr="00763BB2" w:rsidRDefault="00224A1F" w:rsidP="004D473B">
      <w:pPr>
        <w:pStyle w:val="Odsekzoznamu"/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eastAsia="Times New Roman" w:hAnsi="Times New Roman" w:cs="Times New Roman"/>
          <w:lang w:eastAsia="sk-SK"/>
        </w:rPr>
        <w:t>12</w:t>
      </w:r>
      <w:r w:rsidR="00BB1558" w:rsidRPr="00763BB2">
        <w:rPr>
          <w:rFonts w:ascii="Times New Roman" w:eastAsia="Times New Roman" w:hAnsi="Times New Roman" w:cs="Times New Roman"/>
          <w:lang w:eastAsia="sk-SK"/>
        </w:rPr>
        <w:t>. V § 60 ods. 7 sa slová „ods. 4“ nahrádzajú slovami „ods. 5“.</w:t>
      </w:r>
    </w:p>
    <w:p w14:paraId="72B224E4" w14:textId="77777777" w:rsidR="0094575F" w:rsidRPr="00763BB2" w:rsidRDefault="0094575F">
      <w:pPr>
        <w:rPr>
          <w:rFonts w:ascii="Times New Roman" w:hAnsi="Times New Roman" w:cs="Times New Roman"/>
          <w:lang w:val="sk-SK"/>
        </w:rPr>
      </w:pPr>
    </w:p>
    <w:p w14:paraId="021390A9" w14:textId="77777777" w:rsidR="00C32B32" w:rsidRPr="00763BB2" w:rsidRDefault="00C32B32">
      <w:pPr>
        <w:rPr>
          <w:rFonts w:ascii="Times New Roman" w:hAnsi="Times New Roman" w:cs="Times New Roman"/>
          <w:b/>
          <w:lang w:val="sk-SK"/>
        </w:rPr>
      </w:pPr>
      <w:r w:rsidRPr="00763BB2">
        <w:rPr>
          <w:rFonts w:ascii="Times New Roman" w:hAnsi="Times New Roman" w:cs="Times New Roman"/>
          <w:b/>
          <w:lang w:val="sk-SK"/>
        </w:rPr>
        <w:br w:type="page"/>
      </w:r>
    </w:p>
    <w:p w14:paraId="373E282E" w14:textId="02AEAC45" w:rsidR="0094575F" w:rsidRPr="00763BB2" w:rsidRDefault="0094575F" w:rsidP="0094575F">
      <w:pPr>
        <w:jc w:val="center"/>
        <w:rPr>
          <w:rFonts w:ascii="Times New Roman" w:hAnsi="Times New Roman" w:cs="Times New Roman"/>
          <w:b/>
          <w:lang w:val="sk-SK"/>
        </w:rPr>
      </w:pPr>
      <w:r w:rsidRPr="00763BB2">
        <w:rPr>
          <w:rFonts w:ascii="Times New Roman" w:hAnsi="Times New Roman" w:cs="Times New Roman"/>
          <w:b/>
          <w:lang w:val="sk-SK"/>
        </w:rPr>
        <w:t>Čl. II</w:t>
      </w:r>
    </w:p>
    <w:p w14:paraId="66982F2C" w14:textId="77777777" w:rsidR="0094575F" w:rsidRPr="00763BB2" w:rsidRDefault="0094575F" w:rsidP="0094575F">
      <w:pPr>
        <w:jc w:val="center"/>
        <w:rPr>
          <w:rFonts w:ascii="Times New Roman" w:hAnsi="Times New Roman" w:cs="Times New Roman"/>
          <w:b/>
          <w:lang w:val="sk-SK"/>
        </w:rPr>
      </w:pPr>
      <w:r w:rsidRPr="00763BB2">
        <w:rPr>
          <w:rFonts w:ascii="Times New Roman" w:hAnsi="Times New Roman" w:cs="Times New Roman"/>
          <w:b/>
          <w:lang w:val="sk-SK"/>
        </w:rPr>
        <w:t>Účinnosť</w:t>
      </w:r>
    </w:p>
    <w:p w14:paraId="7756893E" w14:textId="77777777" w:rsidR="00294037" w:rsidRPr="00763BB2" w:rsidRDefault="00294037" w:rsidP="0094575F">
      <w:pPr>
        <w:jc w:val="center"/>
        <w:rPr>
          <w:rFonts w:ascii="Times New Roman" w:hAnsi="Times New Roman" w:cs="Times New Roman"/>
          <w:lang w:val="sk-SK"/>
        </w:rPr>
      </w:pPr>
    </w:p>
    <w:p w14:paraId="4DDBFCB2" w14:textId="5B667E49" w:rsidR="0094575F" w:rsidRDefault="0094575F" w:rsidP="0094575F">
      <w:pPr>
        <w:ind w:firstLine="720"/>
        <w:jc w:val="both"/>
        <w:rPr>
          <w:rFonts w:ascii="Times New Roman" w:hAnsi="Times New Roman" w:cs="Times New Roman"/>
          <w:lang w:val="sk-SK"/>
        </w:rPr>
      </w:pPr>
      <w:r w:rsidRPr="00763BB2">
        <w:rPr>
          <w:rFonts w:ascii="Times New Roman" w:hAnsi="Times New Roman" w:cs="Times New Roman"/>
          <w:lang w:val="sk-SK"/>
        </w:rPr>
        <w:t>Tento zákon nad</w:t>
      </w:r>
      <w:r w:rsidR="000A08D2" w:rsidRPr="00763BB2">
        <w:rPr>
          <w:rFonts w:ascii="Times New Roman" w:hAnsi="Times New Roman" w:cs="Times New Roman"/>
          <w:lang w:val="sk-SK"/>
        </w:rPr>
        <w:t>obúda účinnosť dňom vyhlásenia.</w:t>
      </w:r>
    </w:p>
    <w:p w14:paraId="0607978E" w14:textId="0313D51E" w:rsidR="00C32B32" w:rsidRDefault="00C32B32" w:rsidP="0094575F">
      <w:pPr>
        <w:ind w:firstLine="720"/>
        <w:jc w:val="both"/>
        <w:rPr>
          <w:rFonts w:ascii="Times New Roman" w:hAnsi="Times New Roman" w:cs="Times New Roman"/>
          <w:lang w:val="sk-SK"/>
        </w:rPr>
      </w:pPr>
    </w:p>
    <w:p w14:paraId="2AE39FD0" w14:textId="3523F089" w:rsidR="00C32B32" w:rsidRDefault="00C32B32" w:rsidP="0094575F">
      <w:pPr>
        <w:ind w:firstLine="720"/>
        <w:jc w:val="both"/>
        <w:rPr>
          <w:rFonts w:ascii="Times New Roman" w:hAnsi="Times New Roman" w:cs="Times New Roman"/>
          <w:lang w:val="sk-SK"/>
        </w:rPr>
      </w:pPr>
    </w:p>
    <w:p w14:paraId="5606B0D1" w14:textId="77777777" w:rsidR="00C32B32" w:rsidRDefault="00C32B32" w:rsidP="00C32B32">
      <w:pPr>
        <w:ind w:firstLine="426"/>
        <w:jc w:val="center"/>
      </w:pPr>
    </w:p>
    <w:p w14:paraId="59BA346A" w14:textId="77777777" w:rsidR="00C32B32" w:rsidRDefault="00C32B32" w:rsidP="00C32B32">
      <w:pPr>
        <w:ind w:firstLine="426"/>
        <w:jc w:val="center"/>
      </w:pPr>
    </w:p>
    <w:p w14:paraId="5779B553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732E23CA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4C1FF923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01A59E31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  <w:r w:rsidRPr="00763BB2">
        <w:rPr>
          <w:rFonts w:ascii="Times New Roman" w:hAnsi="Times New Roman" w:cs="Times New Roman"/>
        </w:rPr>
        <w:t>prezidentka  Slovenskej republiky</w:t>
      </w:r>
    </w:p>
    <w:p w14:paraId="49B2758C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5E545B18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653787DA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1E6391C3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6CDB97F7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3F61CC6D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25EC4871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74A3DE88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4D9CEC2F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  <w:r w:rsidRPr="00763BB2">
        <w:rPr>
          <w:rFonts w:ascii="Times New Roman" w:hAnsi="Times New Roman" w:cs="Times New Roman"/>
        </w:rPr>
        <w:t>predseda Národnej rady Slovenskej republiky</w:t>
      </w:r>
    </w:p>
    <w:p w14:paraId="181DACC1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45792E3F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54F00153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166FB036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55C7C00A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6B1F10DA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21D67781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3BB35087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69251B84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</w:p>
    <w:p w14:paraId="4F9D73F0" w14:textId="77777777" w:rsidR="00C32B32" w:rsidRPr="00763BB2" w:rsidRDefault="00C32B32" w:rsidP="00C32B32">
      <w:pPr>
        <w:ind w:firstLine="426"/>
        <w:jc w:val="center"/>
        <w:rPr>
          <w:rFonts w:ascii="Times New Roman" w:hAnsi="Times New Roman" w:cs="Times New Roman"/>
        </w:rPr>
      </w:pPr>
      <w:r w:rsidRPr="00763BB2">
        <w:rPr>
          <w:rFonts w:ascii="Times New Roman" w:hAnsi="Times New Roman" w:cs="Times New Roman"/>
        </w:rPr>
        <w:t>predseda vlády Slovenskej republiky</w:t>
      </w:r>
    </w:p>
    <w:p w14:paraId="3ECF76F9" w14:textId="77777777" w:rsidR="00C32B32" w:rsidRPr="00763BB2" w:rsidRDefault="00C32B32" w:rsidP="0094575F">
      <w:pPr>
        <w:ind w:firstLine="720"/>
        <w:jc w:val="both"/>
        <w:rPr>
          <w:rFonts w:ascii="Times New Roman" w:hAnsi="Times New Roman" w:cs="Times New Roman"/>
          <w:lang w:val="sk-SK"/>
        </w:rPr>
      </w:pPr>
    </w:p>
    <w:sectPr w:rsidR="00C32B32" w:rsidRPr="00763BB2" w:rsidSect="00763BB2">
      <w:footerReference w:type="default" r:id="rId7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EA2A9" w16cex:dateUtc="2022-04-06T09:56:00Z"/>
  <w16cex:commentExtensible w16cex:durableId="25FEA2AA" w16cex:dateUtc="2022-04-07T12:42:00Z"/>
  <w16cex:commentExtensible w16cex:durableId="25FEA6D5" w16cex:dateUtc="2022-04-11T11:08:00Z"/>
  <w16cex:commentExtensible w16cex:durableId="25FEA80F" w16cex:dateUtc="2022-04-11T11:13:00Z"/>
  <w16cex:commentExtensible w16cex:durableId="25FEA84F" w16cex:dateUtc="2022-04-11T11:14:00Z"/>
  <w16cex:commentExtensible w16cex:durableId="25FEA8B2" w16cex:dateUtc="2022-04-11T11:16:00Z"/>
  <w16cex:commentExtensible w16cex:durableId="25FEA2AB" w16cex:dateUtc="2022-04-07T09:08:00Z"/>
  <w16cex:commentExtensible w16cex:durableId="25FEA2AC" w16cex:dateUtc="2022-04-07T12:42:00Z"/>
  <w16cex:commentExtensible w16cex:durableId="25FEA2AD" w16cex:dateUtc="2022-04-08T10:31:00Z"/>
  <w16cex:commentExtensible w16cex:durableId="25FEA2AE" w16cex:dateUtc="2022-04-07T15:51:00Z"/>
  <w16cex:commentExtensible w16cex:durableId="25FEA2AF" w16cex:dateUtc="2022-04-08T10:30:00Z"/>
  <w16cex:commentExtensible w16cex:durableId="25FEA2B0" w16cex:dateUtc="2022-04-07T16:10:00Z"/>
  <w16cex:commentExtensible w16cex:durableId="25FEA2B1" w16cex:dateUtc="2022-04-08T10:31:00Z"/>
  <w16cex:commentExtensible w16cex:durableId="25FEA942" w16cex:dateUtc="2022-04-11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25078E" w16cid:durableId="25FEA2A9"/>
  <w16cid:commentId w16cid:paraId="207EF617" w16cid:durableId="25FEA2AA"/>
  <w16cid:commentId w16cid:paraId="6F13FB98" w16cid:durableId="25FEA6D5"/>
  <w16cid:commentId w16cid:paraId="2BE32FAA" w16cid:durableId="25FEA80F"/>
  <w16cid:commentId w16cid:paraId="7C18776B" w16cid:durableId="25FEA84F"/>
  <w16cid:commentId w16cid:paraId="3D2EECB0" w16cid:durableId="25FEA8B2"/>
  <w16cid:commentId w16cid:paraId="2088C88C" w16cid:durableId="25FEA2AB"/>
  <w16cid:commentId w16cid:paraId="4E5FE8E2" w16cid:durableId="25FEA2AC"/>
  <w16cid:commentId w16cid:paraId="10BF4F0B" w16cid:durableId="25FEA2AD"/>
  <w16cid:commentId w16cid:paraId="133828B8" w16cid:durableId="25FEA2AE"/>
  <w16cid:commentId w16cid:paraId="7167F405" w16cid:durableId="25FEA2AF"/>
  <w16cid:commentId w16cid:paraId="0DFA5910" w16cid:durableId="25FEA2B0"/>
  <w16cid:commentId w16cid:paraId="15609A54" w16cid:durableId="25FEA2B1"/>
  <w16cid:commentId w16cid:paraId="534EC937" w16cid:durableId="25FEA9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AA2AB" w14:textId="77777777" w:rsidR="00961706" w:rsidRDefault="00961706" w:rsidP="00D0478D">
      <w:r>
        <w:separator/>
      </w:r>
    </w:p>
  </w:endnote>
  <w:endnote w:type="continuationSeparator" w:id="0">
    <w:p w14:paraId="75D646EC" w14:textId="77777777" w:rsidR="00961706" w:rsidRDefault="00961706" w:rsidP="00D0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61964"/>
      <w:docPartObj>
        <w:docPartGallery w:val="Page Numbers (Bottom of Page)"/>
        <w:docPartUnique/>
      </w:docPartObj>
    </w:sdtPr>
    <w:sdtEndPr/>
    <w:sdtContent>
      <w:p w14:paraId="3815BCD8" w14:textId="1771AD56" w:rsidR="00C32B32" w:rsidRDefault="00C32B3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223" w:rsidRPr="00D85223">
          <w:rPr>
            <w:noProof/>
            <w:lang w:val="sk-SK"/>
          </w:rPr>
          <w:t>4</w:t>
        </w:r>
        <w:r>
          <w:fldChar w:fldCharType="end"/>
        </w:r>
      </w:p>
    </w:sdtContent>
  </w:sdt>
  <w:p w14:paraId="1B6E6EDC" w14:textId="77777777" w:rsidR="00C32B32" w:rsidRDefault="00C32B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A3CE6" w14:textId="77777777" w:rsidR="00961706" w:rsidRDefault="00961706" w:rsidP="00D0478D">
      <w:r>
        <w:separator/>
      </w:r>
    </w:p>
  </w:footnote>
  <w:footnote w:type="continuationSeparator" w:id="0">
    <w:p w14:paraId="608D36F4" w14:textId="77777777" w:rsidR="00961706" w:rsidRDefault="00961706" w:rsidP="00D0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4A3A"/>
    <w:multiLevelType w:val="hybridMultilevel"/>
    <w:tmpl w:val="B0B0DE2E"/>
    <w:lvl w:ilvl="0" w:tplc="6ECE3E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D283A"/>
    <w:multiLevelType w:val="hybridMultilevel"/>
    <w:tmpl w:val="958C8F22"/>
    <w:lvl w:ilvl="0" w:tplc="7940F29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B"/>
    <w:rsid w:val="00030B94"/>
    <w:rsid w:val="00067B50"/>
    <w:rsid w:val="0007570F"/>
    <w:rsid w:val="00092232"/>
    <w:rsid w:val="000A08D2"/>
    <w:rsid w:val="00116BD8"/>
    <w:rsid w:val="00124A3E"/>
    <w:rsid w:val="0013311D"/>
    <w:rsid w:val="001623E0"/>
    <w:rsid w:val="00171B98"/>
    <w:rsid w:val="001A2310"/>
    <w:rsid w:val="001A2C06"/>
    <w:rsid w:val="001C6A4A"/>
    <w:rsid w:val="00202761"/>
    <w:rsid w:val="00224A1F"/>
    <w:rsid w:val="00231BD3"/>
    <w:rsid w:val="00247B0F"/>
    <w:rsid w:val="0025517A"/>
    <w:rsid w:val="00294037"/>
    <w:rsid w:val="002A3E57"/>
    <w:rsid w:val="002C1EBE"/>
    <w:rsid w:val="0030205B"/>
    <w:rsid w:val="00332F28"/>
    <w:rsid w:val="003621BD"/>
    <w:rsid w:val="00366134"/>
    <w:rsid w:val="003B4F98"/>
    <w:rsid w:val="003D51F0"/>
    <w:rsid w:val="004237DB"/>
    <w:rsid w:val="004511EC"/>
    <w:rsid w:val="00462CA2"/>
    <w:rsid w:val="0046691C"/>
    <w:rsid w:val="0048240E"/>
    <w:rsid w:val="004A1447"/>
    <w:rsid w:val="004D473B"/>
    <w:rsid w:val="00515E81"/>
    <w:rsid w:val="00541DE2"/>
    <w:rsid w:val="005A21B6"/>
    <w:rsid w:val="005F6465"/>
    <w:rsid w:val="006108A0"/>
    <w:rsid w:val="0066472A"/>
    <w:rsid w:val="00687D06"/>
    <w:rsid w:val="00691BFC"/>
    <w:rsid w:val="006A32F2"/>
    <w:rsid w:val="006C6618"/>
    <w:rsid w:val="006C7A8D"/>
    <w:rsid w:val="00732BCA"/>
    <w:rsid w:val="007578B9"/>
    <w:rsid w:val="007623FD"/>
    <w:rsid w:val="00763BB2"/>
    <w:rsid w:val="00797B71"/>
    <w:rsid w:val="007A60AE"/>
    <w:rsid w:val="007F7EF4"/>
    <w:rsid w:val="00814055"/>
    <w:rsid w:val="00850977"/>
    <w:rsid w:val="00897E1D"/>
    <w:rsid w:val="008C1974"/>
    <w:rsid w:val="008C1CEE"/>
    <w:rsid w:val="0094575F"/>
    <w:rsid w:val="00957BCD"/>
    <w:rsid w:val="00961706"/>
    <w:rsid w:val="00974828"/>
    <w:rsid w:val="00986AC8"/>
    <w:rsid w:val="00996B76"/>
    <w:rsid w:val="009D753B"/>
    <w:rsid w:val="00A204EA"/>
    <w:rsid w:val="00A26B86"/>
    <w:rsid w:val="00A3224B"/>
    <w:rsid w:val="00A771B5"/>
    <w:rsid w:val="00AA4C65"/>
    <w:rsid w:val="00AC1260"/>
    <w:rsid w:val="00AD3E15"/>
    <w:rsid w:val="00AF08CC"/>
    <w:rsid w:val="00AF0DB9"/>
    <w:rsid w:val="00B45C8D"/>
    <w:rsid w:val="00B53E56"/>
    <w:rsid w:val="00B60092"/>
    <w:rsid w:val="00B979E0"/>
    <w:rsid w:val="00BB1558"/>
    <w:rsid w:val="00BC3401"/>
    <w:rsid w:val="00BE542B"/>
    <w:rsid w:val="00C055C8"/>
    <w:rsid w:val="00C103DC"/>
    <w:rsid w:val="00C239B4"/>
    <w:rsid w:val="00C30419"/>
    <w:rsid w:val="00C32B32"/>
    <w:rsid w:val="00C505F1"/>
    <w:rsid w:val="00C66C28"/>
    <w:rsid w:val="00CB4BCB"/>
    <w:rsid w:val="00CB58EF"/>
    <w:rsid w:val="00CE7CDE"/>
    <w:rsid w:val="00D0478D"/>
    <w:rsid w:val="00D20467"/>
    <w:rsid w:val="00D85223"/>
    <w:rsid w:val="00D85716"/>
    <w:rsid w:val="00D85D9F"/>
    <w:rsid w:val="00DC46D4"/>
    <w:rsid w:val="00DF29EB"/>
    <w:rsid w:val="00E53185"/>
    <w:rsid w:val="00E95317"/>
    <w:rsid w:val="00EB43C8"/>
    <w:rsid w:val="00ED04FE"/>
    <w:rsid w:val="00EF1992"/>
    <w:rsid w:val="00EF2790"/>
    <w:rsid w:val="00F01728"/>
    <w:rsid w:val="00F160E2"/>
    <w:rsid w:val="00F20704"/>
    <w:rsid w:val="00F54C15"/>
    <w:rsid w:val="00F7246F"/>
    <w:rsid w:val="00FA40CD"/>
    <w:rsid w:val="00FD1905"/>
    <w:rsid w:val="00FF303F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3991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75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9D753B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94575F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5C8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5C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5C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5C8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5C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5C8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AD3E15"/>
  </w:style>
  <w:style w:type="paragraph" w:styleId="Hlavika">
    <w:name w:val="header"/>
    <w:basedOn w:val="Normlny"/>
    <w:link w:val="HlavikaChar"/>
    <w:uiPriority w:val="99"/>
    <w:unhideWhenUsed/>
    <w:rsid w:val="00D047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78D"/>
  </w:style>
  <w:style w:type="paragraph" w:styleId="Pta">
    <w:name w:val="footer"/>
    <w:basedOn w:val="Normlny"/>
    <w:link w:val="PtaChar"/>
    <w:uiPriority w:val="99"/>
    <w:unhideWhenUsed/>
    <w:rsid w:val="00D0478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2022-05-19T08:32:00Z</dcterms:created>
  <dcterms:modified xsi:type="dcterms:W3CDTF">2022-05-19T12:57:00Z</dcterms:modified>
</cp:coreProperties>
</file>