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2A61B" w14:textId="77777777" w:rsidR="003E04A7" w:rsidRPr="001E0408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04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Dôvodová správa</w:t>
      </w:r>
    </w:p>
    <w:p w14:paraId="6D0B22DC" w14:textId="77777777" w:rsidR="003E04A7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4555F2" w14:textId="77777777" w:rsidR="003E04A7" w:rsidRPr="001E0408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FF00DB" w14:textId="77777777" w:rsidR="003E04A7" w:rsidRPr="001E0408" w:rsidRDefault="003E04A7" w:rsidP="003E04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D0802A" w14:textId="77777777" w:rsidR="003E04A7" w:rsidRPr="001E0408" w:rsidRDefault="003E04A7" w:rsidP="003E04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E04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Všeobecná časť</w:t>
      </w:r>
    </w:p>
    <w:p w14:paraId="0FD1A45A" w14:textId="77777777" w:rsidR="003E04A7" w:rsidRPr="001E0408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9ADA0C" w14:textId="77777777" w:rsidR="003E04A7" w:rsidRPr="001E0408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ABF7E4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8">
        <w:rPr>
          <w:rFonts w:ascii="Times New Roman" w:hAnsi="Times New Roman" w:cs="Times New Roman"/>
          <w:color w:val="000000" w:themeColor="text1"/>
          <w:sz w:val="24"/>
          <w:szCs w:val="24"/>
        </w:rPr>
        <w:t>Návrh zákona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27B5">
        <w:rPr>
          <w:rFonts w:ascii="Times New Roman" w:hAnsi="Times New Roman" w:cs="Times New Roman"/>
          <w:color w:val="000000" w:themeColor="text1"/>
          <w:sz w:val="24"/>
          <w:szCs w:val="24"/>
        </w:rPr>
        <w:t>o dani z výhody získanej v dôsledku osobitnej situácie na trhu s ropou a o zmene a doplnení niektorých zákonov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408">
        <w:rPr>
          <w:rFonts w:ascii="Times New Roman" w:hAnsi="Times New Roman" w:cs="Times New Roman"/>
          <w:color w:val="000000" w:themeColor="text1"/>
          <w:sz w:val="24"/>
          <w:szCs w:val="24"/>
        </w:rPr>
        <w:t>sa predkladá ako iniciatívny materiál.</w:t>
      </w:r>
    </w:p>
    <w:p w14:paraId="4B51D7A5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CAAB69" w14:textId="77777777" w:rsidR="003E04A7" w:rsidRPr="001C27B5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1E0408">
        <w:rPr>
          <w:rFonts w:ascii="Times New Roman" w:hAnsi="Times New Roman" w:cs="Times New Roman"/>
          <w:color w:val="000000" w:themeColor="text1"/>
          <w:sz w:val="24"/>
          <w:szCs w:val="24"/>
        </w:rPr>
        <w:t>redkladan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ým návrhom dochádza k zavedeniu dane </w:t>
      </w:r>
      <w:r w:rsidRPr="001C27B5">
        <w:rPr>
          <w:rFonts w:ascii="Times New Roman" w:hAnsi="Times New Roman" w:cs="Times New Roman"/>
          <w:color w:val="000000" w:themeColor="text1"/>
          <w:sz w:val="24"/>
          <w:szCs w:val="24"/>
        </w:rPr>
        <w:t>z výhody získanej v dôsledku osobitnej situácie na trhu s ropou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Zdaňovacím obdobím bude kalendárny mesiac.  Daňovníkom  je držiteľ špecifického </w:t>
      </w:r>
      <w:r w:rsidRPr="00917492">
        <w:rPr>
          <w:rFonts w:ascii="Times New Roman" w:hAnsi="Times New Roman" w:cs="Times New Roman"/>
          <w:color w:val="000000" w:themeColor="text1"/>
          <w:sz w:val="24"/>
          <w:szCs w:val="24"/>
        </w:rPr>
        <w:t>živnostenského oprávnenia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17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27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základe ktorého je oprávnený vyrábať výrobky z ropy a chemicky ropu spracovávať. Daň sa bude počítať ako súčin množstva ropy s pôvodom v Ruskej federácii v bareloch obstaranej daňovníkom v príslušnom zdaňovacom období a rozdielu medzi referenčnou cenou a priemernou cenou obstarania zníženého o  5 USD. </w:t>
      </w:r>
    </w:p>
    <w:p w14:paraId="031EA627" w14:textId="77777777" w:rsidR="003E04A7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8D2D3" w14:textId="77777777" w:rsidR="003E04A7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návrhu zákona sú ustanovené povinnosti daňovníka ako je oznamovacia povinnosť a spôsob zaplatenia dane.</w:t>
      </w:r>
    </w:p>
    <w:p w14:paraId="1E1CCC63" w14:textId="77777777" w:rsidR="003E04A7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B360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nadväznosti na tento nový zákon sa v samostatných článkoch upravuje aj daňový poriadok a zákon o dani z príjmov.</w:t>
      </w:r>
    </w:p>
    <w:p w14:paraId="27C359AB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53CF43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 zákona nebol predmetom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vnútro</w:t>
      </w:r>
      <w:r w:rsidRPr="001E0408">
        <w:rPr>
          <w:rFonts w:ascii="Times New Roman" w:hAnsi="Times New Roman" w:cs="Times New Roman"/>
          <w:color w:val="000000" w:themeColor="text1"/>
          <w:sz w:val="24"/>
          <w:szCs w:val="24"/>
        </w:rPr>
        <w:t>komunitárneho</w:t>
      </w:r>
      <w:proofErr w:type="spellEnd"/>
      <w:r w:rsidRPr="001E0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pripomienkového konania. </w:t>
      </w:r>
    </w:p>
    <w:p w14:paraId="06430487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15196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8">
        <w:rPr>
          <w:rFonts w:ascii="Times New Roman" w:hAnsi="Times New Roman" w:cs="Times New Roman"/>
          <w:color w:val="000000" w:themeColor="text1"/>
          <w:sz w:val="24"/>
          <w:szCs w:val="24"/>
        </w:rPr>
        <w:t>Návrh zákona nebol predmetom medzirezortného pripomienkového konania.</w:t>
      </w:r>
    </w:p>
    <w:p w14:paraId="3773B737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89D02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 zákona je v súlade s Ústavou Slovenskej republiky, ústavnými zákonmi, </w:t>
      </w:r>
      <w:r w:rsidRPr="001E04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 nálezmi Ústavného súdu Slovenskej republiky, inými právnymi predpismi Slovenskej republiky, medzinárodnými zmluvami a inými medzinárodnými dokumentmi, ktorými je Slovenská republika viazaná a s právom Európskej únie. </w:t>
      </w:r>
    </w:p>
    <w:p w14:paraId="15BC4260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4B1F09" w14:textId="77777777" w:rsidR="003E04A7" w:rsidRPr="001E0408" w:rsidRDefault="003E04A7" w:rsidP="003E04A7">
      <w:pPr>
        <w:pStyle w:val="Default"/>
        <w:ind w:firstLine="708"/>
        <w:jc w:val="both"/>
        <w:rPr>
          <w:color w:val="000000" w:themeColor="text1"/>
        </w:rPr>
      </w:pPr>
      <w:r w:rsidRPr="001E0408">
        <w:rPr>
          <w:color w:val="000000" w:themeColor="text1"/>
        </w:rPr>
        <w:t xml:space="preserve">Návrh zákona </w:t>
      </w:r>
      <w:r w:rsidRPr="00966A71">
        <w:rPr>
          <w:color w:val="000000" w:themeColor="text1"/>
        </w:rPr>
        <w:t xml:space="preserve">má </w:t>
      </w:r>
      <w:r>
        <w:rPr>
          <w:color w:val="000000" w:themeColor="text1"/>
        </w:rPr>
        <w:t xml:space="preserve">pozitívny </w:t>
      </w:r>
      <w:r w:rsidRPr="001E0408">
        <w:rPr>
          <w:color w:val="000000" w:themeColor="text1"/>
        </w:rPr>
        <w:t xml:space="preserve">vplyv na rozpočet verejnej správy, </w:t>
      </w:r>
      <w:r>
        <w:rPr>
          <w:color w:val="000000" w:themeColor="text1"/>
        </w:rPr>
        <w:t xml:space="preserve">negatívny </w:t>
      </w:r>
      <w:r w:rsidRPr="001E0408">
        <w:rPr>
          <w:color w:val="000000" w:themeColor="text1"/>
        </w:rPr>
        <w:t>vpl</w:t>
      </w:r>
      <w:r>
        <w:rPr>
          <w:color w:val="000000" w:themeColor="text1"/>
        </w:rPr>
        <w:t xml:space="preserve">yv na podnikateľské prostredie, </w:t>
      </w:r>
      <w:r w:rsidRPr="001E0408">
        <w:rPr>
          <w:color w:val="000000" w:themeColor="text1"/>
        </w:rPr>
        <w:t>nemá sociálne vplyvy, vplyvy na životné prostredie, vplyvy na ma</w:t>
      </w:r>
      <w:r>
        <w:rPr>
          <w:color w:val="000000" w:themeColor="text1"/>
        </w:rPr>
        <w:t xml:space="preserve">nželstvo, rodičovstvo a rodinu, vplyvy </w:t>
      </w:r>
      <w:r w:rsidRPr="001E0408">
        <w:rPr>
          <w:color w:val="000000" w:themeColor="text1"/>
        </w:rPr>
        <w:t xml:space="preserve">na </w:t>
      </w:r>
      <w:r>
        <w:rPr>
          <w:color w:val="000000" w:themeColor="text1"/>
        </w:rPr>
        <w:t>informatizáciu spoločnosti a ani vplyvy na</w:t>
      </w:r>
      <w:r w:rsidRPr="001E0408">
        <w:rPr>
          <w:color w:val="000000" w:themeColor="text1"/>
        </w:rPr>
        <w:t xml:space="preserve"> služby verejnej správy pre občana. </w:t>
      </w:r>
    </w:p>
    <w:p w14:paraId="46F28505" w14:textId="77777777" w:rsidR="003E04A7" w:rsidRPr="001E0408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E5E842" w14:textId="77777777" w:rsidR="003E04A7" w:rsidRDefault="003E04A7" w:rsidP="003E04A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Účinnosť zákona sa navrhuje od 1. júna 2022.</w:t>
      </w:r>
    </w:p>
    <w:p w14:paraId="6F0C04D7" w14:textId="77777777" w:rsidR="003E04A7" w:rsidRPr="00C43522" w:rsidRDefault="003E04A7" w:rsidP="003E0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A1CB98" w14:textId="77777777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3EAFF94" w14:textId="77777777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A2D0F60" w14:textId="207BE9E3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CC85A2B" w14:textId="698410E0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A885272" w14:textId="19379EEA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5D8392C" w14:textId="05561139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1DF6A95" w14:textId="001BDAC8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7A4E4F3" w14:textId="0E2BD58B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2ABED8B" w14:textId="77777777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25FF9B2" w14:textId="77777777" w:rsid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A82C30E" w14:textId="651499DF" w:rsidR="003E04A7" w:rsidRPr="003E04A7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3E04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Doložka vybraných vplyvov</w:t>
      </w:r>
    </w:p>
    <w:p w14:paraId="6581D131" w14:textId="77777777" w:rsidR="003E04A7" w:rsidRPr="003E04A7" w:rsidRDefault="003E04A7" w:rsidP="003E04A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3E04A7" w:rsidRPr="003E04A7" w14:paraId="6C513059" w14:textId="77777777" w:rsidTr="00B26595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0432E3A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3E04A7" w:rsidRPr="003E04A7" w14:paraId="269A1F0E" w14:textId="77777777" w:rsidTr="00B26595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1B8B8E7" w14:textId="77777777" w:rsidR="003E04A7" w:rsidRPr="003E04A7" w:rsidRDefault="003E04A7" w:rsidP="003E04A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3E04A7" w:rsidRPr="003E04A7" w14:paraId="5ED4A044" w14:textId="77777777" w:rsidTr="00B26595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01A62B37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Návrh zákona o dani z výhody získanej v dôsledku osobitnej situácie na trhu s ropou a o zmene a doplnení niektorých zákonov</w:t>
            </w:r>
          </w:p>
        </w:tc>
      </w:tr>
      <w:tr w:rsidR="003E04A7" w:rsidRPr="003E04A7" w14:paraId="2DB4AC22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E152EE4" w14:textId="77777777" w:rsidR="003E04A7" w:rsidRPr="003E04A7" w:rsidRDefault="003E04A7" w:rsidP="003E04A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3E04A7" w:rsidRPr="003E04A7" w14:paraId="4BA6B19A" w14:textId="77777777" w:rsidTr="00B26595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C5CE3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Ministerstvo financií SR</w:t>
            </w:r>
          </w:p>
          <w:p w14:paraId="31C41D59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E04A7" w:rsidRPr="003E04A7" w14:paraId="35FD375A" w14:textId="77777777" w:rsidTr="00B26595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4F84BB8" w14:textId="77777777" w:rsidR="003E04A7" w:rsidRPr="003E04A7" w:rsidRDefault="003E04A7" w:rsidP="003E04A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47DA576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94FA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3E04A7" w:rsidRPr="003E04A7" w14:paraId="4C604FEC" w14:textId="77777777" w:rsidTr="00B26595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E414D56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A40CDAF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31F8C90" w14:textId="77777777" w:rsidR="003E04A7" w:rsidRPr="003E04A7" w:rsidRDefault="003E04A7" w:rsidP="003E04A7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3E04A7" w:rsidRPr="003E04A7" w14:paraId="378750F3" w14:textId="77777777" w:rsidTr="00B26595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25E6E1E2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5746A14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E1645F9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3E04A7" w:rsidRPr="003E04A7" w14:paraId="3AEF4EAF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D395EE8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7CFAC1F2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E04A7" w:rsidRPr="003E04A7" w14:paraId="3764E932" w14:textId="77777777" w:rsidTr="00B26595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9AA6D77" w14:textId="77777777" w:rsidR="003E04A7" w:rsidRPr="003E04A7" w:rsidRDefault="003E04A7" w:rsidP="003E04A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1232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E04A7" w:rsidRPr="003E04A7" w14:paraId="4B278116" w14:textId="77777777" w:rsidTr="00B26595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553059F" w14:textId="77777777" w:rsidR="003E04A7" w:rsidRPr="003E04A7" w:rsidRDefault="003E04A7" w:rsidP="003E04A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722A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E04A7" w:rsidRPr="003E04A7" w14:paraId="6A9AF92B" w14:textId="77777777" w:rsidTr="00B26595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58FFBF0" w14:textId="77777777" w:rsidR="003E04A7" w:rsidRPr="003E04A7" w:rsidRDefault="003E04A7" w:rsidP="003E04A7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3E04A7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F3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E04A7" w:rsidRPr="003E04A7" w14:paraId="02C8F4CF" w14:textId="77777777" w:rsidTr="00B26595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655DF1B" w14:textId="77777777" w:rsidR="003E04A7" w:rsidRPr="003E04A7" w:rsidRDefault="003E04A7" w:rsidP="003E04A7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BA5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 2022</w:t>
            </w:r>
          </w:p>
        </w:tc>
      </w:tr>
      <w:tr w:rsidR="003E04A7" w:rsidRPr="003E04A7" w14:paraId="0D7DFEF5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26450D5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E04A7" w:rsidRPr="003E04A7" w14:paraId="737D0B1B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5AAC60F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3E04A7" w:rsidRPr="003E04A7" w14:paraId="2B9E007A" w14:textId="77777777" w:rsidTr="00B26595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00CF6" w14:textId="77777777" w:rsidR="003E04A7" w:rsidRPr="003E04A7" w:rsidRDefault="003E04A7" w:rsidP="003E04A7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E04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  <w:t xml:space="preserve">Z dôvodu osobitnej situácie na trhu s ropou, keď trhová cena na svetových burzách atakuje historické maximá, pri súčasnom priamom pôsobení na spotrebiteľské ceny pohonných hmôt a nepriamom pôsobení na ostatné spotrebiteľské ceny tovarov a služieb je potrebné daňovým nástrojom reagovať na výhodu získanú v dôsledku osobitnej situácie na trhu s ropou s pôvodom v Ruskej federácii. Návrh zdaňuje ekonomickú výhodu subjektov, ktoré sú oprávnené ropu spracovať, a ktorá spočíva v nižšej cene za jej obstaranie ako je referenčná cena ropy </w:t>
            </w:r>
            <w:proofErr w:type="spellStart"/>
            <w:r w:rsidRPr="003E04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  <w:t>Brent</w:t>
            </w:r>
            <w:proofErr w:type="spellEnd"/>
            <w:r w:rsidRPr="003E04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</w:p>
        </w:tc>
      </w:tr>
      <w:tr w:rsidR="003E04A7" w:rsidRPr="003E04A7" w14:paraId="75E759D1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7850A41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3E04A7" w:rsidRPr="003E04A7" w14:paraId="5629FDDE" w14:textId="77777777" w:rsidTr="00B26595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DB0F2" w14:textId="77777777" w:rsidR="003E04A7" w:rsidRPr="003E04A7" w:rsidRDefault="003E04A7" w:rsidP="003E04A7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E04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  <w:t xml:space="preserve">Nová daň má zároveň za cieľ zabezpečiť konsolidáciu verejných financií, preklenutie </w:t>
            </w:r>
            <w:proofErr w:type="spellStart"/>
            <w:r w:rsidRPr="003E04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  <w:t>koronakrízy</w:t>
            </w:r>
            <w:proofErr w:type="spellEnd"/>
            <w:r w:rsidRPr="003E04A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sk-SK"/>
              </w:rPr>
              <w:t xml:space="preserve"> a zabezpečiť zdroje na zvýšené verejné výdavky v súvislosti s rastúcimi spotrebiteľskými cenami tovarov a služieb. Nová daň sa navrhuje v záujme zmiernenia rozdielov vstupných cien ropy a vzhľadom na vysokú mieru závislosti od dovozu ropy z Ruskej federácie a jej relatívne nízkej cene voči trhovým cenám v EÚ.</w:t>
            </w:r>
          </w:p>
        </w:tc>
      </w:tr>
      <w:tr w:rsidR="003E04A7" w:rsidRPr="003E04A7" w14:paraId="3EB02597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3FD1234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3E04A7" w:rsidRPr="003E04A7" w14:paraId="179FD60A" w14:textId="77777777" w:rsidTr="00B26595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DD63" w14:textId="77777777" w:rsidR="003E04A7" w:rsidRPr="003E04A7" w:rsidRDefault="003E04A7" w:rsidP="003E0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4A7">
              <w:rPr>
                <w:rFonts w:ascii="Times New Roman" w:hAnsi="Times New Roman"/>
                <w:sz w:val="24"/>
                <w:szCs w:val="24"/>
              </w:rPr>
              <w:t xml:space="preserve">Podnikateľské subjekty oprávnené vyrábať výrobky z ropy a chemicky spracovávajúce ropu s pôvodom v Ruskej federácii. </w:t>
            </w:r>
          </w:p>
        </w:tc>
      </w:tr>
      <w:tr w:rsidR="003E04A7" w:rsidRPr="003E04A7" w14:paraId="45310F59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30483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3E04A7" w:rsidRPr="003E04A7" w14:paraId="1442F5AB" w14:textId="77777777" w:rsidTr="00B26595">
        <w:trPr>
          <w:trHeight w:val="428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6A98B" w14:textId="77777777" w:rsidR="003E04A7" w:rsidRPr="003E04A7" w:rsidRDefault="003E04A7" w:rsidP="003E04A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E04A7">
              <w:rPr>
                <w:rFonts w:ascii="Times New Roman" w:hAnsi="Times New Roman"/>
                <w:sz w:val="24"/>
                <w:szCs w:val="24"/>
              </w:rPr>
              <w:t xml:space="preserve">V súvislosti s predkladaným zákonom neboli posudzované alternatívne riešenia. </w:t>
            </w:r>
          </w:p>
        </w:tc>
      </w:tr>
      <w:tr w:rsidR="003E04A7" w:rsidRPr="003E04A7" w14:paraId="4A036CB2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7D74F20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3E04A7" w:rsidRPr="003E04A7" w14:paraId="55AA99FB" w14:textId="77777777" w:rsidTr="00B26595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6DBBFD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0CD18BCA" w14:textId="77777777" w:rsidR="003E04A7" w:rsidRPr="003E04A7" w:rsidRDefault="00917F40" w:rsidP="003E04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4A7"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3E04A7"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EC84AC" w14:textId="77777777" w:rsidR="003E04A7" w:rsidRPr="003E04A7" w:rsidRDefault="00917F40" w:rsidP="003E04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4A7"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3E04A7"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3E04A7" w:rsidRPr="003E04A7" w14:paraId="56F6F3B9" w14:textId="77777777" w:rsidTr="00B26595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20C1A" w14:textId="77777777" w:rsidR="003E04A7" w:rsidRPr="003E04A7" w:rsidRDefault="003E04A7" w:rsidP="003E04A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E04A7" w:rsidRPr="003E04A7" w14:paraId="643A77EB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AF0D579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3E04A7" w:rsidRPr="003E04A7" w14:paraId="45EFC177" w14:textId="77777777" w:rsidTr="00B26595">
        <w:trPr>
          <w:trHeight w:val="135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321760F7" w14:textId="77777777" w:rsidR="003E04A7" w:rsidRPr="003E04A7" w:rsidRDefault="003E04A7" w:rsidP="003E04A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3E04A7">
              <w:rPr>
                <w:rFonts w:ascii="Times New Roman" w:hAnsi="Times New Roman"/>
                <w:sz w:val="24"/>
                <w:szCs w:val="24"/>
              </w:rPr>
              <w:t>Navrhovanými zákonmi nedochádza k transpozícii práva EÚ.</w:t>
            </w:r>
          </w:p>
        </w:tc>
      </w:tr>
      <w:tr w:rsidR="003E04A7" w:rsidRPr="003E04A7" w14:paraId="42CC49FF" w14:textId="77777777" w:rsidTr="00B26595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DD4FD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E40B0D2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E04A7" w:rsidRPr="003E04A7" w14:paraId="4B87444E" w14:textId="77777777" w:rsidTr="00B26595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23F9015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3E04A7" w:rsidRPr="003E04A7" w14:paraId="3A64DABB" w14:textId="77777777" w:rsidTr="00B26595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4338A" w14:textId="77777777" w:rsidR="003E04A7" w:rsidRPr="003E04A7" w:rsidRDefault="003E04A7" w:rsidP="003E04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4A7">
              <w:rPr>
                <w:rFonts w:ascii="Times New Roman" w:hAnsi="Times New Roman"/>
                <w:sz w:val="24"/>
                <w:szCs w:val="24"/>
              </w:rPr>
              <w:t>Bezpredmetné.</w:t>
            </w:r>
          </w:p>
          <w:p w14:paraId="7C49E861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E04A7" w:rsidRPr="003E04A7" w14:paraId="1A782406" w14:textId="77777777" w:rsidTr="00B26595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281DC3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00A95EA" w14:textId="77777777" w:rsidR="003E04A7" w:rsidRPr="003E04A7" w:rsidRDefault="003E04A7" w:rsidP="003E04A7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125DDD8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14BC64EA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E04A7" w:rsidRPr="003E04A7" w14:paraId="4F130565" w14:textId="77777777" w:rsidTr="00B26595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E0ACACE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3E04A7" w:rsidRPr="003E04A7" w14:paraId="79A694A3" w14:textId="77777777" w:rsidTr="00B2659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C2D540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87BBEC1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E51EF65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859C424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6C679BC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7390747" w14:textId="77777777" w:rsidR="003E04A7" w:rsidRPr="003E04A7" w:rsidRDefault="003E04A7" w:rsidP="003E04A7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1D8EA71" w14:textId="77777777" w:rsidR="003E04A7" w:rsidRPr="003E04A7" w:rsidRDefault="003E04A7" w:rsidP="003E04A7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E04A7" w:rsidRPr="003E04A7" w14:paraId="7DDBFFE9" w14:textId="77777777" w:rsidTr="00B2659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06A13C23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728CCC20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1E7FD76C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77FE03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88045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3DC657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EA10B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A4E7A0" w14:textId="77777777" w:rsidR="003E04A7" w:rsidRPr="003E04A7" w:rsidRDefault="003E04A7" w:rsidP="003E04A7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6F404" w14:textId="77777777" w:rsidR="003E04A7" w:rsidRPr="003E04A7" w:rsidRDefault="003E04A7" w:rsidP="003E04A7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E04A7" w:rsidRPr="003E04A7" w14:paraId="0B20054B" w14:textId="77777777" w:rsidTr="00B26595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BF59244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6F92807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81489E" w14:textId="77777777" w:rsidR="003E04A7" w:rsidRPr="003E04A7" w:rsidRDefault="003E04A7" w:rsidP="003E04A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CBB874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701914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7ECD10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8DAC84" w14:textId="77777777" w:rsidR="003E04A7" w:rsidRPr="003E04A7" w:rsidRDefault="003E04A7" w:rsidP="003E04A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E04A7" w:rsidRPr="003E04A7" w14:paraId="2C50285D" w14:textId="77777777" w:rsidTr="00B26595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677D0B5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1D8E8E04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0EAF644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F634C4" w14:textId="77777777" w:rsidR="003E04A7" w:rsidRPr="003E04A7" w:rsidRDefault="003E04A7" w:rsidP="003E04A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7032177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0532789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207A06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5F62E6B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8A79" w14:textId="77777777" w:rsidR="003E04A7" w:rsidRPr="003E04A7" w:rsidRDefault="003E04A7" w:rsidP="003E04A7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E04A7" w:rsidRPr="003E04A7" w14:paraId="3313B043" w14:textId="77777777" w:rsidTr="00B26595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A293A8D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3AB7E0A1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B315D2D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05545" w14:textId="77777777" w:rsidR="003E04A7" w:rsidRPr="003E04A7" w:rsidRDefault="003E04A7" w:rsidP="003E04A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434AD" w14:textId="77777777" w:rsidR="003E04A7" w:rsidRPr="003E04A7" w:rsidRDefault="003E04A7" w:rsidP="003E04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58705" w14:textId="77777777" w:rsidR="003E04A7" w:rsidRPr="003E04A7" w:rsidRDefault="003E04A7" w:rsidP="003E04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59B12C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9D41" w14:textId="77777777" w:rsidR="003E04A7" w:rsidRPr="003E04A7" w:rsidRDefault="003E04A7" w:rsidP="003E04A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E04A7" w:rsidRPr="003E04A7" w14:paraId="05A9F4B9" w14:textId="77777777" w:rsidTr="00B26595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55DD887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C4872E2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C18A7" w14:textId="77777777" w:rsidR="003E04A7" w:rsidRPr="003E04A7" w:rsidRDefault="003E04A7" w:rsidP="003E04A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A7C42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DD5A8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97A542A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BA9B2" w14:textId="77777777" w:rsidR="003E04A7" w:rsidRPr="003E04A7" w:rsidRDefault="003E04A7" w:rsidP="003E04A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E04A7" w:rsidRPr="003E04A7" w14:paraId="1A0554C3" w14:textId="77777777" w:rsidTr="00B2659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41E15A0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13092B5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9260F" w14:textId="77777777" w:rsidR="003E04A7" w:rsidRPr="003E04A7" w:rsidRDefault="003E04A7" w:rsidP="003E04A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5B5F47B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0BCDF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0A749B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81DA0" w14:textId="77777777" w:rsidR="003E04A7" w:rsidRPr="003E04A7" w:rsidRDefault="003E04A7" w:rsidP="003E04A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E04A7" w:rsidRPr="003E04A7" w14:paraId="79C46ED3" w14:textId="77777777" w:rsidTr="00B2659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9916ABB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B87EBC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2B894" w14:textId="77777777" w:rsidR="003E04A7" w:rsidRPr="003E04A7" w:rsidRDefault="003E04A7" w:rsidP="003E04A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ECFEE24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FB5E4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C21CB5D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378F7" w14:textId="77777777" w:rsidR="003E04A7" w:rsidRPr="003E04A7" w:rsidRDefault="003E04A7" w:rsidP="003E04A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3E04A7" w:rsidRPr="003E04A7" w14:paraId="7991C83C" w14:textId="77777777" w:rsidTr="00B2659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FDC7F59" w14:textId="77777777" w:rsidR="003E04A7" w:rsidRPr="003E04A7" w:rsidRDefault="003E04A7" w:rsidP="003E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0E6C59" w14:textId="77777777" w:rsidR="003E04A7" w:rsidRPr="003E04A7" w:rsidRDefault="003E04A7" w:rsidP="003E04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5F6547" w14:textId="77777777" w:rsidR="003E04A7" w:rsidRPr="003E04A7" w:rsidRDefault="003E04A7" w:rsidP="003E04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D318D" w14:textId="77777777" w:rsidR="003E04A7" w:rsidRPr="003E04A7" w:rsidRDefault="003E04A7" w:rsidP="003E04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22E97B" w14:textId="77777777" w:rsidR="003E04A7" w:rsidRPr="003E04A7" w:rsidRDefault="003E04A7" w:rsidP="003E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63E5E1" w14:textId="77777777" w:rsidR="003E04A7" w:rsidRPr="003E04A7" w:rsidRDefault="003E04A7" w:rsidP="003E04A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76CC8B" w14:textId="77777777" w:rsidR="003E04A7" w:rsidRPr="003E04A7" w:rsidRDefault="003E04A7" w:rsidP="003E04A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E04A7" w:rsidRPr="003E04A7" w14:paraId="29F6CC8F" w14:textId="77777777" w:rsidTr="00B2659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BB9A88" w14:textId="77777777" w:rsidR="003E04A7" w:rsidRPr="003E04A7" w:rsidRDefault="003E04A7" w:rsidP="003E04A7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04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024539D" w14:textId="77777777" w:rsidR="003E04A7" w:rsidRPr="003E04A7" w:rsidRDefault="003E04A7" w:rsidP="003E04A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CA85959" w14:textId="77777777" w:rsidR="003E04A7" w:rsidRPr="003E04A7" w:rsidRDefault="003E04A7" w:rsidP="003E04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1785E5C" w14:textId="77777777" w:rsidR="003E04A7" w:rsidRPr="003E04A7" w:rsidRDefault="003E04A7" w:rsidP="003E04A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C8CC05" w14:textId="77777777" w:rsidR="003E04A7" w:rsidRPr="003E04A7" w:rsidRDefault="003E04A7" w:rsidP="003E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F47E041" w14:textId="77777777" w:rsidR="003E04A7" w:rsidRPr="003E04A7" w:rsidRDefault="003E04A7" w:rsidP="003E04A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72E638" w14:textId="77777777" w:rsidR="003E04A7" w:rsidRPr="003E04A7" w:rsidRDefault="003E04A7" w:rsidP="003E04A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E04A7" w:rsidRPr="003E04A7" w14:paraId="467CD8C9" w14:textId="77777777" w:rsidTr="00B2659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125819" w14:textId="77777777" w:rsidR="003E04A7" w:rsidRPr="003E04A7" w:rsidRDefault="003E04A7" w:rsidP="003E04A7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E04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6CAA23A" w14:textId="77777777" w:rsidR="003E04A7" w:rsidRPr="003E04A7" w:rsidRDefault="003E04A7" w:rsidP="003E04A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BE81B0" w14:textId="77777777" w:rsidR="003E04A7" w:rsidRPr="003E04A7" w:rsidRDefault="003E04A7" w:rsidP="003E04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581DEA7" w14:textId="77777777" w:rsidR="003E04A7" w:rsidRPr="003E04A7" w:rsidRDefault="003E04A7" w:rsidP="003E04A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47A2D4" w14:textId="77777777" w:rsidR="003E04A7" w:rsidRPr="003E04A7" w:rsidRDefault="003E04A7" w:rsidP="003E0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13E8A03" w14:textId="77777777" w:rsidR="003E04A7" w:rsidRPr="003E04A7" w:rsidRDefault="003E04A7" w:rsidP="003E04A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7D9E" w14:textId="77777777" w:rsidR="003E04A7" w:rsidRPr="003E04A7" w:rsidRDefault="003E04A7" w:rsidP="003E04A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3E04A7" w:rsidRPr="003E04A7" w14:paraId="4BF15C11" w14:textId="77777777" w:rsidTr="00B26595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956E50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5B5BDFF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68554" w14:textId="77777777" w:rsidR="003E04A7" w:rsidRPr="003E04A7" w:rsidRDefault="003E04A7" w:rsidP="003E04A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75A901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15BC3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08A1DDD" w14:textId="77777777" w:rsidR="003E04A7" w:rsidRPr="003E04A7" w:rsidRDefault="003E04A7" w:rsidP="003E04A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3E04A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487A" w14:textId="77777777" w:rsidR="003E04A7" w:rsidRPr="003E04A7" w:rsidRDefault="003E04A7" w:rsidP="003E04A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0565E520" w14:textId="77777777" w:rsidR="003E04A7" w:rsidRPr="003E04A7" w:rsidRDefault="003E04A7" w:rsidP="003E04A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3E04A7" w:rsidRPr="003E04A7" w14:paraId="5BF2E022" w14:textId="77777777" w:rsidTr="00B2659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13B426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3E04A7" w:rsidRPr="003E04A7" w14:paraId="036EF7DB" w14:textId="77777777" w:rsidTr="00B26595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F8D5963" w14:textId="77777777" w:rsidR="003E04A7" w:rsidRPr="003E04A7" w:rsidRDefault="003E04A7" w:rsidP="003E04A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 w:rsidRPr="003E04A7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Navrhovaný zákon bude mať pozitívny vplyv na rozpočet verejnej správy a negatívny vplyv na podnikateľské prostredie, pretože dôjde k zvýšeniu dane pre vybraný segment </w:t>
            </w:r>
            <w:r w:rsidRPr="003E04A7">
              <w:rPr>
                <w:rFonts w:ascii="Times New Roman" w:eastAsiaTheme="minorEastAsia" w:hAnsi="Times New Roman"/>
                <w:sz w:val="24"/>
                <w:szCs w:val="24"/>
                <w:lang w:eastAsia="sk-SK"/>
              </w:rPr>
              <w:t>subjektov vyrábajúcich výrobky z ropy a chemicky spracovávajúce ropu s pôvodom v Ruskej federácii.</w:t>
            </w:r>
          </w:p>
          <w:p w14:paraId="3CAAE70F" w14:textId="77777777" w:rsidR="003E04A7" w:rsidRPr="003E04A7" w:rsidRDefault="003E04A7" w:rsidP="003E04A7">
            <w:pPr>
              <w:jc w:val="both"/>
              <w:rPr>
                <w:rFonts w:ascii="Times New Roman" w:eastAsia="Calibri" w:hAnsi="Times New Roman" w:cs="Times New Roman"/>
                <w:b/>
                <w:lang w:eastAsia="sk-SK"/>
              </w:rPr>
            </w:pPr>
          </w:p>
        </w:tc>
      </w:tr>
      <w:tr w:rsidR="003E04A7" w:rsidRPr="003E04A7" w14:paraId="21B6E321" w14:textId="77777777" w:rsidTr="00B2659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3273206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3E04A7" w:rsidRPr="003E04A7" w14:paraId="6AA4EDDB" w14:textId="77777777" w:rsidTr="00B26595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1F64" w14:textId="77777777" w:rsidR="003E04A7" w:rsidRPr="003E04A7" w:rsidRDefault="003E04A7" w:rsidP="003E04A7">
            <w:pPr>
              <w:spacing w:before="120" w:after="120"/>
              <w:rPr>
                <w:rFonts w:ascii="Times New Roman" w:eastAsiaTheme="minorEastAsia" w:hAnsi="Times New Roman"/>
                <w:color w:val="0563C1" w:themeColor="hyperlink"/>
                <w:u w:val="single"/>
                <w:lang w:eastAsia="sk-SK"/>
              </w:rPr>
            </w:pPr>
            <w:r w:rsidRPr="003E04A7"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Ministerstvo financií Slovenskej republiky </w:t>
            </w:r>
            <w:hyperlink r:id="rId9" w:history="1">
              <w:r w:rsidRPr="003E04A7">
                <w:rPr>
                  <w:rFonts w:ascii="Times New Roman" w:eastAsiaTheme="minorEastAsia" w:hAnsi="Times New Roman"/>
                  <w:color w:val="0563C1" w:themeColor="hyperlink"/>
                  <w:u w:val="single"/>
                  <w:lang w:eastAsia="sk-SK"/>
                </w:rPr>
                <w:t>podatelna@mfsr.sk</w:t>
              </w:r>
            </w:hyperlink>
          </w:p>
        </w:tc>
      </w:tr>
      <w:tr w:rsidR="003E04A7" w:rsidRPr="003E04A7" w14:paraId="18240839" w14:textId="77777777" w:rsidTr="00B2659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45E30B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3E04A7" w:rsidRPr="003E04A7" w14:paraId="5F42ECD2" w14:textId="77777777" w:rsidTr="00B26595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C2369" w14:textId="77777777" w:rsidR="003E04A7" w:rsidRPr="003E04A7" w:rsidRDefault="003E04A7" w:rsidP="003E04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 vypracovaní doložky vplyvov a analýzy vplyvov na rozpočet verejnej správy vychádzalo Ministerstvo financií SR z dostupných zdrojov Ministerstva financií Slovenskej republiky a analýz Inštitútu finančnej politiky .</w:t>
            </w:r>
          </w:p>
          <w:p w14:paraId="1EC74F89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E04A7" w:rsidRPr="003E04A7" w14:paraId="0FE026FB" w14:textId="77777777" w:rsidTr="00B26595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5841B05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3E04A7">
              <w:rPr>
                <w:rFonts w:ascii="Calibri" w:eastAsia="Calibri" w:hAnsi="Calibri" w:cs="Times New Roman"/>
              </w:rPr>
              <w:t xml:space="preserve"> </w:t>
            </w:r>
          </w:p>
          <w:p w14:paraId="580D436A" w14:textId="77777777" w:rsidR="003E04A7" w:rsidRPr="003E04A7" w:rsidRDefault="003E04A7" w:rsidP="003E04A7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3E04A7" w:rsidRPr="003E04A7" w14:paraId="43D14D95" w14:textId="77777777" w:rsidTr="00B26595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42D1F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E04A7" w:rsidRPr="003E04A7" w14:paraId="7629B3E2" w14:textId="77777777" w:rsidTr="00B26595">
              <w:trPr>
                <w:trHeight w:val="396"/>
              </w:trPr>
              <w:tc>
                <w:tcPr>
                  <w:tcW w:w="2552" w:type="dxa"/>
                </w:tcPr>
                <w:p w14:paraId="4383D21B" w14:textId="77777777" w:rsidR="003E04A7" w:rsidRPr="003E04A7" w:rsidRDefault="00917F40" w:rsidP="003E04A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04A7" w:rsidRPr="003E04A7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E04A7" w:rsidRPr="003E0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14:paraId="33203977" w14:textId="77777777" w:rsidR="003E04A7" w:rsidRPr="003E04A7" w:rsidRDefault="00917F40" w:rsidP="003E04A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04A7" w:rsidRPr="003E04A7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E04A7" w:rsidRPr="003E0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14:paraId="76495408" w14:textId="77777777" w:rsidR="003E04A7" w:rsidRPr="003E04A7" w:rsidRDefault="00917F40" w:rsidP="003E04A7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04A7" w:rsidRPr="003E04A7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E04A7" w:rsidRPr="003E0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38E6E468" w14:textId="77777777" w:rsidR="003E04A7" w:rsidRPr="003E04A7" w:rsidRDefault="003E04A7" w:rsidP="003E04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CD534A3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A51164C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E04A7" w:rsidRPr="003E04A7" w14:paraId="665D3AB5" w14:textId="77777777" w:rsidTr="00B26595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F9A1D27" w14:textId="77777777" w:rsidR="003E04A7" w:rsidRPr="003E04A7" w:rsidRDefault="003E04A7" w:rsidP="003E04A7">
            <w:pPr>
              <w:numPr>
                <w:ilvl w:val="0"/>
                <w:numId w:val="12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E04A7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3E04A7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3E04A7" w:rsidRPr="003E04A7" w14:paraId="58B4F97D" w14:textId="77777777" w:rsidTr="00B26595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21A20DEB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E04A7" w:rsidRPr="003E04A7" w14:paraId="14C4023C" w14:textId="77777777" w:rsidTr="00B26595">
              <w:trPr>
                <w:trHeight w:val="396"/>
              </w:trPr>
              <w:tc>
                <w:tcPr>
                  <w:tcW w:w="2552" w:type="dxa"/>
                </w:tcPr>
                <w:p w14:paraId="60FCB3E1" w14:textId="77777777" w:rsidR="003E04A7" w:rsidRPr="003E04A7" w:rsidRDefault="00917F40" w:rsidP="003E04A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04A7" w:rsidRPr="003E04A7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E04A7" w:rsidRPr="003E0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598DB1D4" w14:textId="77777777" w:rsidR="003E04A7" w:rsidRPr="003E04A7" w:rsidRDefault="00917F40" w:rsidP="003E04A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04A7" w:rsidRPr="003E04A7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E04A7" w:rsidRPr="003E0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2BEBEBDB" w14:textId="77777777" w:rsidR="003E04A7" w:rsidRPr="003E04A7" w:rsidRDefault="00917F40" w:rsidP="003E04A7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04A7" w:rsidRPr="003E04A7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3E04A7" w:rsidRPr="003E04A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3E966AD3" w14:textId="77777777" w:rsidR="003E04A7" w:rsidRPr="003E04A7" w:rsidRDefault="003E04A7" w:rsidP="003E04A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3E0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2B8CEEE1" w14:textId="77777777" w:rsidR="003E04A7" w:rsidRPr="003E04A7" w:rsidRDefault="003E04A7" w:rsidP="003E04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2DBDA453" w14:textId="1B402C5B" w:rsidR="003E04A7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0D563E4C" w14:textId="4C13C6C7" w:rsidR="003E04A7" w:rsidRPr="007D5748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lastRenderedPageBreak/>
        <w:t>Analýza vplyvov na rozpočet verejnej správy,</w:t>
      </w:r>
    </w:p>
    <w:p w14:paraId="40A0B403" w14:textId="77777777" w:rsidR="003E04A7" w:rsidRPr="007D5748" w:rsidRDefault="003E04A7" w:rsidP="003E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7026BF16" w14:textId="77777777" w:rsidR="003E04A7" w:rsidRPr="00212894" w:rsidRDefault="003E04A7" w:rsidP="003E04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97DB3B1" w14:textId="77777777" w:rsidR="003E04A7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6635B28" w14:textId="77777777" w:rsidR="003E04A7" w:rsidRPr="00212894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2CACB672" w14:textId="77777777" w:rsidR="003E04A7" w:rsidRDefault="003E04A7" w:rsidP="003E0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8DFEDA1" w14:textId="77777777" w:rsidR="003E04A7" w:rsidRPr="007D5748" w:rsidRDefault="003E04A7" w:rsidP="003E0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1276"/>
        <w:gridCol w:w="1418"/>
        <w:gridCol w:w="1417"/>
        <w:gridCol w:w="1521"/>
      </w:tblGrid>
      <w:tr w:rsidR="003E04A7" w:rsidRPr="007D5748" w14:paraId="45AF104D" w14:textId="77777777" w:rsidTr="00B26595">
        <w:trPr>
          <w:cantSplit/>
          <w:trHeight w:val="194"/>
          <w:jc w:val="center"/>
        </w:trPr>
        <w:tc>
          <w:tcPr>
            <w:tcW w:w="4498" w:type="dxa"/>
            <w:vMerge w:val="restart"/>
            <w:shd w:val="clear" w:color="auto" w:fill="BFBFBF" w:themeFill="background1" w:themeFillShade="BF"/>
            <w:vAlign w:val="center"/>
          </w:tcPr>
          <w:p w14:paraId="41AC3EDC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632" w:type="dxa"/>
            <w:gridSpan w:val="4"/>
            <w:shd w:val="clear" w:color="auto" w:fill="BFBFBF" w:themeFill="background1" w:themeFillShade="BF"/>
            <w:vAlign w:val="center"/>
          </w:tcPr>
          <w:p w14:paraId="07F4640E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3E04A7" w:rsidRPr="007D5748" w14:paraId="08E1BEAF" w14:textId="77777777" w:rsidTr="00B26595">
        <w:trPr>
          <w:cantSplit/>
          <w:trHeight w:val="70"/>
          <w:jc w:val="center"/>
        </w:trPr>
        <w:tc>
          <w:tcPr>
            <w:tcW w:w="4498" w:type="dxa"/>
            <w:vMerge/>
            <w:shd w:val="clear" w:color="auto" w:fill="BFBFBF" w:themeFill="background1" w:themeFillShade="BF"/>
            <w:vAlign w:val="center"/>
          </w:tcPr>
          <w:p w14:paraId="6811420C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91FABA9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F096269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6114544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F9B037D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</w:tr>
      <w:tr w:rsidR="003E04A7" w:rsidRPr="007D5748" w14:paraId="2904605D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75D051B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14:paraId="2699CC3B" w14:textId="77777777" w:rsidR="003E04A7" w:rsidRPr="00B74253" w:rsidRDefault="003E04A7" w:rsidP="00B26595">
            <w:pPr>
              <w:spacing w:after="0"/>
              <w:jc w:val="right"/>
              <w:rPr>
                <w:b/>
              </w:rPr>
            </w:pPr>
            <w:r w:rsidRPr="00B74253">
              <w:rPr>
                <w:b/>
              </w:rPr>
              <w:t>57 608 000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14:paraId="753CAABA" w14:textId="77777777" w:rsidR="003E04A7" w:rsidRPr="00B74253" w:rsidRDefault="003E04A7" w:rsidP="00B26595">
            <w:pPr>
              <w:spacing w:after="0"/>
              <w:jc w:val="right"/>
              <w:rPr>
                <w:b/>
              </w:rPr>
            </w:pPr>
            <w:r w:rsidRPr="00B74253">
              <w:rPr>
                <w:b/>
              </w:rPr>
              <w:t>24 106 000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14:paraId="336EA3B9" w14:textId="77777777" w:rsidR="003E04A7" w:rsidRPr="00B74253" w:rsidRDefault="003E04A7" w:rsidP="00B26595">
            <w:pPr>
              <w:spacing w:after="0"/>
              <w:jc w:val="right"/>
              <w:rPr>
                <w:b/>
              </w:rPr>
            </w:pPr>
            <w:r w:rsidRPr="00B74253">
              <w:rPr>
                <w:b/>
              </w:rPr>
              <w:t>23 202 000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14:paraId="368BB751" w14:textId="77777777" w:rsidR="003E04A7" w:rsidRPr="00B74253" w:rsidRDefault="003E04A7" w:rsidP="00B26595">
            <w:pPr>
              <w:spacing w:after="0"/>
              <w:jc w:val="right"/>
              <w:rPr>
                <w:b/>
              </w:rPr>
            </w:pPr>
            <w:r w:rsidRPr="00B74253">
              <w:rPr>
                <w:b/>
              </w:rPr>
              <w:t>0</w:t>
            </w:r>
          </w:p>
        </w:tc>
      </w:tr>
      <w:tr w:rsidR="003E04A7" w:rsidRPr="007D5748" w14:paraId="09B8FF82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1A3A2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z toho: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F3B2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CC43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17B9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EBCAC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E04A7" w:rsidRPr="007D5748" w14:paraId="5EC793C3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EDCB8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ŠR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D6450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57 608 000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3E520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24 106 000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A01E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23 202 000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899F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552C1CAB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C836C" w14:textId="77777777" w:rsidR="003E04A7" w:rsidRDefault="003E04A7" w:rsidP="00B26595">
            <w:pPr>
              <w:spacing w:after="0"/>
              <w:ind w:firstLineChars="100" w:firstLine="2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Rozpočtové prostriedky, v tom: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A891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57 608 000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9524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24 106 000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6465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23 202 000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605D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21849898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4B21A" w14:textId="77777777" w:rsidR="003E04A7" w:rsidRPr="00327FB7" w:rsidRDefault="003E04A7" w:rsidP="003E04A7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ind w:left="351" w:hanging="131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z toho </w:t>
            </w:r>
            <w:r w:rsidRPr="00327FB7">
              <w:rPr>
                <w:i/>
                <w:iCs/>
                <w:color w:val="000000"/>
              </w:rPr>
              <w:t>daň z výhody získanej v dôsledku osobitnej situácie na trhu s ropou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414B18" w14:textId="77777777" w:rsidR="003E04A7" w:rsidRPr="00F502F1" w:rsidRDefault="003E04A7" w:rsidP="00B26595">
            <w:pPr>
              <w:spacing w:after="0"/>
              <w:jc w:val="right"/>
            </w:pPr>
            <w:r w:rsidRPr="00F502F1">
              <w:t>72 922 000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EA7B4F" w14:textId="77777777" w:rsidR="003E04A7" w:rsidRPr="00F502F1" w:rsidRDefault="003E04A7" w:rsidP="00B26595">
            <w:pPr>
              <w:spacing w:after="0"/>
              <w:jc w:val="right"/>
            </w:pPr>
            <w:r w:rsidRPr="00F502F1">
              <w:t>30 514 000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896A40" w14:textId="77777777" w:rsidR="003E04A7" w:rsidRPr="00F502F1" w:rsidRDefault="003E04A7" w:rsidP="00B26595">
            <w:pPr>
              <w:spacing w:after="0"/>
              <w:jc w:val="right"/>
            </w:pPr>
            <w:r w:rsidRPr="00F502F1">
              <w:t>29 369 000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BE1051" w14:textId="77777777" w:rsidR="003E04A7" w:rsidRDefault="003E04A7" w:rsidP="00B26595">
            <w:pPr>
              <w:spacing w:after="0"/>
              <w:jc w:val="right"/>
            </w:pPr>
            <w:r w:rsidRPr="00F502F1">
              <w:t>0</w:t>
            </w:r>
          </w:p>
        </w:tc>
      </w:tr>
      <w:tr w:rsidR="003E04A7" w:rsidRPr="007D5748" w14:paraId="358347B6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EB64A" w14:textId="77777777" w:rsidR="003E04A7" w:rsidRDefault="003E04A7" w:rsidP="00B26595">
            <w:pPr>
              <w:spacing w:after="0"/>
              <w:ind w:firstLineChars="100" w:firstLine="220"/>
              <w:rPr>
                <w:i/>
                <w:iCs/>
                <w:color w:val="000000"/>
              </w:rPr>
            </w:pPr>
            <w:r w:rsidRPr="00327FB7">
              <w:rPr>
                <w:i/>
                <w:iCs/>
                <w:color w:val="000000"/>
              </w:rPr>
              <w:t>- z toho daň z príjmov právnických osôb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042221" w14:textId="77777777" w:rsidR="003E04A7" w:rsidRPr="006F33C0" w:rsidRDefault="003E04A7" w:rsidP="00B26595">
            <w:pPr>
              <w:spacing w:after="0"/>
              <w:jc w:val="right"/>
            </w:pPr>
            <w:r w:rsidRPr="006F33C0">
              <w:t>-15</w:t>
            </w:r>
            <w:r>
              <w:t> </w:t>
            </w:r>
            <w:r w:rsidRPr="006F33C0">
              <w:t>314</w:t>
            </w:r>
            <w: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9E1F89" w14:textId="77777777" w:rsidR="003E04A7" w:rsidRPr="006F33C0" w:rsidRDefault="003E04A7" w:rsidP="00B26595">
            <w:pPr>
              <w:spacing w:after="0"/>
              <w:jc w:val="right"/>
            </w:pPr>
            <w:r w:rsidRPr="006F33C0">
              <w:t>-6</w:t>
            </w:r>
            <w:r>
              <w:t> </w:t>
            </w:r>
            <w:r w:rsidRPr="006F33C0">
              <w:t>408</w:t>
            </w:r>
            <w: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32C928D" w14:textId="77777777" w:rsidR="003E04A7" w:rsidRDefault="003E04A7" w:rsidP="00B26595">
            <w:pPr>
              <w:spacing w:after="0"/>
              <w:jc w:val="right"/>
            </w:pPr>
            <w:r w:rsidRPr="006F33C0">
              <w:t>-6</w:t>
            </w:r>
            <w:r>
              <w:t> </w:t>
            </w:r>
            <w:r w:rsidRPr="006F33C0">
              <w:t>167</w:t>
            </w:r>
            <w:r>
              <w:t xml:space="preserve"> 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FFF0583" w14:textId="77777777" w:rsidR="003E04A7" w:rsidRPr="006F33C0" w:rsidRDefault="003E04A7" w:rsidP="00B26595">
            <w:pPr>
              <w:spacing w:after="0"/>
              <w:jc w:val="right"/>
            </w:pPr>
            <w:r>
              <w:t>0</w:t>
            </w:r>
          </w:p>
        </w:tc>
      </w:tr>
      <w:tr w:rsidR="003E04A7" w:rsidRPr="007D5748" w14:paraId="26C99542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2D1C9" w14:textId="77777777" w:rsidR="003E04A7" w:rsidRDefault="003E04A7" w:rsidP="00B26595">
            <w:pPr>
              <w:spacing w:after="0"/>
              <w:ind w:firstLineChars="100" w:firstLine="2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EÚ zdroje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6B621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5ECF9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0F642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407BC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E04A7" w:rsidRPr="007D5748" w14:paraId="7812ED28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FD647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obce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C1857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EA47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7269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F664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148A9BC3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1090D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vyššie územné celky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4F26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3C8C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A946C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CBF10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2AD28C59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63E3D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ostatné subjekty verejnej správy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0E7F0E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D0E35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6E41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E9223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03A67C6F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A5EE92D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624620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CD26C7B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F9889C5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9EA114C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12C4028C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0706A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z toho: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54DEE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B588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F6425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1AF0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E04A7" w:rsidRPr="007D5748" w14:paraId="44FE0DD9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28363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72E3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548E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B8E7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5CB1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566DB52F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61067" w14:textId="77777777" w:rsidR="003E04A7" w:rsidRDefault="003E04A7" w:rsidP="00B26595">
            <w:pPr>
              <w:spacing w:after="0"/>
              <w:ind w:firstLineChars="100" w:firstLine="2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Rozpočtové prostriedky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01FB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CFF8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3AE4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23B67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5E36E05B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CB2F3" w14:textId="77777777" w:rsidR="003E04A7" w:rsidRDefault="003E04A7" w:rsidP="00B26595">
            <w:pPr>
              <w:spacing w:after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EÚ zdroje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9FD2D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28C94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7CC74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B4AF1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E04A7" w:rsidRPr="007D5748" w14:paraId="51586A14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9F6F8" w14:textId="77777777" w:rsidR="003E04A7" w:rsidRDefault="003E04A7" w:rsidP="00B26595">
            <w:pPr>
              <w:spacing w:after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spolufinancovanie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4883A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ABD90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70266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3DFAB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E04A7" w:rsidRPr="007D5748" w14:paraId="4E5FF558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A5BA1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obce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A0B9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AE94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54C8C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6705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4A67B12A" w14:textId="77777777" w:rsidTr="00B26595">
        <w:trPr>
          <w:trHeight w:val="125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41EF6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vyššie územné celky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4B61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A20FE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0703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CC75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2F6F2F21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47553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ostatné subjekty verejnej správy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5953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960C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376C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1B0F9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519BD863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76FC354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Vplyv na počet zamestnancov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5A54C2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167377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FC73B7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9418519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68C0FC26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932AB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9A8C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BBDDC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7600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BAC6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7CC04D20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621C2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obce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9F527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EC5A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1E53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2923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36978920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BBC35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vyššie územné celky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0398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D09FB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48C5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9D61B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55996426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456C1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ostatné subjekty verejnej správy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12AEB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8362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1C27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E511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52E72EF7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8A3F79E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Vplyv na mzdové výdavky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55F653B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7BB5395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882827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1D35169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0B629D3A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1A375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87E4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1E55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7988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2C0F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413F92CF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68273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obce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7617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2534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227E9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1E0F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5C3F0B7F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FE272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vyššie územné celky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F01B0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0815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F06F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A8D6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00ACABE1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8DCA0" w14:textId="77777777" w:rsidR="003E04A7" w:rsidRDefault="003E04A7" w:rsidP="00B26595">
            <w:pPr>
              <w:spacing w:after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 vplyv na ostatné subjekty verejnej správy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4EFFE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7C58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0C4B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7C565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79560232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B4A97B3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Financovanie zabezpečené v rozpočte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7AA9A5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6F12CE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D54F755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FA1480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2EC9D6A0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39F3272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Iné ako rozpočtové zdroje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D5F2A0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6DC8765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542E54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263192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E04A7" w:rsidRPr="007D5748" w14:paraId="26E42D81" w14:textId="77777777" w:rsidTr="00B26595">
        <w:trPr>
          <w:trHeight w:val="70"/>
          <w:jc w:val="center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103B7499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Rozpočtovo nekrytý vplyv / úspora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53F4CC1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7146D5F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458B3A60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14:paraId="094B400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bookmarkEnd w:id="0"/>
    </w:tbl>
    <w:p w14:paraId="1AB262FD" w14:textId="77777777" w:rsidR="003E04A7" w:rsidRDefault="003E04A7" w:rsidP="003E04A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488C556F" w14:textId="77777777" w:rsidR="003E04A7" w:rsidRPr="007D5748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4AB64EC7" w14:textId="77777777" w:rsidR="003E04A7" w:rsidRPr="007D5748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4EF8FEC2" w14:textId="77777777" w:rsidR="003E04A7" w:rsidRPr="00566FEC" w:rsidRDefault="003E04A7" w:rsidP="003E04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</w:t>
      </w:r>
      <w:r w:rsidRPr="00685E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mať pozitívny vplyv na rozpočet verejnej správy a negatívny vplyv na podnikateľské prostredie, pretože zvýši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daňové</w:t>
      </w:r>
      <w:r w:rsidRPr="00685E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zaťaženie vybraného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podnikateľského </w:t>
      </w:r>
      <w:r w:rsidRPr="00685E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segmentu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zaoberajúceho sa </w:t>
      </w:r>
      <w:r w:rsidRPr="00F61265">
        <w:rPr>
          <w:rFonts w:ascii="Times New Roman" w:eastAsia="Times New Roman" w:hAnsi="Times New Roman" w:cs="Times New Roman"/>
          <w:sz w:val="24"/>
          <w:szCs w:val="24"/>
          <w:lang w:eastAsia="sk-SK"/>
        </w:rPr>
        <w:t>výrobou výrobkov z ropy a jej chemického spracovan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ím.</w:t>
      </w: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415249D8" w14:textId="77777777" w:rsidR="003E04A7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CE7B67E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3050BD24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74DEDA" w14:textId="77777777" w:rsidR="003E04A7" w:rsidRPr="007D5748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329623B1" w14:textId="77777777" w:rsidR="003E04A7" w:rsidRPr="007D5748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E4169E" w14:textId="77777777" w:rsidR="003E04A7" w:rsidRPr="007D5748" w:rsidRDefault="003E04A7" w:rsidP="003E0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7D4472A7" w14:textId="77777777" w:rsidR="003E04A7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EF66E8" w14:textId="77777777" w:rsidR="003E04A7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7F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Návrhom zákona </w:t>
      </w:r>
      <w:r w:rsidRPr="00C22E28">
        <w:rPr>
          <w:rFonts w:ascii="Times New Roman" w:eastAsia="Times New Roman" w:hAnsi="Times New Roman" w:cs="Times New Roman"/>
          <w:sz w:val="24"/>
          <w:szCs w:val="24"/>
          <w:lang w:eastAsia="sk-SK"/>
        </w:rPr>
        <w:t>dochádza k zavedeniu dane z výhody získanej v dôsledku osobitnej situácie na trhu s ropou. Zdaňovacím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bdobím bude kalendárny mesiac. Daňovníkom </w:t>
      </w:r>
      <w:r w:rsidRPr="00C22E28">
        <w:rPr>
          <w:rFonts w:ascii="Times New Roman" w:eastAsia="Times New Roman" w:hAnsi="Times New Roman" w:cs="Times New Roman"/>
          <w:sz w:val="24"/>
          <w:szCs w:val="24"/>
          <w:lang w:eastAsia="sk-SK"/>
        </w:rPr>
        <w:t>je držiteľ živnostenského oprávnenia, na základe ktorého je oprávnený vyrábať výrobky z ropy a chemicky ropu spracovávať. Daň sa bude počítať ako súčin množstva ropy s pôvodom v Ruskej federácii v bareloch obstaranej daňovníkom v príslušnom zdaňovacom období a rozdielu medzi referenčnou cenou a priemernou cenou obstarania zníženého o  5 USD.</w:t>
      </w:r>
    </w:p>
    <w:p w14:paraId="0C4B9E0A" w14:textId="77777777" w:rsidR="003E04A7" w:rsidRPr="007D5748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FA8B3F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65BCD0C4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A1EA17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399E23A3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02C9EF4C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17EDEA3D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1D3FDF69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366A80EF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E116BC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31EFD5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72CA876E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BA8AFC" w14:textId="77777777" w:rsidR="003E04A7" w:rsidRDefault="003E04A7" w:rsidP="003E04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3572C17C" w14:textId="77777777" w:rsidR="003E04A7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758705" w14:textId="77777777" w:rsidR="003E04A7" w:rsidRPr="007B33EC" w:rsidRDefault="003E04A7" w:rsidP="003E04A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71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Odhad je založený na objeme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dovozu ropy z Ruskej federácie v bareloch.</w:t>
      </w:r>
    </w:p>
    <w:p w14:paraId="4DC97D8B" w14:textId="77777777" w:rsidR="003E04A7" w:rsidRPr="007B33EC" w:rsidRDefault="003E04A7" w:rsidP="003E04A7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Odhaduje sa rozdiel</w:t>
      </w:r>
      <w:r w:rsidRPr="007B33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medzi referenčnou cenou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ktorou je</w:t>
      </w:r>
      <w:r w:rsidRPr="007B33EC">
        <w:t xml:space="preserve"> </w:t>
      </w:r>
      <w:r w:rsidRPr="007B33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priemerná cena ropy </w:t>
      </w:r>
      <w:proofErr w:type="spellStart"/>
      <w:r w:rsidRPr="007B33EC">
        <w:rPr>
          <w:rFonts w:ascii="Times New Roman" w:eastAsia="Times New Roman" w:hAnsi="Times New Roman" w:cs="Times New Roman"/>
          <w:sz w:val="24"/>
          <w:szCs w:val="24"/>
          <w:lang w:eastAsia="sk-SK"/>
        </w:rPr>
        <w:t>Brent</w:t>
      </w:r>
      <w:proofErr w:type="spellEnd"/>
      <w:r w:rsidRPr="007B33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jeden barel v amerických dolároch za príslušné zdaňovacie obdobie, zverejnená na webovom sídle Svetovej banky a priemernou cenou obstarania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nížený</w:t>
      </w:r>
      <w:r w:rsidRPr="007B33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5 USD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5E21636" w14:textId="77777777" w:rsidR="003E04A7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D7AF1DB" w14:textId="77777777" w:rsidR="003E04A7" w:rsidRPr="00D33723" w:rsidRDefault="003E04A7" w:rsidP="003E04A7">
      <w:pPr>
        <w:pStyle w:val="Odsekzoznamu"/>
        <w:numPr>
          <w:ilvl w:val="0"/>
          <w:numId w:val="11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37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Rozdiel medzi cenou ropy </w:t>
      </w:r>
      <w:proofErr w:type="spellStart"/>
      <w:r w:rsidRPr="00D337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Brent</w:t>
      </w:r>
      <w:proofErr w:type="spellEnd"/>
      <w:r w:rsidRPr="00D3372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je najvýraznejšie riziko fiškálneho vplyvu.</w:t>
      </w:r>
      <w:r w:rsidRPr="00D337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Pokiaľ by pretrval počas roka 2022 rozdiel medzi </w:t>
      </w:r>
      <w:proofErr w:type="spellStart"/>
      <w:r w:rsidRPr="00D33723">
        <w:rPr>
          <w:rFonts w:ascii="Times New Roman" w:eastAsia="Times New Roman" w:hAnsi="Times New Roman" w:cs="Times New Roman"/>
          <w:sz w:val="24"/>
          <w:szCs w:val="24"/>
          <w:lang w:eastAsia="sk-SK"/>
        </w:rPr>
        <w:t>Brentom</w:t>
      </w:r>
      <w:proofErr w:type="spellEnd"/>
      <w:r w:rsidRPr="00D337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Pr="00D33723">
        <w:rPr>
          <w:rFonts w:ascii="Times New Roman" w:eastAsia="Times New Roman" w:hAnsi="Times New Roman" w:cs="Times New Roman"/>
          <w:sz w:val="24"/>
          <w:szCs w:val="24"/>
          <w:lang w:eastAsia="sk-SK"/>
        </w:rPr>
        <w:t>Uralsom</w:t>
      </w:r>
      <w:proofErr w:type="spellEnd"/>
      <w:r w:rsidRPr="00D337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úrovni 35 USD, výnos by predstavoval okolo 150 mil. eur (čistý vplyv). Za predpokladu </w:t>
      </w:r>
      <w:proofErr w:type="spellStart"/>
      <w:r w:rsidRPr="00D33723">
        <w:rPr>
          <w:rFonts w:ascii="Times New Roman" w:eastAsia="Times New Roman" w:hAnsi="Times New Roman" w:cs="Times New Roman"/>
          <w:sz w:val="24"/>
          <w:szCs w:val="24"/>
          <w:lang w:eastAsia="sk-SK"/>
        </w:rPr>
        <w:t>spreadu</w:t>
      </w:r>
      <w:proofErr w:type="spellEnd"/>
      <w:r w:rsidRPr="00D337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35 USD počas 12 mesiacov by teoretický výnos mohol byť okolo 250 mil. eur (čistý vplyv).    </w:t>
      </w:r>
    </w:p>
    <w:p w14:paraId="409D290A" w14:textId="77777777" w:rsidR="003E04A7" w:rsidRDefault="003E04A7" w:rsidP="003E04A7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6"/>
      </w:tblGrid>
      <w:tr w:rsidR="003E04A7" w14:paraId="67A0575F" w14:textId="77777777" w:rsidTr="00B26595">
        <w:trPr>
          <w:trHeight w:val="241"/>
          <w:jc w:val="center"/>
        </w:trPr>
        <w:tc>
          <w:tcPr>
            <w:tcW w:w="78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2D3C" w14:textId="77777777" w:rsidR="003E04A7" w:rsidRDefault="003E04A7" w:rsidP="00B26595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 xml:space="preserve">Vývoj rozdielu medzi cenou </w:t>
            </w:r>
            <w:proofErr w:type="spellStart"/>
            <w:r>
              <w:rPr>
                <w:rFonts w:ascii="Arial Narrow" w:hAnsi="Arial Narrow"/>
                <w:b/>
                <w:bCs/>
              </w:rPr>
              <w:t>Brent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a </w:t>
            </w:r>
            <w:proofErr w:type="spellStart"/>
            <w:r>
              <w:rPr>
                <w:rFonts w:ascii="Arial Narrow" w:hAnsi="Arial Narrow"/>
                <w:b/>
                <w:bCs/>
              </w:rPr>
              <w:t>Uralsom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v USD – minulosť a prognóza</w:t>
            </w:r>
          </w:p>
        </w:tc>
      </w:tr>
      <w:tr w:rsidR="003E04A7" w14:paraId="2353ED54" w14:textId="77777777" w:rsidTr="00B26595">
        <w:trPr>
          <w:trHeight w:val="3670"/>
          <w:jc w:val="center"/>
        </w:trPr>
        <w:tc>
          <w:tcPr>
            <w:tcW w:w="780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CC07" w14:textId="77777777" w:rsidR="003E04A7" w:rsidRDefault="003E04A7" w:rsidP="00B2659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sk-SK"/>
              </w:rPr>
              <w:drawing>
                <wp:inline distT="0" distB="0" distL="0" distR="0" wp14:anchorId="5B98AF3B" wp14:editId="0B875D27">
                  <wp:extent cx="4810125" cy="2419350"/>
                  <wp:effectExtent l="0" t="0" r="9525" b="0"/>
                  <wp:docPr id="4" name="Obrázok 4" descr="cid:image001.png@01D86A97.C18897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cid:image001.png@01D86A97.C18897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4A7" w14:paraId="3E608A8B" w14:textId="77777777" w:rsidTr="00B26595">
        <w:trPr>
          <w:trHeight w:val="241"/>
          <w:jc w:val="center"/>
        </w:trPr>
        <w:tc>
          <w:tcPr>
            <w:tcW w:w="78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7F9D" w14:textId="77777777" w:rsidR="003E04A7" w:rsidRDefault="003E04A7" w:rsidP="00B26595">
            <w:pPr>
              <w:spacing w:after="0" w:line="240" w:lineRule="auto"/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Zdroj: prepočty MF SR na základe dát z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Bloombergu</w:t>
            </w:r>
            <w:proofErr w:type="spellEnd"/>
          </w:p>
        </w:tc>
      </w:tr>
    </w:tbl>
    <w:p w14:paraId="18AFCE8A" w14:textId="77777777" w:rsidR="003E04A7" w:rsidRPr="00183905" w:rsidRDefault="003E04A7" w:rsidP="003E04A7">
      <w:pPr>
        <w:pStyle w:val="Odsekzoznamu"/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934805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3EB105" w14:textId="77777777" w:rsidR="003E04A7" w:rsidRPr="007D5748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1C19F86A" w14:textId="77777777" w:rsidR="003E04A7" w:rsidRDefault="003E04A7" w:rsidP="003E0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5BCE0E" w14:textId="77777777" w:rsidR="003E04A7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30D2">
        <w:rPr>
          <w:rFonts w:ascii="Times New Roman" w:eastAsia="Times New Roman" w:hAnsi="Times New Roman" w:cs="Times New Roman"/>
          <w:sz w:val="24"/>
          <w:szCs w:val="24"/>
          <w:lang w:eastAsia="sk-SK"/>
        </w:rPr>
        <w:t>Pri vypracovaní doložky vplyvov a analýzy vplyvov na rozpočet verejnej správy vychádzalo Ministerstvo financií SR z dostupných zdrojov Ministerstva financií Slovenskej republiky a analýz Inštitút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 finančnej politiky.</w:t>
      </w:r>
    </w:p>
    <w:p w14:paraId="7BFCB6DD" w14:textId="77777777" w:rsidR="003E04A7" w:rsidRDefault="003E04A7" w:rsidP="003E0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003CF0" w14:textId="77777777" w:rsidR="003E04A7" w:rsidRDefault="003E04A7" w:rsidP="003E04A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Pozitívny vplyv na rozpočet:</w:t>
      </w:r>
    </w:p>
    <w:p w14:paraId="092E9862" w14:textId="5AF7BAB1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predpokladá aj pozitívny vplyv na rozpočet verejnej správy.</w:t>
      </w:r>
    </w:p>
    <w:p w14:paraId="6CC1F68F" w14:textId="68FDF82B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2673F1" w14:textId="3B2CE784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BA751D" w14:textId="463463DA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E76B66" w14:textId="7F1C1970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08D040" w14:textId="7AFC2469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0DC841" w14:textId="1E70ED9B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5804E9" w14:textId="3692932C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24C113" w14:textId="00D79806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EFDE8A" w14:textId="7F80099A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FD6309" w14:textId="4219FDF3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303791" w14:textId="78F3A406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E873DD" w14:textId="485D4B23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18480B" w14:textId="3A53987A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0D54C4" w14:textId="18BAD5FC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AFD34D" w14:textId="6A1677C4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AC5520" w14:textId="77777777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3E04A7" w:rsidSect="009B0E0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7AFD7B28" w14:textId="4EEFEEE3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ED7DFE" w14:textId="21B884F7" w:rsidR="003E04A7" w:rsidRDefault="003E04A7" w:rsidP="003E04A7">
      <w:pPr>
        <w:pStyle w:val="Textkomentr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F3EAC2" w14:textId="77777777" w:rsidR="003E04A7" w:rsidRPr="007D5748" w:rsidRDefault="003E04A7" w:rsidP="003E04A7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14:paraId="0381E0C2" w14:textId="77777777" w:rsidR="003E04A7" w:rsidRPr="007D5748" w:rsidRDefault="003E04A7" w:rsidP="003E04A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E04A7" w:rsidRPr="007D5748" w14:paraId="1F32301E" w14:textId="77777777" w:rsidTr="00B2659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982282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akruál</w:t>
            </w:r>
            <w:proofErr w:type="spellEnd"/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709942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DB4767B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E04A7" w:rsidRPr="007D5748" w14:paraId="23C726A2" w14:textId="77777777" w:rsidTr="00B2659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A3CC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D4AC17" w14:textId="77777777" w:rsidR="003E04A7" w:rsidRPr="00685EE7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85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AC62C" w14:textId="77777777" w:rsidR="003E04A7" w:rsidRPr="00685EE7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85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15B54" w14:textId="77777777" w:rsidR="003E04A7" w:rsidRPr="00685EE7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85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497B15" w14:textId="77777777" w:rsidR="003E04A7" w:rsidRPr="00685EE7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85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BF1A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E04A7" w:rsidRPr="007D5748" w14:paraId="1A80526B" w14:textId="77777777" w:rsidTr="00B26595">
        <w:trPr>
          <w:trHeight w:val="255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1D4B1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Daňové príjmy (100)</w:t>
            </w:r>
            <w:r>
              <w:rPr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95AD9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57 608 000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F1AC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24 106 000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376D9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23 202 000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336E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E0E1E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6BDF4B45" w14:textId="77777777" w:rsidTr="00B26595">
        <w:trPr>
          <w:trHeight w:val="255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68B38" w14:textId="77777777" w:rsidR="003E04A7" w:rsidRDefault="003E04A7" w:rsidP="00B26595">
            <w:pPr>
              <w:spacing w:after="0"/>
              <w:ind w:firstLineChars="100" w:firstLine="2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v tom: (190) </w:t>
            </w:r>
            <w:r>
              <w:t xml:space="preserve"> </w:t>
            </w:r>
            <w:r w:rsidRPr="00FA5F74">
              <w:rPr>
                <w:i/>
                <w:iCs/>
                <w:color w:val="000000"/>
              </w:rPr>
              <w:t xml:space="preserve">daň z </w:t>
            </w:r>
            <w:r w:rsidRPr="00327FB7">
              <w:rPr>
                <w:i/>
                <w:iCs/>
                <w:color w:val="000000"/>
              </w:rPr>
              <w:t xml:space="preserve"> daň z výhody získanej v dôsledku osobitnej situácie na trhu s ropou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7AD98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72 922 000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BA0A5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30 514 000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EC0AC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29 369 000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23B29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461F8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E04A7" w:rsidRPr="007D5748" w14:paraId="53DE50C5" w14:textId="77777777" w:rsidTr="00B26595">
        <w:trPr>
          <w:trHeight w:val="255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790A5" w14:textId="77777777" w:rsidR="003E04A7" w:rsidRDefault="003E04A7" w:rsidP="00B26595">
            <w:pPr>
              <w:spacing w:after="0"/>
              <w:ind w:firstLineChars="100" w:firstLine="22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 tom:</w:t>
            </w:r>
            <w:r w:rsidRPr="00327FB7">
              <w:rPr>
                <w:i/>
                <w:iCs/>
                <w:color w:val="000000"/>
              </w:rPr>
              <w:t xml:space="preserve"> daň z príjmov právnických osôb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5106F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-15 314 000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47453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-6 408 000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F739D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-6 167 000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3113E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9751B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E04A7" w:rsidRPr="007D5748" w14:paraId="27FA957B" w14:textId="77777777" w:rsidTr="00B26595">
        <w:trPr>
          <w:trHeight w:val="255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D65BE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Nedaňové príjmy (200)</w:t>
            </w:r>
            <w:r>
              <w:rPr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4EB2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D71A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D3E7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2940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C15B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735FECCF" w14:textId="77777777" w:rsidTr="00B26595">
        <w:trPr>
          <w:trHeight w:val="255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545DB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395C8EA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44497121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085DAB3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A23EB74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A699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14DC872B" w14:textId="77777777" w:rsidTr="00B26595">
        <w:trPr>
          <w:trHeight w:val="255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CA800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A95E9EE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43C38CF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755C4605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6FF73270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6E001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7FE1CC93" w14:textId="77777777" w:rsidTr="00B26595">
        <w:trPr>
          <w:trHeight w:val="255"/>
        </w:trPr>
        <w:tc>
          <w:tcPr>
            <w:tcW w:w="4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B3A3963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3B870B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57 608 000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5C9101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24 106 000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D7B4CF9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23 202 000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E44C7A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E0F3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4721ED0" w14:textId="77777777" w:rsidR="003E04A7" w:rsidRPr="007D5748" w:rsidRDefault="003E04A7" w:rsidP="003E04A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7914CB54" w14:textId="77777777" w:rsidR="003E04A7" w:rsidRPr="007D5748" w:rsidRDefault="003E04A7" w:rsidP="003E04A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DC95771" w14:textId="77777777" w:rsidR="003E04A7" w:rsidRPr="007D5748" w:rsidRDefault="003E04A7" w:rsidP="003E04A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202C62B1" w14:textId="77777777" w:rsidR="003E04A7" w:rsidRPr="00327FB7" w:rsidRDefault="003E04A7" w:rsidP="003E04A7">
      <w:pPr>
        <w:spacing w:after="0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327FB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V tabuľke je uvedený </w:t>
      </w:r>
      <w:r w:rsidRPr="00481E4A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akruálny vplyv</w:t>
      </w:r>
      <w:r w:rsidRPr="00327FB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na saldo verejnej správy.</w:t>
      </w:r>
    </w:p>
    <w:p w14:paraId="61D2F591" w14:textId="77777777" w:rsidR="003E04A7" w:rsidRDefault="003E04A7" w:rsidP="003E04A7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Daňovník ne</w:t>
      </w:r>
      <w:r w:rsidRPr="00327FB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platí osobitný odvod z podnikania v regulovaných odvetviach a rovnako nie sú rozpočtované dividendy z akcionárskeho podielu štátu.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 w:type="page"/>
      </w:r>
    </w:p>
    <w:p w14:paraId="7523B0A3" w14:textId="77777777" w:rsidR="003E04A7" w:rsidRPr="007D5748" w:rsidRDefault="003E04A7" w:rsidP="003E04A7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5</w:t>
      </w:r>
    </w:p>
    <w:p w14:paraId="753C4BCE" w14:textId="77777777" w:rsidR="003E04A7" w:rsidRPr="007D5748" w:rsidRDefault="003E04A7" w:rsidP="003E04A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1560"/>
        <w:gridCol w:w="1701"/>
        <w:gridCol w:w="1630"/>
        <w:gridCol w:w="1540"/>
        <w:gridCol w:w="2220"/>
      </w:tblGrid>
      <w:tr w:rsidR="003E04A7" w:rsidRPr="007D5748" w14:paraId="63B3563B" w14:textId="77777777" w:rsidTr="00B26595">
        <w:trPr>
          <w:cantSplit/>
          <w:trHeight w:val="255"/>
        </w:trPr>
        <w:tc>
          <w:tcPr>
            <w:tcW w:w="6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521F0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3B0A9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57CE6E9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E04A7" w:rsidRPr="007D5748" w14:paraId="484E19E4" w14:textId="77777777" w:rsidTr="00B26595">
        <w:trPr>
          <w:cantSplit/>
          <w:trHeight w:val="255"/>
        </w:trPr>
        <w:tc>
          <w:tcPr>
            <w:tcW w:w="6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000141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53D0311" w14:textId="77777777" w:rsidR="003E04A7" w:rsidRDefault="003E04A7" w:rsidP="00B26595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0AB5EBF" w14:textId="77777777" w:rsidR="003E04A7" w:rsidRDefault="003E04A7" w:rsidP="00B26595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95E8860" w14:textId="77777777" w:rsidR="003E04A7" w:rsidRDefault="003E04A7" w:rsidP="00B26595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AA28D2F" w14:textId="77777777" w:rsidR="003E04A7" w:rsidRDefault="003E04A7" w:rsidP="00B26595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90F3AC3" w14:textId="77777777" w:rsidR="003E04A7" w:rsidRPr="007D5748" w:rsidRDefault="003E04A7" w:rsidP="00B265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E04A7" w:rsidRPr="007D5748" w14:paraId="687A741F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40B81" w14:textId="77777777" w:rsidR="003E04A7" w:rsidRDefault="003E04A7" w:rsidP="00B2659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Bežné výdavky (600)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A3F3D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8C5E0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BFD7E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87975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83733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7F46C14A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5B156" w14:textId="77777777" w:rsidR="003E04A7" w:rsidRDefault="003E04A7" w:rsidP="00B2659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Mzdy, platy, služobné príjmy a ostatné osobné vyrovnania (610)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1158D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6585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741A3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DC50A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CBFCB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205EBC0D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23189" w14:textId="77777777" w:rsidR="003E04A7" w:rsidRDefault="003E04A7" w:rsidP="00B2659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34623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67FBC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F3307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56452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49ED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123AF6BE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105FA" w14:textId="77777777" w:rsidR="003E04A7" w:rsidRDefault="003E04A7" w:rsidP="00B2659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Tovary a služby (630)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F3E0F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C9134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3DF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77C88" w14:textId="77777777" w:rsidR="003E04A7" w:rsidRPr="00FA5F74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FA5F7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141EE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12B626F9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8A219" w14:textId="77777777" w:rsidR="003E04A7" w:rsidRDefault="003E04A7" w:rsidP="00B2659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Bežné transfery (640)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F996E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E1703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57FEB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92C32" w14:textId="77777777" w:rsidR="003E04A7" w:rsidRPr="00D4010A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D4010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3B22" w14:textId="77777777" w:rsidR="003E04A7" w:rsidRPr="00D4010A" w:rsidRDefault="003E04A7" w:rsidP="00B2659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401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04A7" w:rsidRPr="007D5748" w14:paraId="265FD006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1EAF5" w14:textId="77777777" w:rsidR="003E04A7" w:rsidRDefault="003E04A7" w:rsidP="00B2659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Splácanie úrokov a ostatné platby súvisiace s 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úverom, pôžičkou, návratnou finančnou výpomocou a finančným prenájmom (650)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FBB4D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17462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A8D5F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E5113" w14:textId="77777777" w:rsidR="003E04A7" w:rsidRDefault="003E04A7" w:rsidP="00B26595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1E65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E04A7" w:rsidRPr="007D5748" w14:paraId="3698C281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C4D06" w14:textId="77777777" w:rsidR="003E04A7" w:rsidRDefault="003E04A7" w:rsidP="00B2659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Kapitálové výdavky (700)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3A6A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D862C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12B9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1FF0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4174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3990CA11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A8DA8" w14:textId="77777777" w:rsidR="003E04A7" w:rsidRDefault="003E04A7" w:rsidP="00B2659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Obstarávanie kapitálových aktív (710)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921C0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093A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E0DEC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8C17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FA6C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7DEB8ED0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4B6EF" w14:textId="77777777" w:rsidR="003E04A7" w:rsidRDefault="003E04A7" w:rsidP="00B26595">
            <w:pPr>
              <w:spacing w:after="0"/>
              <w:ind w:firstLineChars="100" w:firstLine="2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v </w:t>
            </w:r>
            <w:proofErr w:type="spellStart"/>
            <w:r>
              <w:rPr>
                <w:i/>
                <w:iCs/>
                <w:color w:val="000000"/>
              </w:rPr>
              <w:t>tom:materiálno</w:t>
            </w:r>
            <w:proofErr w:type="spellEnd"/>
            <w:r>
              <w:rPr>
                <w:i/>
                <w:iCs/>
                <w:color w:val="000000"/>
              </w:rPr>
              <w:t xml:space="preserve"> technické zabezpečenie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AB09E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63CF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CEC7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7822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541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E04A7" w:rsidRPr="007D5748" w14:paraId="045074FC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B9AC" w14:textId="77777777" w:rsidR="003E04A7" w:rsidRDefault="003E04A7" w:rsidP="00B26595">
            <w:pPr>
              <w:spacing w:after="0"/>
              <w:ind w:firstLineChars="100" w:firstLine="220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v tom: zmeny v informačných systémoch FR SR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9DBEB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6977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CB86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BD01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E4EE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E04A7" w:rsidRPr="007D5748" w14:paraId="620292F8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48A2B" w14:textId="77777777" w:rsidR="003E04A7" w:rsidRDefault="003E04A7" w:rsidP="00B2659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Kapitálové transfery (720)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543F3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CA12F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07519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8FEA6" w14:textId="77777777" w:rsidR="003E04A7" w:rsidRDefault="003E04A7" w:rsidP="00B26595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DF37A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5F562003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D137B" w14:textId="77777777" w:rsidR="003E04A7" w:rsidRDefault="003E04A7" w:rsidP="00B2659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317111E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59C98C6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241D684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14:paraId="17361921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EB659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526C1262" w14:textId="77777777" w:rsidTr="00B26595">
        <w:trPr>
          <w:trHeight w:val="255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6170F53" w14:textId="77777777" w:rsidR="003E04A7" w:rsidRDefault="003E04A7" w:rsidP="00B26595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Dopad na výdavky verejnej správy celkom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DB39CC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E92258F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7B7995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981A560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DB20B66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170A1AA3" w14:textId="77777777" w:rsidR="003E04A7" w:rsidRPr="007D5748" w:rsidRDefault="003E04A7" w:rsidP="003E04A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79AC9B4E" w14:textId="77777777" w:rsidR="003E04A7" w:rsidRPr="007D5748" w:rsidRDefault="003E04A7" w:rsidP="003E04A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DCEF319" w14:textId="77777777" w:rsidR="003E04A7" w:rsidRPr="007D5748" w:rsidRDefault="003E04A7" w:rsidP="003E04A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3750F859" w14:textId="77777777" w:rsidR="003E04A7" w:rsidRPr="007D5748" w:rsidRDefault="003E04A7" w:rsidP="003E04A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38544852" w14:textId="77777777" w:rsidR="003E04A7" w:rsidRPr="007D5748" w:rsidRDefault="003E04A7" w:rsidP="003E04A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4675167" w14:textId="77777777" w:rsidR="003E04A7" w:rsidRDefault="003E04A7" w:rsidP="003E04A7">
      <w:pP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br w:type="page"/>
      </w:r>
    </w:p>
    <w:p w14:paraId="5AAA8733" w14:textId="77777777" w:rsidR="003E04A7" w:rsidRPr="007D5748" w:rsidRDefault="003E04A7" w:rsidP="003E04A7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B11A4DD" w14:textId="77777777" w:rsidR="003E04A7" w:rsidRPr="007D5748" w:rsidRDefault="003E04A7" w:rsidP="003E04A7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Tabuľka č. 6</w:t>
      </w:r>
    </w:p>
    <w:p w14:paraId="4EEE9D5B" w14:textId="77777777" w:rsidR="003E04A7" w:rsidRPr="007D5748" w:rsidRDefault="003E04A7" w:rsidP="003E04A7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965"/>
        <w:gridCol w:w="543"/>
        <w:gridCol w:w="1442"/>
        <w:gridCol w:w="1978"/>
        <w:gridCol w:w="630"/>
        <w:gridCol w:w="990"/>
      </w:tblGrid>
      <w:tr w:rsidR="003E04A7" w:rsidRPr="007D5748" w14:paraId="13F713B2" w14:textId="77777777" w:rsidTr="00B2659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79B8E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754DA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3F06DD" w14:textId="77777777" w:rsidR="003E04A7" w:rsidRPr="007D5748" w:rsidRDefault="003E04A7" w:rsidP="00B26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E04A7" w:rsidRPr="007D5748" w14:paraId="50EA02F2" w14:textId="77777777" w:rsidTr="00B2659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BB4B1D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D5AE6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D4E859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E25A0D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575A5" w14:textId="77777777" w:rsidR="003E04A7" w:rsidRDefault="003E04A7" w:rsidP="00B26595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9F1B5F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E04A7" w:rsidRPr="007D5748" w14:paraId="094014BA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FEC6F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E351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79A3B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94B255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A4C1C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690DB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7CD7A723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7DE16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FECDF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F2305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1F41F8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2A80D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0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5D636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E04A7" w:rsidRPr="007D5748" w14:paraId="531486E8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3DB87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Priemerný mzdový výdavok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9C6F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2A52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3AE8819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7E7BE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5ADD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72F8E851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85C14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15763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24EED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AAB8B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3DE58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0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B0B5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77136FFA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1F56017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D742527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BC217F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01F486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B29B59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A284CB3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60734689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BAE3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D740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9EB8A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DFEA6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F0743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70D5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20173BED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5E797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252F6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58FAB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C566F7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BF563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0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1A0EB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52C878D7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C3CC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E34A4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62EA8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8838D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B8B9E" w14:textId="77777777" w:rsidR="003E04A7" w:rsidRDefault="003E04A7" w:rsidP="00B26595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0C9A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336DE47F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0A48C" w14:textId="77777777" w:rsidR="003E04A7" w:rsidRDefault="003E04A7" w:rsidP="00B26595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583E6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1DDE8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0ACE79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FAC7B" w14:textId="77777777" w:rsidR="003E04A7" w:rsidRDefault="003E04A7" w:rsidP="00B26595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0  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D130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E04A7" w:rsidRPr="007D5748" w14:paraId="1BE92089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3AF9C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4B47C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CD775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2783F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BF36F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6CE67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E04A7" w:rsidRPr="007D5748" w14:paraId="43BF9783" w14:textId="77777777" w:rsidTr="00B2659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5991D673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CD9D6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DBB57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8AEDA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8CE84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77851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E04A7" w:rsidRPr="007D5748" w14:paraId="7624C448" w14:textId="77777777" w:rsidTr="00B26595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8245F7F" w14:textId="77777777" w:rsidR="003E04A7" w:rsidRPr="007D5748" w:rsidRDefault="003E04A7" w:rsidP="00B26595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16705BFD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5AC02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E04A7" w:rsidRPr="007D5748" w14:paraId="302C1E9B" w14:textId="77777777" w:rsidTr="00B26595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AEC39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54078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6F583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58C17" w14:textId="77777777" w:rsidR="003E04A7" w:rsidRPr="007D5748" w:rsidRDefault="003E04A7" w:rsidP="00B26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ED1C4FB" w14:textId="241993E5" w:rsidR="003E04A7" w:rsidRPr="00AB6BB4" w:rsidRDefault="003E04A7" w:rsidP="003E04A7">
      <w:pPr>
        <w:pStyle w:val="Textkomentra"/>
        <w:jc w:val="both"/>
        <w:rPr>
          <w:sz w:val="24"/>
          <w:szCs w:val="24"/>
        </w:rPr>
        <w:sectPr w:rsidR="003E04A7" w:rsidRPr="00AB6BB4" w:rsidSect="006037B6">
          <w:pgSz w:w="16838" w:h="11906" w:orient="landscape"/>
          <w:pgMar w:top="1418" w:right="1418" w:bottom="1418" w:left="1276" w:header="709" w:footer="709" w:gutter="0"/>
          <w:cols w:space="708"/>
          <w:docGrid w:linePitch="360"/>
        </w:sectPr>
      </w:pPr>
    </w:p>
    <w:p w14:paraId="3948C4D1" w14:textId="04FA70C8" w:rsidR="00054C41" w:rsidRPr="00895898" w:rsidRDefault="00054C41" w:rsidP="003E04A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89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Analýza vplyvov na podnikateľské prostredie</w:t>
      </w:r>
    </w:p>
    <w:p w14:paraId="37B35A25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961D92" w14:textId="301C86AB" w:rsidR="00054C41" w:rsidRPr="00BC4A78" w:rsidRDefault="00054C41" w:rsidP="00BC4A7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="00BC4A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06950" w:rsidRPr="00FB3A0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</w:t>
      </w:r>
      <w:r w:rsidR="00B126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 w:rsidR="00C06950" w:rsidRPr="000560F5">
        <w:rPr>
          <w:rFonts w:ascii="Times New Roman" w:eastAsia="Times New Roman" w:hAnsi="Times New Roman" w:cs="Times New Roman"/>
          <w:sz w:val="24"/>
          <w:szCs w:val="24"/>
          <w:lang w:eastAsia="sk-SK"/>
        </w:rPr>
        <w:t>o dani z výhody získanej v dôsledku osobitnej situácie na trhu s ropou a o zmene a doplnení niektorých zákonov</w:t>
      </w:r>
      <w:r w:rsidR="00BC4A78" w:rsidRPr="00FB3A0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6AFBB5F" w14:textId="68BBD631" w:rsidR="00054C41" w:rsidRPr="00BC4A78" w:rsidRDefault="00054C41" w:rsidP="00BC4A7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 w:rsidR="00BC4A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C4A78" w:rsidRPr="00FB3A0F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financií SR</w:t>
      </w:r>
    </w:p>
    <w:p w14:paraId="0EB400DC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14:paraId="2A91A721" w14:textId="7347FB75" w:rsidR="00054C41" w:rsidRPr="001F1B43" w:rsidRDefault="00054C41" w:rsidP="00C21399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r w:rsidR="00C213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30C56119" w14:textId="77777777" w:rsidR="00054C41" w:rsidRPr="001F1B43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2ADA32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Tabuľka č. 1: Zmeny nákladov (ročne) v prepočte na podnikateľské prostredie (PP), vyhodnotenie mechanizmu znižovania byrokracie a nákladov. </w:t>
      </w:r>
    </w:p>
    <w:p w14:paraId="332752F1" w14:textId="77777777" w:rsidR="00054C41" w:rsidRPr="00895898" w:rsidRDefault="00054C41" w:rsidP="00054C41">
      <w:pPr>
        <w:spacing w:after="0"/>
        <w:rPr>
          <w:rFonts w:ascii="Times New Roman" w:eastAsia="Calibri" w:hAnsi="Times New Roman" w:cs="Times New Roman"/>
          <w:i/>
        </w:rPr>
      </w:pPr>
    </w:p>
    <w:tbl>
      <w:tblPr>
        <w:tblStyle w:val="Mriekatabuky2"/>
        <w:tblW w:w="9067" w:type="dxa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054C41" w:rsidRPr="00895898" w14:paraId="200C7519" w14:textId="77777777" w:rsidTr="00142154">
        <w:tc>
          <w:tcPr>
            <w:tcW w:w="3681" w:type="dxa"/>
          </w:tcPr>
          <w:p w14:paraId="06A5A4C5" w14:textId="77777777" w:rsidR="00054C41" w:rsidRPr="00895898" w:rsidRDefault="00054C41" w:rsidP="00142154">
            <w:pPr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TYP NÁKLADOV</w:t>
            </w:r>
          </w:p>
        </w:tc>
        <w:tc>
          <w:tcPr>
            <w:tcW w:w="2693" w:type="dxa"/>
            <w:shd w:val="clear" w:color="auto" w:fill="FFC000"/>
          </w:tcPr>
          <w:p w14:paraId="1BAEDC68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Zvýšenie nákladov v € na PP</w:t>
            </w:r>
          </w:p>
        </w:tc>
        <w:tc>
          <w:tcPr>
            <w:tcW w:w="2693" w:type="dxa"/>
            <w:shd w:val="clear" w:color="auto" w:fill="92D050"/>
          </w:tcPr>
          <w:p w14:paraId="1E4A3629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Zníženie nákladov v € na PP</w:t>
            </w:r>
          </w:p>
        </w:tc>
      </w:tr>
      <w:tr w:rsidR="00363250" w:rsidRPr="00895898" w14:paraId="40D2DDFC" w14:textId="77777777" w:rsidTr="001E4BDF">
        <w:trPr>
          <w:trHeight w:val="227"/>
        </w:trPr>
        <w:tc>
          <w:tcPr>
            <w:tcW w:w="3681" w:type="dxa"/>
          </w:tcPr>
          <w:p w14:paraId="18F50E63" w14:textId="1EC43257" w:rsidR="00363250" w:rsidRPr="00895898" w:rsidRDefault="00363250" w:rsidP="00363250">
            <w:pPr>
              <w:rPr>
                <w:rFonts w:ascii="Times New Roman" w:eastAsia="Calibri" w:hAnsi="Times New Roman" w:cs="Times New Roman"/>
                <w:i/>
                <w:iCs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>A. Dane, odvody, clá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 xml:space="preserve"> a poplatk</w:t>
            </w:r>
            <w:r w:rsidRPr="00A000D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>y</w:t>
            </w:r>
            <w:r w:rsidRPr="00A00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00D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 xml:space="preserve">ktorých cieľom je znižovať negatívne </w:t>
            </w:r>
            <w:proofErr w:type="spellStart"/>
            <w:r w:rsidRPr="00A000DA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</w:rPr>
              <w:t>externality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0C359853" w14:textId="24054687" w:rsidR="00363250" w:rsidRPr="00895898" w:rsidRDefault="00426F08" w:rsidP="00363250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426F08">
              <w:rPr>
                <w:b/>
                <w:bCs/>
                <w:color w:val="000000"/>
                <w:sz w:val="20"/>
                <w:szCs w:val="20"/>
              </w:rPr>
              <w:t>57 608 000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7F217001" w14:textId="56E18BEA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63250" w:rsidRPr="00895898" w14:paraId="2A3B7BD5" w14:textId="77777777" w:rsidTr="001E4BDF">
        <w:tc>
          <w:tcPr>
            <w:tcW w:w="3681" w:type="dxa"/>
          </w:tcPr>
          <w:p w14:paraId="749ADDB1" w14:textId="6814776F" w:rsidR="00363250" w:rsidRPr="00895898" w:rsidRDefault="00363250" w:rsidP="00363250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 xml:space="preserve">B. </w:t>
            </w:r>
            <w:r>
              <w:rPr>
                <w:rFonts w:ascii="Times New Roman" w:eastAsia="Calibri" w:hAnsi="Times New Roman" w:cs="Times New Roman"/>
                <w:i/>
                <w:sz w:val="20"/>
              </w:rPr>
              <w:t>Iné p</w:t>
            </w: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oplatky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7437C4A3" w14:textId="0C398B24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1A7F8C71" w14:textId="68FE00AC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63250" w:rsidRPr="00895898" w14:paraId="5890A2A1" w14:textId="77777777" w:rsidTr="001E4BDF">
        <w:tc>
          <w:tcPr>
            <w:tcW w:w="3681" w:type="dxa"/>
          </w:tcPr>
          <w:p w14:paraId="470A575F" w14:textId="77777777" w:rsidR="00363250" w:rsidRPr="00895898" w:rsidRDefault="00363250" w:rsidP="00363250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C. Nepriame finančné náklady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72C6ABCE" w14:textId="2B0A0DE9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4AB9E4F0" w14:textId="78DE7472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63250" w:rsidRPr="00895898" w14:paraId="1915EE9C" w14:textId="77777777" w:rsidTr="001E4BDF">
        <w:tc>
          <w:tcPr>
            <w:tcW w:w="3681" w:type="dxa"/>
          </w:tcPr>
          <w:p w14:paraId="3FBBD35B" w14:textId="77777777" w:rsidR="00363250" w:rsidRPr="00895898" w:rsidRDefault="00363250" w:rsidP="00363250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D. Administratívne náklady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23A80DDF" w14:textId="17979584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0128E641" w14:textId="61876143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63250" w:rsidRPr="00895898" w14:paraId="784F8A51" w14:textId="77777777" w:rsidTr="001E4BDF">
        <w:tc>
          <w:tcPr>
            <w:tcW w:w="3681" w:type="dxa"/>
          </w:tcPr>
          <w:p w14:paraId="796F837A" w14:textId="77777777" w:rsidR="00363250" w:rsidRPr="00895898" w:rsidRDefault="00363250" w:rsidP="00363250">
            <w:pPr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>Spolu = A+B+C+D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4613DC7D" w14:textId="70E378F7" w:rsidR="00363250" w:rsidRPr="00895898" w:rsidRDefault="00426F08" w:rsidP="003632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426F08">
              <w:rPr>
                <w:b/>
                <w:bCs/>
                <w:color w:val="000000"/>
                <w:sz w:val="20"/>
                <w:szCs w:val="20"/>
              </w:rPr>
              <w:t>57 608 000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02FE7EB5" w14:textId="5823235C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63250" w:rsidRPr="00895898" w14:paraId="4440B6DF" w14:textId="77777777" w:rsidTr="001E4BDF">
        <w:tc>
          <w:tcPr>
            <w:tcW w:w="3681" w:type="dxa"/>
          </w:tcPr>
          <w:p w14:paraId="1E7A37D9" w14:textId="05E931F4" w:rsidR="00363250" w:rsidRPr="00895898" w:rsidRDefault="00363250" w:rsidP="00363250">
            <w:pPr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 xml:space="preserve"> z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</w:rPr>
              <w:t> </w:t>
            </w: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>toho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51BD31F5" w14:textId="2B2119F8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623271B2" w14:textId="5870E656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3250" w:rsidRPr="00895898" w14:paraId="5592CF42" w14:textId="77777777" w:rsidTr="001E4BDF">
        <w:tc>
          <w:tcPr>
            <w:tcW w:w="3681" w:type="dxa"/>
          </w:tcPr>
          <w:p w14:paraId="01B4507F" w14:textId="77777777" w:rsidR="00363250" w:rsidRPr="00895898" w:rsidRDefault="00363250" w:rsidP="00363250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 xml:space="preserve">E. Vplyv na </w:t>
            </w:r>
            <w:proofErr w:type="spellStart"/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mikro</w:t>
            </w:r>
            <w:proofErr w:type="spellEnd"/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, malé a stredné podniky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7D80D68C" w14:textId="2C3D3B88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52B3C4D4" w14:textId="5922D4DA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63250" w:rsidRPr="00895898" w14:paraId="22C30EA7" w14:textId="77777777" w:rsidTr="001E4BDF">
        <w:tc>
          <w:tcPr>
            <w:tcW w:w="3681" w:type="dxa"/>
          </w:tcPr>
          <w:p w14:paraId="7C25F36F" w14:textId="77777777" w:rsidR="00363250" w:rsidRPr="00895898" w:rsidRDefault="00363250" w:rsidP="00363250">
            <w:pPr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i/>
                <w:sz w:val="20"/>
              </w:rPr>
              <w:t>F. Úplná harmonizácia práva EÚ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56F8EF12" w14:textId="1E344D49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26F86839" w14:textId="3D09E71E" w:rsidR="00363250" w:rsidRPr="00895898" w:rsidRDefault="00363250" w:rsidP="0036325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54C41" w:rsidRPr="00895898" w14:paraId="51AAD86C" w14:textId="77777777" w:rsidTr="00142154">
        <w:tc>
          <w:tcPr>
            <w:tcW w:w="9067" w:type="dxa"/>
            <w:gridSpan w:val="3"/>
            <w:shd w:val="clear" w:color="auto" w:fill="auto"/>
          </w:tcPr>
          <w:p w14:paraId="3015DC22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</w:p>
        </w:tc>
      </w:tr>
      <w:tr w:rsidR="00054C41" w:rsidRPr="00895898" w14:paraId="0478A44B" w14:textId="77777777" w:rsidTr="00142154">
        <w:tc>
          <w:tcPr>
            <w:tcW w:w="3681" w:type="dxa"/>
          </w:tcPr>
          <w:p w14:paraId="223D796F" w14:textId="5E2E0367" w:rsidR="00054C41" w:rsidRPr="00895898" w:rsidRDefault="00054C41" w:rsidP="00142154">
            <w:pPr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VÝPOČET mechanizmu znižovania byrokracie a</w:t>
            </w:r>
            <w:r w:rsidR="00E030DA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 </w:t>
            </w: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nákladov</w:t>
            </w:r>
          </w:p>
        </w:tc>
        <w:tc>
          <w:tcPr>
            <w:tcW w:w="2693" w:type="dxa"/>
            <w:shd w:val="clear" w:color="auto" w:fill="FFC000"/>
          </w:tcPr>
          <w:p w14:paraId="2B6854C4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IN</w:t>
            </w:r>
          </w:p>
        </w:tc>
        <w:tc>
          <w:tcPr>
            <w:tcW w:w="2693" w:type="dxa"/>
            <w:shd w:val="clear" w:color="auto" w:fill="92D050"/>
          </w:tcPr>
          <w:p w14:paraId="5C88BAF1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OUT</w:t>
            </w:r>
          </w:p>
        </w:tc>
      </w:tr>
      <w:tr w:rsidR="00054C41" w:rsidRPr="00895898" w14:paraId="5011BAE2" w14:textId="77777777" w:rsidTr="00142154">
        <w:tc>
          <w:tcPr>
            <w:tcW w:w="3681" w:type="dxa"/>
          </w:tcPr>
          <w:p w14:paraId="23438493" w14:textId="77777777" w:rsidR="00054C41" w:rsidRPr="00895898" w:rsidRDefault="00054C41" w:rsidP="00142154">
            <w:pPr>
              <w:rPr>
                <w:rFonts w:ascii="Times New Roman" w:eastAsia="Calibri" w:hAnsi="Times New Roman" w:cs="Times New Roman"/>
                <w:b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i/>
                <w:sz w:val="20"/>
              </w:rPr>
              <w:t>G. Náklady okrem výnimiek = B+C+D-F</w:t>
            </w:r>
          </w:p>
        </w:tc>
        <w:tc>
          <w:tcPr>
            <w:tcW w:w="2693" w:type="dxa"/>
            <w:shd w:val="clear" w:color="auto" w:fill="FFC000"/>
          </w:tcPr>
          <w:p w14:paraId="7041BF23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0</w:t>
            </w:r>
          </w:p>
        </w:tc>
        <w:tc>
          <w:tcPr>
            <w:tcW w:w="2693" w:type="dxa"/>
            <w:shd w:val="clear" w:color="auto" w:fill="92D050"/>
          </w:tcPr>
          <w:p w14:paraId="254E8359" w14:textId="77777777" w:rsidR="00054C41" w:rsidRPr="00895898" w:rsidRDefault="00054C41" w:rsidP="00142154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</w:pPr>
            <w:r w:rsidRPr="00895898">
              <w:rPr>
                <w:rFonts w:ascii="Times New Roman" w:eastAsia="Calibri" w:hAnsi="Times New Roman" w:cs="Times New Roman"/>
                <w:b/>
                <w:bCs/>
                <w:i/>
                <w:sz w:val="20"/>
              </w:rPr>
              <w:t>0</w:t>
            </w:r>
          </w:p>
        </w:tc>
      </w:tr>
    </w:tbl>
    <w:p w14:paraId="533B49DD" w14:textId="77777777" w:rsidR="00054C41" w:rsidRPr="00895898" w:rsidRDefault="00054C41" w:rsidP="00054C41">
      <w:pPr>
        <w:spacing w:after="0"/>
        <w:rPr>
          <w:rFonts w:ascii="Times New Roman" w:eastAsia="Calibri" w:hAnsi="Times New Roman" w:cs="Times New Roman"/>
          <w:i/>
        </w:rPr>
      </w:pPr>
    </w:p>
    <w:p w14:paraId="248D945B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6811E34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  <w:sectPr w:rsidR="00054C41" w:rsidRPr="00895898" w:rsidSect="006037B6">
          <w:headerReference w:type="default" r:id="rId18"/>
          <w:footerReference w:type="default" r:id="rId19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270A51C" w14:textId="77777777" w:rsidR="00054C41" w:rsidRPr="001F1B43" w:rsidRDefault="00054C41" w:rsidP="00054C4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367ACC15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4861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17"/>
        <w:gridCol w:w="884"/>
        <w:gridCol w:w="1134"/>
        <w:gridCol w:w="1134"/>
        <w:gridCol w:w="992"/>
        <w:gridCol w:w="1418"/>
        <w:gridCol w:w="992"/>
        <w:gridCol w:w="992"/>
        <w:gridCol w:w="1276"/>
        <w:gridCol w:w="1134"/>
        <w:gridCol w:w="992"/>
      </w:tblGrid>
      <w:tr w:rsidR="00054C41" w:rsidRPr="00895898" w14:paraId="10CEFB11" w14:textId="77777777" w:rsidTr="00363250">
        <w:trPr>
          <w:trHeight w:val="1885"/>
        </w:trPr>
        <w:tc>
          <w:tcPr>
            <w:tcW w:w="496" w:type="dxa"/>
            <w:shd w:val="clear" w:color="auto" w:fill="BFBFBF"/>
            <w:vAlign w:val="center"/>
          </w:tcPr>
          <w:p w14:paraId="1FF42237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417" w:type="dxa"/>
            <w:shd w:val="clear" w:color="auto" w:fill="BFBFBF"/>
            <w:vAlign w:val="center"/>
            <w:hideMark/>
          </w:tcPr>
          <w:p w14:paraId="73D167A0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Zrozumiteľný a stručný opis regulácie vyjadrujúci dôvod zvýšenia/zníženia nákladov na PP</w:t>
            </w:r>
          </w:p>
        </w:tc>
        <w:tc>
          <w:tcPr>
            <w:tcW w:w="884" w:type="dxa"/>
            <w:shd w:val="clear" w:color="auto" w:fill="BFBFBF"/>
          </w:tcPr>
          <w:p w14:paraId="4381688D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5694B3C6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normy</w:t>
            </w:r>
          </w:p>
          <w:p w14:paraId="21C1A8DE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(zákona, vyhlášky a pod.)</w:t>
            </w:r>
          </w:p>
        </w:tc>
        <w:tc>
          <w:tcPr>
            <w:tcW w:w="1134" w:type="dxa"/>
            <w:shd w:val="clear" w:color="auto" w:fill="BFBFBF"/>
            <w:vAlign w:val="center"/>
            <w:hideMark/>
          </w:tcPr>
          <w:p w14:paraId="1D7822BE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Lokalizácia </w:t>
            </w: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(§, ods.)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4D9A18D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Pôvod regulácie:</w:t>
            </w:r>
          </w:p>
          <w:p w14:paraId="4C175F7C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SK/EÚ úplná 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./EÚ 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 s možnosťou voľby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37B6F9E7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Účinnosť</w:t>
            </w:r>
          </w:p>
          <w:p w14:paraId="019DF54E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regulácie</w:t>
            </w:r>
          </w:p>
          <w:p w14:paraId="23D85168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14:paraId="3CB7D2BB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Kategória 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731C2E01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 subjektov v 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kategórii 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1B1DCB42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subjektov MSP v 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kategórii </w:t>
            </w:r>
          </w:p>
        </w:tc>
        <w:tc>
          <w:tcPr>
            <w:tcW w:w="1276" w:type="dxa"/>
            <w:shd w:val="clear" w:color="auto" w:fill="BFBFBF"/>
            <w:vAlign w:val="center"/>
            <w:hideMark/>
          </w:tcPr>
          <w:p w14:paraId="610B7638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1 podnik. v €</w:t>
            </w:r>
          </w:p>
        </w:tc>
        <w:tc>
          <w:tcPr>
            <w:tcW w:w="1134" w:type="dxa"/>
            <w:shd w:val="clear" w:color="auto" w:fill="BFBFBF"/>
            <w:vAlign w:val="center"/>
            <w:hideMark/>
          </w:tcPr>
          <w:p w14:paraId="0FC33AFB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kategóriu </w:t>
            </w:r>
            <w:proofErr w:type="spellStart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 v €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4FBA7398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vplyvu</w:t>
            </w:r>
          </w:p>
          <w:p w14:paraId="3EF161D7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In (zvyšuje náklady) / </w:t>
            </w:r>
          </w:p>
          <w:p w14:paraId="4D4343DB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(znižuje náklady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14:paraId="288EFEBA" w14:textId="77777777" w:rsidR="00054C41" w:rsidRPr="00895898" w:rsidRDefault="00054C41" w:rsidP="0014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363250" w:rsidRPr="00895898" w14:paraId="11758B9A" w14:textId="77777777" w:rsidTr="00363250">
        <w:trPr>
          <w:trHeight w:val="612"/>
        </w:trPr>
        <w:tc>
          <w:tcPr>
            <w:tcW w:w="496" w:type="dxa"/>
            <w:vAlign w:val="center"/>
          </w:tcPr>
          <w:p w14:paraId="6F827851" w14:textId="1933B774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7B4E9DA7" w14:textId="40C18527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Zavedenie novej dane z výhody získanej v dôsledku osobitnej situácie na trhu s ropou a o zmene a doplnení niektorých zákonov</w:t>
            </w:r>
          </w:p>
        </w:tc>
        <w:tc>
          <w:tcPr>
            <w:tcW w:w="884" w:type="dxa"/>
            <w:vAlign w:val="center"/>
          </w:tcPr>
          <w:p w14:paraId="120314F8" w14:textId="504D29F1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zákon XX/2022 Z. z.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826F8" w14:textId="3CB05D04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§ 5 a § 8</w:t>
            </w:r>
          </w:p>
        </w:tc>
        <w:tc>
          <w:tcPr>
            <w:tcW w:w="1134" w:type="dxa"/>
            <w:vAlign w:val="center"/>
          </w:tcPr>
          <w:p w14:paraId="3A0BA666" w14:textId="2DD567E9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SK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FB7AA2" w14:textId="708D0EDE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01.06.22</w:t>
            </w:r>
          </w:p>
        </w:tc>
        <w:tc>
          <w:tcPr>
            <w:tcW w:w="1418" w:type="dxa"/>
            <w:vAlign w:val="center"/>
          </w:tcPr>
          <w:p w14:paraId="299C820D" w14:textId="4DF925A1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výrobcovia výrobkov z ropy a chemický spracovávatelia ropy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360775" w14:textId="3B172A38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C9126E" w14:textId="6DC421A8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276" w:type="dxa"/>
            <w:shd w:val="clear" w:color="auto" w:fill="auto"/>
            <w:noWrap/>
          </w:tcPr>
          <w:p w14:paraId="57D4FAC6" w14:textId="6F6C8DD1" w:rsidR="00363250" w:rsidRPr="00895898" w:rsidRDefault="00426F08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26F08">
              <w:t>57 608 000</w:t>
            </w:r>
          </w:p>
        </w:tc>
        <w:tc>
          <w:tcPr>
            <w:tcW w:w="1134" w:type="dxa"/>
            <w:shd w:val="clear" w:color="auto" w:fill="auto"/>
            <w:noWrap/>
          </w:tcPr>
          <w:p w14:paraId="20A55E97" w14:textId="6D64274C" w:rsidR="00363250" w:rsidRPr="00895898" w:rsidRDefault="00426F08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26F08">
              <w:t>57 608 000</w:t>
            </w:r>
          </w:p>
        </w:tc>
        <w:tc>
          <w:tcPr>
            <w:tcW w:w="992" w:type="dxa"/>
            <w:vAlign w:val="center"/>
          </w:tcPr>
          <w:p w14:paraId="032A8679" w14:textId="5CEECD77" w:rsidR="00363250" w:rsidRPr="00895898" w:rsidRDefault="00363250" w:rsidP="0036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In (zvyšuje náklady)</w:t>
            </w:r>
          </w:p>
        </w:tc>
      </w:tr>
    </w:tbl>
    <w:p w14:paraId="6E2FC1D4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i/>
        </w:rPr>
      </w:pPr>
    </w:p>
    <w:p w14:paraId="392BDE53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054C41" w:rsidRPr="00895898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2FCD6D0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Doplňujúce informácie k spôsobu výpočtu vplyvov jednotlivých regulácií na zmenu nákladov </w:t>
      </w:r>
    </w:p>
    <w:p w14:paraId="5706920A" w14:textId="77777777" w:rsidR="00B12677" w:rsidRDefault="00B12677" w:rsidP="00335327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 w:rsidRPr="00B1267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Návrhom zákona dochádza k zavedeniu dane z výhody získanej v dôsledku osobitnej situácie na trhu s ropou. Zdaňovacím obdobím bude kalendárny mesiac. Daňovníkom je držiteľ živnostenského oprávnenia, na základe ktorého je oprávnený vyrábať výrobky z ropy a chemicky ropu spracovávať. Daň sa bude počítať ako súčin množstva ropy s pôvodom v Ruskej federácii v bareloch obstaranej daňovníkom v príslušnom zdaňovacom období a rozdielu medzi referenčnou cenou a priemernou ceno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u obstarania zníženého o  5 USD</w:t>
      </w:r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79E082B" w14:textId="77777777" w:rsidR="00B12677" w:rsidRDefault="00B12677" w:rsidP="00335327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14:paraId="563EE2A6" w14:textId="5A0AF2A4" w:rsidR="00335327" w:rsidRDefault="00B12677" w:rsidP="00335327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Návrh zdaňuje ekonomickú výhodu</w:t>
      </w:r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>, kto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rá spočíva v nižšej cene za obstaranie ropy s pôvodom v Ruskej federácii, </w:t>
      </w:r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ako je </w:t>
      </w:r>
      <w:r w:rsidR="00461B66" w:rsidRPr="005D2ADA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referenčn</w:t>
      </w:r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>á</w:t>
      </w:r>
      <w:r w:rsidR="00461B66" w:rsidRPr="005D2ADA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cen</w:t>
      </w:r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>a</w:t>
      </w:r>
      <w:r w:rsidR="00461B66" w:rsidRPr="005D2ADA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ropy </w:t>
      </w:r>
      <w:proofErr w:type="spellStart"/>
      <w:r w:rsidR="00461B66" w:rsidRPr="005D2ADA">
        <w:rPr>
          <w:rStyle w:val="awspan"/>
          <w:rFonts w:ascii="Times New Roman" w:hAnsi="Times New Roman" w:cs="Times New Roman"/>
          <w:color w:val="000000"/>
          <w:sz w:val="24"/>
          <w:szCs w:val="24"/>
        </w:rPr>
        <w:t>Brent</w:t>
      </w:r>
      <w:proofErr w:type="spellEnd"/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. Nová daň sa navrhuje v záujme vyrovnania vstupných cien ropy a vzhľadom na vysokú mieru závislosti od </w:t>
      </w:r>
      <w:r w:rsidR="00461B66" w:rsidRPr="002D209E">
        <w:rPr>
          <w:rStyle w:val="awspan"/>
          <w:rFonts w:ascii="Times New Roman" w:hAnsi="Times New Roman" w:cs="Times New Roman"/>
          <w:color w:val="000000"/>
          <w:sz w:val="24"/>
          <w:szCs w:val="24"/>
        </w:rPr>
        <w:t>dovoz</w:t>
      </w:r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>u</w:t>
      </w:r>
      <w:r w:rsidR="00461B66" w:rsidRPr="002D209E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ropy z Ruskej federácie</w:t>
      </w:r>
      <w:r w:rsidR="00461B66" w:rsidRPr="002D209E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>a jej</w:t>
      </w:r>
      <w:r w:rsidR="00461B66" w:rsidRPr="002D209E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relatívne nízkej cen</w:t>
      </w:r>
      <w:r w:rsidR="00461B66">
        <w:rPr>
          <w:rStyle w:val="awspan"/>
          <w:rFonts w:ascii="Times New Roman" w:hAnsi="Times New Roman" w:cs="Times New Roman"/>
          <w:color w:val="000000"/>
          <w:sz w:val="24"/>
          <w:szCs w:val="24"/>
        </w:rPr>
        <w:t>e voči trhovým cenám v EÚ</w:t>
      </w:r>
      <w:r w:rsidR="00461B66" w:rsidRPr="002D209E">
        <w:rPr>
          <w:rStyle w:val="awspan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29E7F5" w14:textId="77777777" w:rsidR="00461B66" w:rsidRDefault="00461B66" w:rsidP="00335327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14:paraId="05B498B2" w14:textId="1C410509" w:rsidR="00461B66" w:rsidRDefault="00461B66" w:rsidP="00335327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Nová daň </w:t>
      </w:r>
      <w:r w:rsidRPr="00A04F6A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má 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zároveň </w:t>
      </w:r>
      <w:r w:rsidRPr="00A04F6A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za cieľ zabezpečiť konsolidáciu verejných financií, preklenutie </w:t>
      </w:r>
      <w:proofErr w:type="spellStart"/>
      <w:r w:rsidRPr="00A04F6A">
        <w:rPr>
          <w:rStyle w:val="awspan"/>
          <w:rFonts w:ascii="Times New Roman" w:hAnsi="Times New Roman" w:cs="Times New Roman"/>
          <w:color w:val="000000"/>
          <w:sz w:val="24"/>
          <w:szCs w:val="24"/>
        </w:rPr>
        <w:t>koronakrízy</w:t>
      </w:r>
      <w:proofErr w:type="spellEnd"/>
      <w:r w:rsidRPr="00A04F6A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 zabezpečiť zdroje na zvýšené verejné výdavky v súvislosti s rastúcimi spotrebiteľskými cenami tovarov a služieb.</w:t>
      </w:r>
    </w:p>
    <w:p w14:paraId="6753E6DE" w14:textId="77777777" w:rsidR="00461B66" w:rsidRDefault="00461B66" w:rsidP="00335327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14:paraId="39025012" w14:textId="6D29FC55" w:rsidR="00B12677" w:rsidRPr="00B12677" w:rsidRDefault="00461B66" w:rsidP="00B12677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F643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Úhrada dane z </w:t>
      </w:r>
      <w:r w:rsidR="009F6436" w:rsidRPr="009F643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výhody získanej v dôsledku osobitnej situácie na trhu s ropou </w:t>
      </w:r>
      <w:r w:rsidRPr="009F6436">
        <w:rPr>
          <w:rFonts w:ascii="Times New Roman" w:hAnsi="Times New Roman" w:cs="Times New Roman"/>
          <w:iCs/>
          <w:color w:val="000000"/>
          <w:sz w:val="24"/>
          <w:szCs w:val="24"/>
        </w:rPr>
        <w:t>je priamym finančným nákladom daňovníka, pričom platí, že uhradená daň je daňovým výdavkom pre daň z príjmov. Z uvedeného dôvodu dochádza k zvýšeniu priamych finančných nákladov daňovníka (zníženiu priamych finančných nákladov pri dani z príjmov). Návrh si nevyž</w:t>
      </w:r>
      <w:r w:rsidR="00B12677">
        <w:rPr>
          <w:rFonts w:ascii="Times New Roman" w:hAnsi="Times New Roman" w:cs="Times New Roman"/>
          <w:iCs/>
          <w:color w:val="000000"/>
          <w:sz w:val="24"/>
          <w:szCs w:val="24"/>
        </w:rPr>
        <w:t>aduje nepriame finančné náklady. Negatívne v</w:t>
      </w:r>
      <w:r w:rsidRPr="009F643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plyvy na podnikateľské prostredie </w:t>
      </w:r>
      <w:r w:rsidR="00B12677">
        <w:rPr>
          <w:rFonts w:ascii="Times New Roman" w:hAnsi="Times New Roman" w:cs="Times New Roman"/>
          <w:iCs/>
          <w:color w:val="000000"/>
          <w:sz w:val="24"/>
          <w:szCs w:val="24"/>
        </w:rPr>
        <w:t>zodpovedajú výške  vplyvov</w:t>
      </w:r>
      <w:r w:rsidRPr="009F643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na rozpočet verejných financií, kde sú podrobnejšie uvedené východiská, najmä k predpokladan</w:t>
      </w:r>
      <w:r w:rsidR="00B12677">
        <w:rPr>
          <w:rFonts w:ascii="Times New Roman" w:hAnsi="Times New Roman" w:cs="Times New Roman"/>
          <w:iCs/>
          <w:color w:val="000000"/>
          <w:sz w:val="24"/>
          <w:szCs w:val="24"/>
        </w:rPr>
        <w:t>ej</w:t>
      </w:r>
      <w:r w:rsidRPr="009F643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cen</w:t>
      </w:r>
      <w:r w:rsidR="00B12677">
        <w:rPr>
          <w:rFonts w:ascii="Times New Roman" w:hAnsi="Times New Roman" w:cs="Times New Roman"/>
          <w:iCs/>
          <w:color w:val="000000"/>
          <w:sz w:val="24"/>
          <w:szCs w:val="24"/>
        </w:rPr>
        <w:t>e</w:t>
      </w:r>
      <w:r w:rsidRPr="009F643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F6436" w:rsidRPr="009F6436">
        <w:rPr>
          <w:rFonts w:ascii="Times New Roman" w:hAnsi="Times New Roman" w:cs="Times New Roman"/>
          <w:iCs/>
          <w:color w:val="000000"/>
          <w:sz w:val="24"/>
          <w:szCs w:val="24"/>
        </w:rPr>
        <w:t>ropy</w:t>
      </w:r>
      <w:r w:rsidRPr="009F643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42CD176F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3.2 Vyhodnotenie konzultácií s podnikateľskými subjektmi pred predbežným pripomienkovým konaním</w:t>
      </w:r>
    </w:p>
    <w:p w14:paraId="7E0BF3F5" w14:textId="30C2AF3A" w:rsidR="00054C41" w:rsidRPr="00B12677" w:rsidRDefault="00865A5C" w:rsidP="00B1267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59A">
        <w:rPr>
          <w:rFonts w:ascii="Times New Roman" w:hAnsi="Times New Roman" w:cs="Times New Roman"/>
          <w:color w:val="000000"/>
          <w:sz w:val="24"/>
          <w:szCs w:val="24"/>
        </w:rPr>
        <w:t>Konzultácie vzhľadom na naliehavosť prijatia zákona v skrátenom legislatívnom konaní neboli vykonané.</w:t>
      </w:r>
    </w:p>
    <w:p w14:paraId="7C7DB60C" w14:textId="7290DE8A" w:rsidR="00054C41" w:rsidRPr="00B12677" w:rsidRDefault="00054C41" w:rsidP="00B1267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  <w:bookmarkEnd w:id="1"/>
    </w:p>
    <w:p w14:paraId="7DBDE90F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14:paraId="77E96448" w14:textId="77777777" w:rsidR="00865A5C" w:rsidRPr="00D8247C" w:rsidRDefault="00865A5C" w:rsidP="00865A5C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14:paraId="4FB91691" w14:textId="77777777" w:rsidR="00865A5C" w:rsidRPr="00D8247C" w:rsidRDefault="00917F40" w:rsidP="00865A5C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EndPr/>
            <w:sdtContent>
              <w:r w:rsidR="00865A5C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EndPr/>
        <w:sdtContent>
          <w:sdt>
            <w:sdt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id w:val="99461102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65A5C" w:rsidRPr="00351C17">
                <w:rPr>
                  <w:rFonts w:ascii="MS Gothic" w:eastAsia="MS Gothic" w:hAnsi="MS Gothic" w:cs="Times New Roman" w:hint="eastAsia"/>
                  <w:i/>
                  <w:sz w:val="20"/>
                  <w:szCs w:val="20"/>
                  <w:lang w:eastAsia="sk-SK"/>
                </w:rPr>
                <w:t>☒</w:t>
              </w:r>
            </w:sdtContent>
          </w:sdt>
        </w:sdtContent>
      </w:sdt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>nemení</w:t>
      </w:r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EndPr/>
            <w:sdtContent>
              <w:r w:rsidR="00865A5C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6B265631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C584EC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14:paraId="5F855A56" w14:textId="77777777" w:rsidR="00865A5C" w:rsidRPr="00D8247C" w:rsidRDefault="00865A5C" w:rsidP="00865A5C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Aký má materiál vplyv na zmenu pomeru medzi produkciou podnikov a ich nákladmi? </w:t>
      </w:r>
    </w:p>
    <w:p w14:paraId="19E78171" w14:textId="77777777" w:rsidR="00865A5C" w:rsidRPr="00D8247C" w:rsidRDefault="00865A5C" w:rsidP="00865A5C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15D8A9D" w14:textId="77777777" w:rsidR="00865A5C" w:rsidRPr="00D8247C" w:rsidRDefault="00865A5C" w:rsidP="00865A5C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14:paraId="5C9B9C93" w14:textId="77777777" w:rsidR="00865A5C" w:rsidRPr="00D8247C" w:rsidRDefault="00917F40" w:rsidP="00865A5C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EndPr/>
            <w:sdtContent>
              <w:r w:rsidR="00865A5C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EndPr/>
        <w:sdtContent>
          <w:sdt>
            <w:sdt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id w:val="-160202333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65A5C" w:rsidRPr="00351C17">
                <w:rPr>
                  <w:rFonts w:ascii="MS Gothic" w:eastAsia="MS Gothic" w:hAnsi="MS Gothic" w:cs="Times New Roman" w:hint="eastAsia"/>
                  <w:i/>
                  <w:sz w:val="20"/>
                  <w:szCs w:val="20"/>
                  <w:lang w:eastAsia="sk-SK"/>
                </w:rPr>
                <w:t>☒</w:t>
              </w:r>
            </w:sdtContent>
          </w:sdt>
        </w:sdtContent>
      </w:sdt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>nemení</w:t>
      </w:r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EndPr/>
            <w:sdtContent>
              <w:r w:rsidR="00865A5C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865A5C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72C8CE5E" w14:textId="4ECB3438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CA1DE6B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p w14:paraId="567581BF" w14:textId="036494C6" w:rsidR="00054C41" w:rsidRDefault="00B12677" w:rsidP="00054C41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Nie sú.</w:t>
      </w:r>
    </w:p>
    <w:p w14:paraId="44AC1701" w14:textId="732CFD40" w:rsidR="007905F8" w:rsidRDefault="007905F8" w:rsidP="00054C41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14:paraId="1FFC6911" w14:textId="77777777" w:rsidR="006037B6" w:rsidRDefault="006037B6" w:rsidP="00054C41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14:paraId="756A6D7B" w14:textId="77777777" w:rsidR="007905F8" w:rsidRPr="006A2A6B" w:rsidRDefault="007905F8" w:rsidP="007905F8">
      <w:pPr>
        <w:pStyle w:val="Normlnywebov"/>
        <w:autoSpaceDE w:val="0"/>
        <w:autoSpaceDN w:val="0"/>
        <w:jc w:val="center"/>
        <w:rPr>
          <w:b/>
          <w:bCs/>
        </w:rPr>
      </w:pPr>
      <w:r w:rsidRPr="006A2A6B">
        <w:rPr>
          <w:b/>
          <w:bCs/>
        </w:rPr>
        <w:lastRenderedPageBreak/>
        <w:t>DOLOŽKA ZLUČITEĽNOSTI</w:t>
      </w:r>
    </w:p>
    <w:p w14:paraId="0EF70CE9" w14:textId="77777777" w:rsidR="007905F8" w:rsidRDefault="007905F8" w:rsidP="007905F8">
      <w:pPr>
        <w:pBdr>
          <w:bottom w:val="single" w:sz="12" w:space="1" w:color="auto"/>
        </w:pBd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6A2A6B">
        <w:rPr>
          <w:rFonts w:ascii="Times New Roman" w:hAnsi="Times New Roman"/>
          <w:b/>
          <w:bCs/>
          <w:sz w:val="24"/>
          <w:szCs w:val="24"/>
        </w:rPr>
        <w:t>k n</w:t>
      </w:r>
      <w:r w:rsidRPr="006A2A6B">
        <w:rPr>
          <w:rFonts w:ascii="Times New Roman" w:hAnsi="Times New Roman"/>
          <w:b/>
          <w:sz w:val="24"/>
          <w:szCs w:val="24"/>
        </w:rPr>
        <w:t>ávrhu zákona</w:t>
      </w:r>
      <w:r w:rsidRPr="006A2A6B">
        <w:rPr>
          <w:rFonts w:ascii="Times New Roman" w:hAnsi="Times New Roman"/>
          <w:sz w:val="24"/>
          <w:szCs w:val="24"/>
        </w:rPr>
        <w:t xml:space="preserve"> </w:t>
      </w:r>
      <w:r w:rsidRPr="00170EB3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</w:t>
      </w:r>
      <w:r w:rsidRPr="008D2DBA">
        <w:rPr>
          <w:rFonts w:ascii="Times New Roman" w:hAnsi="Times New Roman"/>
          <w:b/>
          <w:sz w:val="24"/>
          <w:szCs w:val="24"/>
        </w:rPr>
        <w:t>dani z výhody získanej v dôsledku osobitnej situácie na trhu s ropou a o zmene a doplnení niektorých zákonov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2A6B">
        <w:rPr>
          <w:rFonts w:ascii="Times New Roman" w:hAnsi="Times New Roman"/>
          <w:b/>
          <w:sz w:val="24"/>
          <w:szCs w:val="24"/>
        </w:rPr>
        <w:t>s právom Európskej únie</w:t>
      </w:r>
    </w:p>
    <w:p w14:paraId="36B6F89F" w14:textId="77777777" w:rsidR="007905F8" w:rsidRPr="006A2A6B" w:rsidRDefault="007905F8" w:rsidP="007905F8">
      <w:pPr>
        <w:pBdr>
          <w:bottom w:val="single" w:sz="12" w:space="1" w:color="auto"/>
        </w:pBd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246CCB86" w14:textId="77777777" w:rsidR="007905F8" w:rsidRPr="003678FA" w:rsidRDefault="007905F8" w:rsidP="007905F8">
      <w:pPr>
        <w:widowControl w:val="0"/>
        <w:numPr>
          <w:ilvl w:val="0"/>
          <w:numId w:val="13"/>
        </w:numPr>
        <w:autoSpaceDE w:val="0"/>
        <w:autoSpaceDN w:val="0"/>
        <w:spacing w:after="24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3678FA">
        <w:rPr>
          <w:rFonts w:ascii="Times New Roman" w:hAnsi="Times New Roman"/>
          <w:b/>
          <w:bCs/>
          <w:sz w:val="24"/>
          <w:szCs w:val="24"/>
          <w:lang w:eastAsia="sk-SK"/>
        </w:rPr>
        <w:t>Navrhovateľ zákona:</w:t>
      </w:r>
    </w:p>
    <w:p w14:paraId="7CC88C66" w14:textId="77777777" w:rsidR="007905F8" w:rsidRPr="006A2A6B" w:rsidRDefault="007905F8" w:rsidP="007905F8">
      <w:pPr>
        <w:widowControl w:val="0"/>
        <w:autoSpaceDE w:val="0"/>
        <w:autoSpaceDN w:val="0"/>
        <w:spacing w:before="240" w:after="12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6A2A6B">
        <w:rPr>
          <w:rFonts w:ascii="Times New Roman" w:hAnsi="Times New Roman"/>
          <w:sz w:val="24"/>
          <w:szCs w:val="24"/>
          <w:lang w:eastAsia="sk-SK"/>
        </w:rPr>
        <w:t>Vláda Slovenskej republiky.</w:t>
      </w:r>
    </w:p>
    <w:p w14:paraId="34BF1227" w14:textId="77777777" w:rsidR="007905F8" w:rsidRPr="006A2A6B" w:rsidRDefault="007905F8" w:rsidP="007905F8">
      <w:pPr>
        <w:widowControl w:val="0"/>
        <w:autoSpaceDE w:val="0"/>
        <w:autoSpaceDN w:val="0"/>
        <w:spacing w:before="120" w:after="120" w:line="240" w:lineRule="auto"/>
        <w:ind w:firstLine="357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sk-SK"/>
        </w:rPr>
      </w:pPr>
    </w:p>
    <w:p w14:paraId="212827A1" w14:textId="77777777" w:rsidR="007905F8" w:rsidRPr="006A2A6B" w:rsidRDefault="007905F8" w:rsidP="007905F8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A2A6B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Názov návrhu zákona: </w:t>
      </w:r>
    </w:p>
    <w:p w14:paraId="1C850D94" w14:textId="77777777" w:rsidR="007905F8" w:rsidRPr="006A2A6B" w:rsidRDefault="007905F8" w:rsidP="007905F8">
      <w:pPr>
        <w:pStyle w:val="Zkladntext0"/>
        <w:spacing w:after="0"/>
        <w:ind w:left="360"/>
        <w:jc w:val="both"/>
      </w:pPr>
      <w:r w:rsidRPr="006A2A6B">
        <w:t xml:space="preserve">Návrh zákona </w:t>
      </w:r>
      <w:r w:rsidRPr="008D2DBA">
        <w:t>o dani z výhody získanej v dôsledku osobitnej situácie na trhu s ropou a o zmene a doplnení niektorých zákonov</w:t>
      </w:r>
      <w:r w:rsidRPr="006A2A6B">
        <w:t xml:space="preserve">. </w:t>
      </w:r>
    </w:p>
    <w:p w14:paraId="3766A22F" w14:textId="77777777" w:rsidR="007905F8" w:rsidRPr="006A2A6B" w:rsidRDefault="007905F8" w:rsidP="007905F8">
      <w:pPr>
        <w:widowControl w:val="0"/>
        <w:autoSpaceDE w:val="0"/>
        <w:autoSpaceDN w:val="0"/>
        <w:spacing w:after="0" w:line="240" w:lineRule="auto"/>
        <w:ind w:left="357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768C07C" w14:textId="77777777" w:rsidR="007905F8" w:rsidRPr="006A2A6B" w:rsidRDefault="007905F8" w:rsidP="007905F8">
      <w:pPr>
        <w:pStyle w:val="Zkladntext"/>
        <w:numPr>
          <w:ilvl w:val="0"/>
          <w:numId w:val="13"/>
        </w:numPr>
        <w:jc w:val="both"/>
        <w:rPr>
          <w:b/>
          <w:bCs/>
          <w:color w:val="auto"/>
          <w:sz w:val="24"/>
          <w:szCs w:val="24"/>
        </w:rPr>
      </w:pPr>
      <w:r w:rsidRPr="006A2A6B">
        <w:rPr>
          <w:b/>
          <w:bCs/>
          <w:color w:val="auto"/>
          <w:sz w:val="24"/>
          <w:szCs w:val="24"/>
        </w:rPr>
        <w:t xml:space="preserve">Predmet návrhu zákona </w:t>
      </w:r>
      <w:r w:rsidRPr="006A2A6B">
        <w:rPr>
          <w:b/>
          <w:color w:val="auto"/>
          <w:sz w:val="24"/>
          <w:szCs w:val="24"/>
        </w:rPr>
        <w:t>je upravený v práve Európskej únie:</w:t>
      </w:r>
    </w:p>
    <w:p w14:paraId="08AD45F8" w14:textId="77777777" w:rsidR="007905F8" w:rsidRPr="0089589F" w:rsidRDefault="007905F8" w:rsidP="007905F8">
      <w:pPr>
        <w:pStyle w:val="Odsekzoznamu"/>
        <w:widowControl w:val="0"/>
        <w:tabs>
          <w:tab w:val="left" w:pos="360"/>
        </w:tabs>
        <w:spacing w:after="0" w:line="256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9589F">
        <w:rPr>
          <w:rFonts w:ascii="Times New Roman" w:hAnsi="Times New Roman"/>
          <w:color w:val="000000"/>
          <w:sz w:val="24"/>
          <w:szCs w:val="24"/>
        </w:rPr>
        <w:t>a) v primárnom práve: nie je</w:t>
      </w:r>
    </w:p>
    <w:p w14:paraId="7A61E460" w14:textId="77777777" w:rsidR="007905F8" w:rsidRPr="00513AE1" w:rsidRDefault="007905F8" w:rsidP="007905F8">
      <w:pPr>
        <w:pStyle w:val="Odsekzoznamu"/>
        <w:widowControl w:val="0"/>
        <w:tabs>
          <w:tab w:val="left" w:pos="360"/>
        </w:tabs>
        <w:spacing w:after="0" w:line="256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v sekundárnom práve: nie je</w:t>
      </w:r>
    </w:p>
    <w:p w14:paraId="18833A4D" w14:textId="77777777" w:rsidR="007905F8" w:rsidRPr="008D2DBA" w:rsidRDefault="007905F8" w:rsidP="007905F8">
      <w:pPr>
        <w:pStyle w:val="Odsekzoznamu"/>
        <w:widowControl w:val="0"/>
        <w:tabs>
          <w:tab w:val="left" w:pos="360"/>
        </w:tabs>
        <w:spacing w:line="256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89589F">
        <w:rPr>
          <w:rFonts w:ascii="Times New Roman" w:hAnsi="Times New Roman"/>
          <w:color w:val="000000"/>
          <w:sz w:val="24"/>
          <w:szCs w:val="24"/>
        </w:rPr>
        <w:t xml:space="preserve">c) v judikatúre Súdneho dvora Európskej únie: nie je </w:t>
      </w:r>
    </w:p>
    <w:p w14:paraId="7D606686" w14:textId="77777777" w:rsidR="007905F8" w:rsidRPr="006A2A6B" w:rsidRDefault="007905F8" w:rsidP="007905F8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2A6B">
        <w:rPr>
          <w:rFonts w:ascii="Times New Roman" w:hAnsi="Times New Roman"/>
          <w:b/>
          <w:bCs/>
          <w:sz w:val="24"/>
          <w:szCs w:val="24"/>
        </w:rPr>
        <w:t>Záväzky Slovenskej republiky vo vzťahu k Európskej únii:</w:t>
      </w:r>
    </w:p>
    <w:p w14:paraId="764A189D" w14:textId="77777777" w:rsidR="007905F8" w:rsidRDefault="007905F8" w:rsidP="007905F8">
      <w:pPr>
        <w:widowControl w:val="0"/>
        <w:tabs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89589F">
        <w:rPr>
          <w:rFonts w:ascii="Times New Roman" w:hAnsi="Times New Roman"/>
          <w:sz w:val="24"/>
          <w:szCs w:val="24"/>
        </w:rPr>
        <w:t>a) uviesť lehotu na prebranie príslušného právneho aktu Európskej únie, príp. aj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89F">
        <w:rPr>
          <w:rFonts w:ascii="Times New Roman" w:hAnsi="Times New Roman"/>
          <w:sz w:val="24"/>
          <w:szCs w:val="24"/>
        </w:rPr>
        <w:t xml:space="preserve">osobitnú lehotu účinnosti jeho ustanovení: </w:t>
      </w:r>
      <w:r>
        <w:rPr>
          <w:rFonts w:ascii="Times New Roman" w:hAnsi="Times New Roman"/>
          <w:sz w:val="24"/>
          <w:szCs w:val="24"/>
        </w:rPr>
        <w:t>nie je</w:t>
      </w:r>
    </w:p>
    <w:p w14:paraId="139F3BA5" w14:textId="77777777" w:rsidR="007905F8" w:rsidRPr="0089589F" w:rsidRDefault="007905F8" w:rsidP="007905F8">
      <w:pPr>
        <w:widowControl w:val="0"/>
        <w:tabs>
          <w:tab w:val="left" w:pos="36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89589F">
        <w:rPr>
          <w:rFonts w:ascii="Times New Roman" w:hAnsi="Times New Roman"/>
          <w:sz w:val="24"/>
          <w:szCs w:val="24"/>
        </w:rPr>
        <w:t>b) uviesť informáciu o začatí konania v rámci „EÚ Pilot“ alebo o začatí postupu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89F">
        <w:rPr>
          <w:rFonts w:ascii="Times New Roman" w:hAnsi="Times New Roman"/>
          <w:sz w:val="24"/>
          <w:szCs w:val="24"/>
        </w:rPr>
        <w:t>Európskej komisie, alebo o konaní Súdneho dvora Európskej únie proti Slovenskej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89F">
        <w:rPr>
          <w:rFonts w:ascii="Times New Roman" w:hAnsi="Times New Roman"/>
          <w:sz w:val="24"/>
          <w:szCs w:val="24"/>
        </w:rPr>
        <w:t>republike podľa čl. 258 a 260 Zmluvy o fungovaní Európskej únie v jej platnom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89F">
        <w:rPr>
          <w:rFonts w:ascii="Times New Roman" w:hAnsi="Times New Roman"/>
          <w:sz w:val="24"/>
          <w:szCs w:val="24"/>
        </w:rPr>
        <w:t>znení, spolu s uvedením konkrétnych vytýkaných nedostatkov a požiadaviek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589F">
        <w:rPr>
          <w:rFonts w:ascii="Times New Roman" w:hAnsi="Times New Roman"/>
          <w:sz w:val="24"/>
          <w:szCs w:val="24"/>
        </w:rPr>
        <w:t>zabezpečenie nápravy: predmetné konania neboli začaté</w:t>
      </w:r>
    </w:p>
    <w:p w14:paraId="5EBFDF1D" w14:textId="77777777" w:rsidR="007905F8" w:rsidRDefault="007905F8" w:rsidP="007905F8">
      <w:pPr>
        <w:widowControl w:val="0"/>
        <w:tabs>
          <w:tab w:val="left" w:pos="360"/>
        </w:tabs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uviesť informáciu o právnych predpisoch, v ktorých sú uvádzané právne akty Európskej únie už prebrané, spolu s uvedením rozsahu ich prebrania, príp. potreby prijatia ďalších úprav: nie sú</w:t>
      </w:r>
    </w:p>
    <w:p w14:paraId="01DF41E4" w14:textId="77777777" w:rsidR="007905F8" w:rsidRDefault="007905F8" w:rsidP="007905F8">
      <w:pPr>
        <w:widowControl w:val="0"/>
        <w:tabs>
          <w:tab w:val="left" w:pos="360"/>
        </w:tabs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</w:p>
    <w:p w14:paraId="6CEF7FF2" w14:textId="77777777" w:rsidR="007905F8" w:rsidRPr="0089589F" w:rsidRDefault="007905F8" w:rsidP="007905F8">
      <w:pPr>
        <w:pStyle w:val="Odsekzoznamu"/>
        <w:numPr>
          <w:ilvl w:val="0"/>
          <w:numId w:val="14"/>
        </w:numPr>
        <w:tabs>
          <w:tab w:val="num" w:pos="426"/>
          <w:tab w:val="num" w:pos="709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9589F">
        <w:rPr>
          <w:rFonts w:ascii="Times New Roman" w:hAnsi="Times New Roman"/>
          <w:b/>
          <w:bCs/>
          <w:sz w:val="24"/>
          <w:szCs w:val="24"/>
        </w:rPr>
        <w:t>Návrh zákona je zlučiteľný s právom Európskej únie:</w:t>
      </w:r>
    </w:p>
    <w:p w14:paraId="3B0C68FE" w14:textId="77777777" w:rsidR="007905F8" w:rsidRPr="006A2A6B" w:rsidRDefault="007905F8" w:rsidP="007905F8">
      <w:pPr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A2A6B">
        <w:rPr>
          <w:rFonts w:ascii="Times New Roman" w:hAnsi="Times New Roman"/>
          <w:sz w:val="24"/>
          <w:szCs w:val="24"/>
        </w:rPr>
        <w:t xml:space="preserve"> Úplne.</w:t>
      </w:r>
    </w:p>
    <w:p w14:paraId="027E6C6A" w14:textId="0514E63D" w:rsidR="007905F8" w:rsidRDefault="007905F8" w:rsidP="00054C41">
      <w:pPr>
        <w:spacing w:after="0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</w:p>
    <w:p w14:paraId="0DD15FA5" w14:textId="3DE444FA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7936EFA4" w14:textId="3FD97DE4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15BF62E1" w14:textId="76C0CF5A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5DDFB18B" w14:textId="3E5D4C3F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1C42DC03" w14:textId="4408C794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1FDD5A53" w14:textId="076A2DDE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0F6E594B" w14:textId="415B1ACD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5F1FF46D" w14:textId="3ADB4AE7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09D55351" w14:textId="174C0BA8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5B67DEE8" w14:textId="6DD3412D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5C785A93" w14:textId="42EA8B7F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3AF64CD2" w14:textId="3323069E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61C1B72F" w14:textId="25A2560C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5FCBCF38" w14:textId="26847E6B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43F295FA" w14:textId="43747DCE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670B122A" w14:textId="77777777" w:rsidR="006037B6" w:rsidRDefault="006037B6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73E3BB67" w14:textId="55BE870A" w:rsidR="007905F8" w:rsidRDefault="007905F8" w:rsidP="00054C41">
      <w:pPr>
        <w:spacing w:after="0"/>
        <w:jc w:val="both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</w:p>
    <w:p w14:paraId="4C644607" w14:textId="23C07CC7" w:rsidR="007905F8" w:rsidRPr="007905F8" w:rsidRDefault="007905F8" w:rsidP="007905F8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Dôvodová správa – osobitná časť</w:t>
      </w:r>
    </w:p>
    <w:p w14:paraId="3BEDBBCF" w14:textId="2578964B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 čl. I</w:t>
      </w:r>
    </w:p>
    <w:p w14:paraId="1E2A8880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A4AD169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 § 1</w:t>
      </w:r>
    </w:p>
    <w:p w14:paraId="128451CF" w14:textId="5E357069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Navrhovaným ustanovením sa upravuje predmet úpravy zákona, ktorým je </w:t>
      </w:r>
      <w:r w:rsidRPr="00391953">
        <w:rPr>
          <w:rFonts w:ascii="Times New Roman" w:hAnsi="Times New Roman" w:cs="Times New Roman"/>
          <w:sz w:val="24"/>
          <w:szCs w:val="24"/>
        </w:rPr>
        <w:t xml:space="preserve">daň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006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výhody získanej v dôsledku osobitnej situácie na trhu s ropou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4326593E" w14:textId="77777777" w:rsidR="007905F8" w:rsidRP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9432AEB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 § 2</w:t>
      </w:r>
    </w:p>
    <w:p w14:paraId="42B1CF0D" w14:textId="1B50F361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0967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Vymedzujú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sa základné pojmy na účely zákona.</w:t>
      </w:r>
    </w:p>
    <w:p w14:paraId="0B9582F8" w14:textId="77777777" w:rsidR="007905F8" w:rsidRP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3A610E2C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 § 3</w:t>
      </w:r>
    </w:p>
    <w:p w14:paraId="44BD2D9E" w14:textId="2231244E" w:rsidR="007905F8" w:rsidRDefault="007905F8" w:rsidP="007905F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V navrhovanom ustanovení je špecifikovaný predmet dane, ktorým je </w:t>
      </w:r>
      <w:r>
        <w:rPr>
          <w:rFonts w:ascii="Times New Roman" w:hAnsi="Times New Roman" w:cs="Times New Roman"/>
          <w:sz w:val="24"/>
          <w:szCs w:val="24"/>
        </w:rPr>
        <w:t>výhoda</w:t>
      </w:r>
      <w:r w:rsidRPr="00006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získan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á</w:t>
      </w:r>
      <w:r w:rsidRPr="00006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 dôsledku osobitnej situácie na trhu 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006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ropou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spôsobenou značným poklesom ceny ropy s pôvodom v Ruskej federácii, ktorá je využívaná na výrobu pohonných  látok a iných výrobkov v rafinériách. Tieto pohonné látky sú však na trh uvádzané za ceny porovnateľné s cenami pohonných látok vyrábaných z ropy s iným pôvodom, ktorej cena je na relevantných trhoch výrazne vyššia,</w:t>
      </w:r>
      <w:r w:rsidRPr="00D075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napríklad z ropy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Brent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</w:p>
    <w:p w14:paraId="524A970E" w14:textId="77777777" w:rsidR="007905F8" w:rsidRPr="007905F8" w:rsidRDefault="007905F8" w:rsidP="007905F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288BD0F4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 § 4</w:t>
      </w:r>
    </w:p>
    <w:p w14:paraId="0E9B4414" w14:textId="1C92D1C6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Daňovníkom je každá osoba, ktorá na základe </w:t>
      </w:r>
      <w:r w:rsidRPr="00B143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živnostenského oprávnenia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vyrába výrobky z ropy (napríklad </w:t>
      </w:r>
      <w:r w:rsidRPr="00B143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pohonné látky, mazivá, palivá, uhľovodíky a ich deriváty, plasty a výrobky z nich, anorganické produkty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) a ropu</w:t>
      </w:r>
      <w:r w:rsidRPr="00B143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chemick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y spracováva. </w:t>
      </w:r>
    </w:p>
    <w:p w14:paraId="4786665E" w14:textId="77777777" w:rsidR="007905F8" w:rsidRP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58F5B6D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 § 5</w:t>
      </w:r>
    </w:p>
    <w:p w14:paraId="548008A3" w14:textId="63C227A0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Ustanovuje sa spôsob výpočtu základu dane v amerických dolároch vzhľadom na štandardnú referenčnú menu, v ktorej sa ropa obchoduje. Pri stanovení základu dane sa vychádza z množstva nadobudnutej ropy s pôvodom v Ruskej federácii, priemernej mesačnej hodnoty ropy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Brent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zverejnenej na webovom sídle Svetovej banky, z priemernej ceny obstarania ropy daňovníkom a z 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korektívu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(5 USD), ktorý zohľadňuje rôzne fyzikálne vlastnosti medzi týmito druhmi rôp. Ak základ dane je záporný alebo rovný nule, daňovníkovi v súvislosti s týmto zákonom nevzniká povinnosť podať oznámenie a zaplatiť daň. </w:t>
      </w:r>
    </w:p>
    <w:p w14:paraId="2A7720E8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4ED83E90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13CC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K §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64B0743B" w14:textId="7C96399E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61D1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Za zdaňovacie obdobie sa ustanovuje kalendárny mesiac.</w:t>
      </w:r>
    </w:p>
    <w:p w14:paraId="2A2D6CF1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6067F0D8" w14:textId="77777777" w:rsidR="007905F8" w:rsidRPr="00913CC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13CC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 § 7</w:t>
      </w:r>
    </w:p>
    <w:p w14:paraId="3241E69A" w14:textId="55FD563E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Sadzba dane z </w:t>
      </w:r>
      <w:r w:rsidRPr="00006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výhody získanej v dôsledku osobitnej situácie na trhu s ropou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je vo výške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br/>
        <w:t xml:space="preserve">30 %. </w:t>
      </w:r>
    </w:p>
    <w:p w14:paraId="72E2626F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25386096" w14:textId="77777777" w:rsidR="007905F8" w:rsidRPr="00913CC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13CC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K §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</w:p>
    <w:p w14:paraId="7EDE2EA2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Ustanovenie upravuje samotný výpočet dane. Daň vypočítaná v dolároch sa prepočíta na eurá v súlade s § 14. </w:t>
      </w:r>
    </w:p>
    <w:p w14:paraId="2CAFFC62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671F512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 § 9</w:t>
      </w:r>
    </w:p>
    <w:p w14:paraId="0CD39998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Daň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006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výhody získanej v dôsledku osobitnej situácie na trhu s ropou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sa vyrubuje oznámením, ktoré je daňovník povinný doručiť správcovi dane do 25. dňa nasledujúceho kalendárneho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 xml:space="preserve">mesiaca po príslušnom zdaňovacom období. V tejto lehote je zároveň daň splatná. Oznámenie sa podáva len vtedy, ak je daň vyššia ako nula. </w:t>
      </w:r>
    </w:p>
    <w:p w14:paraId="2CB81EFB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Ďalej sa navrhuje, ktoré údaje je daňovník povinný v oznámení správcovi dane uvádzať.</w:t>
      </w:r>
    </w:p>
    <w:p w14:paraId="2E8956F4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Oznámenie </w:t>
      </w:r>
      <w:r w:rsidRPr="00D622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sa považuje za daňové priznanie podľa Daňového poriadku. </w:t>
      </w:r>
    </w:p>
    <w:p w14:paraId="6A8E8370" w14:textId="6EE8DEB6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622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Ak daňovník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dodatočné oznámenie</w:t>
      </w:r>
      <w:r w:rsidRPr="00D622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ktorým si zvýši daň v dôsledku </w:t>
      </w:r>
      <w:r w:rsidRPr="00D622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dodatočnej zmeny priemernej ceny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</w:t>
      </w:r>
      <w:r w:rsidRPr="00D622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za ktorú si obstaral ropu</w:t>
      </w:r>
      <w:r w:rsidRPr="00D622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správca dane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mu </w:t>
      </w:r>
      <w:r w:rsidRPr="00D622E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neuloží pokutu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z dorubenia dane.</w:t>
      </w:r>
    </w:p>
    <w:p w14:paraId="76B4DB28" w14:textId="77777777" w:rsidR="007905F8" w:rsidRP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8555C4A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 § 10</w:t>
      </w:r>
    </w:p>
    <w:p w14:paraId="2A90504A" w14:textId="76871B51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Správcom tejto dane je Úrad pre vybrané hospodárske subjekty.</w:t>
      </w:r>
    </w:p>
    <w:p w14:paraId="382FF2C7" w14:textId="77777777" w:rsidR="007905F8" w:rsidRP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D64F122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 § 11</w:t>
      </w:r>
    </w:p>
    <w:p w14:paraId="697BAA04" w14:textId="1407A786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Na správu tejto dane sa subsidiárne použije Daňový poriadok.</w:t>
      </w:r>
    </w:p>
    <w:p w14:paraId="04B27C73" w14:textId="77777777" w:rsidR="007905F8" w:rsidRP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48365CC7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 § 12</w:t>
      </w:r>
    </w:p>
    <w:p w14:paraId="4AA5C024" w14:textId="56D7AD2B" w:rsidR="007905F8" w:rsidRDefault="007905F8" w:rsidP="00790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Zavádza sa osobitné pravidlo, ktorého cieľom je zabrániť obchádzaniu riadneho plnenia daňovej povinnosti vyplývajúcej z tohto zákona. </w:t>
      </w:r>
    </w:p>
    <w:p w14:paraId="2B1B2DE7" w14:textId="77777777" w:rsidR="007905F8" w:rsidRDefault="007905F8" w:rsidP="00790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C8F8EC" w14:textId="77777777" w:rsidR="007905F8" w:rsidRPr="006F7E3F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E3F">
        <w:rPr>
          <w:rFonts w:ascii="Times New Roman" w:eastAsia="Calibri" w:hAnsi="Times New Roman" w:cs="Times New Roman"/>
          <w:b/>
          <w:bCs/>
          <w:sz w:val="24"/>
          <w:szCs w:val="24"/>
        </w:rPr>
        <w:t>K § 13</w:t>
      </w:r>
    </w:p>
    <w:p w14:paraId="552C1B22" w14:textId="2E99C8BB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Prvé zdaňovacie obdobie je jún 2022.</w:t>
      </w:r>
    </w:p>
    <w:p w14:paraId="5CB68141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19BDF9" w14:textId="77777777" w:rsidR="007905F8" w:rsidRPr="006F7E3F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E3F">
        <w:rPr>
          <w:rFonts w:ascii="Times New Roman" w:eastAsia="Calibri" w:hAnsi="Times New Roman" w:cs="Times New Roman"/>
          <w:b/>
          <w:bCs/>
          <w:sz w:val="24"/>
          <w:szCs w:val="24"/>
        </w:rPr>
        <w:t>K § 14</w:t>
      </w:r>
    </w:p>
    <w:p w14:paraId="5869A00C" w14:textId="4AAA7BBB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 prepočet súm medzi použitými menami sa použije priemerný mesačný kurz zverejňovaný ECB alebo NBS. </w:t>
      </w:r>
    </w:p>
    <w:p w14:paraId="09598B55" w14:textId="77777777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2DD0D6" w14:textId="77777777" w:rsidR="007905F8" w:rsidRPr="006F7E3F" w:rsidRDefault="007905F8" w:rsidP="007905F8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7E3F">
        <w:rPr>
          <w:rFonts w:ascii="Times New Roman" w:eastAsia="Calibri" w:hAnsi="Times New Roman" w:cs="Times New Roman"/>
          <w:b/>
          <w:bCs/>
          <w:sz w:val="24"/>
          <w:szCs w:val="24"/>
        </w:rPr>
        <w:t>K § 15</w:t>
      </w:r>
    </w:p>
    <w:p w14:paraId="2E348E64" w14:textId="2789D296" w:rsidR="007905F8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Posledným zdaňovacím obdobím je december 2024, pričom ak po 31. 12. 2022 počas 3 po sebe nasledujúcich kalendárnych mesiacov bude daňová povinnosť nulová z dôvodu cenového rozdielu medzi referenčnou cenou a priemernou cenou obstarania ropy, posledným zdaňovacím obdobím je tento 3. kalendárny mesiac.</w:t>
      </w:r>
    </w:p>
    <w:p w14:paraId="6D608813" w14:textId="77777777" w:rsidR="007905F8" w:rsidRPr="00B143FF" w:rsidRDefault="007905F8" w:rsidP="007905F8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476F64" w14:textId="7C7E61D9" w:rsidR="007905F8" w:rsidRDefault="007905F8" w:rsidP="007905F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 čl. II</w:t>
      </w:r>
    </w:p>
    <w:p w14:paraId="177CAE55" w14:textId="77777777" w:rsidR="007905F8" w:rsidRDefault="007905F8" w:rsidP="007905F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AD02EF" w14:textId="76B450B1" w:rsidR="007905F8" w:rsidRDefault="007905F8" w:rsidP="007905F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 nadväznosti na čl. I sa navrhuje, aby bola d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aň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006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výhody získanej v dôsledku osobitnej situácie na trhu s ropou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daňovým výdavkom.</w:t>
      </w:r>
    </w:p>
    <w:p w14:paraId="7E888C02" w14:textId="77777777" w:rsidR="007905F8" w:rsidRPr="007905F8" w:rsidRDefault="007905F8" w:rsidP="007905F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2566928" w14:textId="6B9A9C4C" w:rsidR="007905F8" w:rsidRDefault="007905F8" w:rsidP="007905F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 čl. III</w:t>
      </w:r>
    </w:p>
    <w:p w14:paraId="256AF404" w14:textId="77777777" w:rsidR="007905F8" w:rsidRDefault="007905F8" w:rsidP="007905F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51E9CB" w14:textId="22EAD088" w:rsidR="007905F8" w:rsidRDefault="007905F8" w:rsidP="007905F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Navrhovaným článkom sa rozširuje predmet úpravy daňového poriadku o d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aň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006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výhody získanej v dôsledku osobitnej situácie na trhu s ropou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54EB1FF" w14:textId="77777777" w:rsidR="007905F8" w:rsidRPr="007905F8" w:rsidRDefault="007905F8" w:rsidP="007905F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C81291C" w14:textId="44D3D21B" w:rsidR="007905F8" w:rsidRDefault="007905F8" w:rsidP="007905F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 čl. IV</w:t>
      </w:r>
    </w:p>
    <w:p w14:paraId="0D3029E2" w14:textId="77777777" w:rsidR="007905F8" w:rsidRPr="007905F8" w:rsidRDefault="007905F8" w:rsidP="007905F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2D9E22" w14:textId="7A9013E8" w:rsidR="007905F8" w:rsidRDefault="007905F8" w:rsidP="007905F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Účinnosť tohto zákona sa navrhuje 1. júna 2022. </w:t>
      </w:r>
    </w:p>
    <w:p w14:paraId="0458A51E" w14:textId="0EFA1E5E" w:rsidR="007905F8" w:rsidRDefault="007905F8" w:rsidP="007905F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C6BA9EE" w14:textId="654BA64E" w:rsidR="007905F8" w:rsidRDefault="007905F8" w:rsidP="007905F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237EE0E" w14:textId="7E0A7358" w:rsidR="007905F8" w:rsidRDefault="007905F8" w:rsidP="007905F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1F7E1E4" w14:textId="14882D7E" w:rsidR="007905F8" w:rsidRDefault="007905F8" w:rsidP="007905F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5696E20" w14:textId="77777777" w:rsidR="007905F8" w:rsidRDefault="007905F8" w:rsidP="0079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786">
        <w:rPr>
          <w:rFonts w:ascii="Times New Roman" w:hAnsi="Times New Roman" w:cs="Times New Roman"/>
          <w:sz w:val="24"/>
          <w:szCs w:val="24"/>
        </w:rPr>
        <w:lastRenderedPageBreak/>
        <w:t xml:space="preserve">V Bratislave dňa </w:t>
      </w:r>
      <w:r w:rsidRPr="00917F40">
        <w:rPr>
          <w:rFonts w:ascii="Times New Roman" w:hAnsi="Times New Roman" w:cs="Times New Roman"/>
          <w:sz w:val="24"/>
          <w:szCs w:val="24"/>
        </w:rPr>
        <w:t>18. mája 2022</w:t>
      </w:r>
    </w:p>
    <w:p w14:paraId="28B28630" w14:textId="77777777" w:rsidR="007905F8" w:rsidRDefault="007905F8" w:rsidP="007905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D29AA1" w14:textId="77777777" w:rsidR="007905F8" w:rsidRDefault="007905F8" w:rsidP="007905F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182FF5C" w14:textId="77777777" w:rsidR="007905F8" w:rsidRDefault="007905F8" w:rsidP="00790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8B4357" w14:textId="77777777" w:rsidR="007905F8" w:rsidRDefault="007905F8" w:rsidP="00790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A32F0F" w14:textId="77777777" w:rsidR="007905F8" w:rsidRPr="0068716D" w:rsidRDefault="007905F8" w:rsidP="00790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Eduard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sk-SK"/>
        </w:rPr>
        <w:t>Heger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, </w:t>
      </w:r>
      <w:r w:rsidRPr="00917F40">
        <w:rPr>
          <w:rFonts w:ascii="Times New Roman" w:hAnsi="Times New Roman"/>
          <w:b/>
          <w:bCs/>
          <w:sz w:val="24"/>
          <w:szCs w:val="24"/>
          <w:lang w:eastAsia="sk-SK"/>
        </w:rPr>
        <w:t>v. r.</w:t>
      </w:r>
    </w:p>
    <w:p w14:paraId="45510CBE" w14:textId="77777777" w:rsidR="007905F8" w:rsidRDefault="007905F8" w:rsidP="007905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68716D">
        <w:rPr>
          <w:rFonts w:ascii="Times New Roman" w:hAnsi="Times New Roman"/>
          <w:bCs/>
          <w:sz w:val="24"/>
          <w:szCs w:val="24"/>
          <w:lang w:eastAsia="sk-SK"/>
        </w:rPr>
        <w:t>predseda vlády Slovenskej republiky</w:t>
      </w:r>
    </w:p>
    <w:p w14:paraId="5162BB00" w14:textId="77777777" w:rsidR="007905F8" w:rsidRDefault="007905F8" w:rsidP="007905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14:paraId="53ACD101" w14:textId="77777777" w:rsidR="007905F8" w:rsidRDefault="007905F8" w:rsidP="007905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14:paraId="27DB03AF" w14:textId="77777777" w:rsidR="007905F8" w:rsidRDefault="007905F8" w:rsidP="007905F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18290EC4" w14:textId="77777777" w:rsidR="007905F8" w:rsidRDefault="007905F8" w:rsidP="00790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2845E6" w14:textId="77777777" w:rsidR="007905F8" w:rsidRDefault="007905F8" w:rsidP="007905F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0E7A71" w14:textId="77777777" w:rsidR="007905F8" w:rsidRPr="0068716D" w:rsidRDefault="007905F8" w:rsidP="007905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14:paraId="247C44DA" w14:textId="77777777" w:rsidR="007905F8" w:rsidRPr="0068716D" w:rsidRDefault="007905F8" w:rsidP="007905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Igor Matovič, </w:t>
      </w:r>
      <w:r w:rsidRPr="00917F40">
        <w:rPr>
          <w:rFonts w:ascii="Times New Roman" w:hAnsi="Times New Roman"/>
          <w:b/>
          <w:bCs/>
          <w:sz w:val="24"/>
          <w:szCs w:val="24"/>
          <w:lang w:eastAsia="sk-SK"/>
        </w:rPr>
        <w:t>v. r.</w:t>
      </w:r>
    </w:p>
    <w:p w14:paraId="4E6A2627" w14:textId="77777777" w:rsidR="007905F8" w:rsidRPr="006F36CF" w:rsidRDefault="007905F8" w:rsidP="007905F8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podpredseda vlády a </w:t>
      </w:r>
      <w:r w:rsidRPr="0068716D">
        <w:rPr>
          <w:rFonts w:ascii="Times New Roman" w:hAnsi="Times New Roman"/>
          <w:bCs/>
          <w:sz w:val="24"/>
          <w:szCs w:val="24"/>
          <w:lang w:eastAsia="sk-SK"/>
        </w:rPr>
        <w:t>minister financií Slovenskej republiky</w:t>
      </w:r>
    </w:p>
    <w:p w14:paraId="4745F7B1" w14:textId="77777777" w:rsidR="007905F8" w:rsidRPr="007905F8" w:rsidRDefault="007905F8" w:rsidP="007905F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sectPr w:rsidR="007905F8" w:rsidRPr="0079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599EE" w14:textId="77777777" w:rsidR="00C94AA3" w:rsidRDefault="00C94AA3" w:rsidP="00054C41">
      <w:pPr>
        <w:spacing w:after="0" w:line="240" w:lineRule="auto"/>
      </w:pPr>
      <w:r>
        <w:separator/>
      </w:r>
    </w:p>
  </w:endnote>
  <w:endnote w:type="continuationSeparator" w:id="0">
    <w:p w14:paraId="0714644A" w14:textId="77777777" w:rsidR="00C94AA3" w:rsidRDefault="00C94AA3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C65D" w14:textId="77777777" w:rsidR="003E04A7" w:rsidRDefault="003E04A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B6EA3B2" w14:textId="77777777" w:rsidR="003E04A7" w:rsidRDefault="003E04A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941904"/>
      <w:docPartObj>
        <w:docPartGallery w:val="Page Numbers (Bottom of Page)"/>
        <w:docPartUnique/>
      </w:docPartObj>
    </w:sdtPr>
    <w:sdtEndPr/>
    <w:sdtContent>
      <w:p w14:paraId="473FBD95" w14:textId="122B6144" w:rsidR="006037B6" w:rsidRDefault="006037B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F40">
          <w:rPr>
            <w:noProof/>
          </w:rPr>
          <w:t>2</w:t>
        </w:r>
        <w:r>
          <w:fldChar w:fldCharType="end"/>
        </w:r>
      </w:p>
    </w:sdtContent>
  </w:sdt>
  <w:p w14:paraId="6A607BC9" w14:textId="77777777" w:rsidR="003E04A7" w:rsidRDefault="003E04A7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5EFFC" w14:textId="77777777" w:rsidR="003E04A7" w:rsidRDefault="003E04A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1FB479FB" w14:textId="77777777" w:rsidR="003E04A7" w:rsidRDefault="003E04A7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014391"/>
      <w:docPartObj>
        <w:docPartGallery w:val="Page Numbers (Bottom of Page)"/>
        <w:docPartUnique/>
      </w:docPartObj>
    </w:sdtPr>
    <w:sdtEndPr/>
    <w:sdtContent>
      <w:p w14:paraId="0D60D81C" w14:textId="76C74A25" w:rsidR="006037B6" w:rsidRDefault="006037B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F40">
          <w:rPr>
            <w:noProof/>
          </w:rPr>
          <w:t>16</w:t>
        </w:r>
        <w:r>
          <w:fldChar w:fldCharType="end"/>
        </w:r>
      </w:p>
    </w:sdtContent>
  </w:sdt>
  <w:p w14:paraId="68AC3825" w14:textId="77777777" w:rsidR="00142154" w:rsidRDefault="001421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B5C24" w14:textId="77777777" w:rsidR="00C94AA3" w:rsidRDefault="00C94AA3" w:rsidP="00054C41">
      <w:pPr>
        <w:spacing w:after="0" w:line="240" w:lineRule="auto"/>
      </w:pPr>
      <w:r>
        <w:separator/>
      </w:r>
    </w:p>
  </w:footnote>
  <w:footnote w:type="continuationSeparator" w:id="0">
    <w:p w14:paraId="7EB352B0" w14:textId="77777777" w:rsidR="00C94AA3" w:rsidRDefault="00C94AA3" w:rsidP="0005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582A" w14:textId="77777777" w:rsidR="003E04A7" w:rsidRDefault="003E04A7" w:rsidP="009B0E03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11FC298A" w14:textId="77777777" w:rsidR="003E04A7" w:rsidRPr="00EB59C8" w:rsidRDefault="003E04A7" w:rsidP="009B0E03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845A" w14:textId="27F562E1" w:rsidR="003E04A7" w:rsidRPr="0024067A" w:rsidRDefault="003E04A7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EF04" w14:textId="77777777" w:rsidR="003E04A7" w:rsidRPr="000A15AE" w:rsidRDefault="003E04A7" w:rsidP="009B0E03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BDFF3" w14:textId="77777777" w:rsidR="00142154" w:rsidRPr="006045CB" w:rsidRDefault="00142154" w:rsidP="001421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EFC"/>
    <w:multiLevelType w:val="hybridMultilevel"/>
    <w:tmpl w:val="26142D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0554"/>
    <w:multiLevelType w:val="hybridMultilevel"/>
    <w:tmpl w:val="B9CC4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B77D4"/>
    <w:multiLevelType w:val="multilevel"/>
    <w:tmpl w:val="9B6C2164"/>
    <w:lvl w:ilvl="0">
      <w:start w:val="4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6" w15:restartNumberingAfterBreak="0">
    <w:nsid w:val="6B625AE5"/>
    <w:multiLevelType w:val="singleLevel"/>
    <w:tmpl w:val="422AB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6F252805"/>
    <w:multiLevelType w:val="hybridMultilevel"/>
    <w:tmpl w:val="74CC4C46"/>
    <w:lvl w:ilvl="0" w:tplc="1952A8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F786535"/>
    <w:multiLevelType w:val="hybridMultilevel"/>
    <w:tmpl w:val="0FE2A790"/>
    <w:lvl w:ilvl="0" w:tplc="A9F830AE">
      <w:numFmt w:val="bullet"/>
      <w:lvlText w:val="-"/>
      <w:lvlJc w:val="left"/>
      <w:pPr>
        <w:ind w:left="5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54C41"/>
    <w:rsid w:val="00060DA1"/>
    <w:rsid w:val="000C5E9A"/>
    <w:rsid w:val="00142154"/>
    <w:rsid w:val="001B4C03"/>
    <w:rsid w:val="001D1083"/>
    <w:rsid w:val="001D3FA0"/>
    <w:rsid w:val="001E53CB"/>
    <w:rsid w:val="00225A83"/>
    <w:rsid w:val="00270EA5"/>
    <w:rsid w:val="002A708B"/>
    <w:rsid w:val="002B3CBC"/>
    <w:rsid w:val="00335327"/>
    <w:rsid w:val="00340CFD"/>
    <w:rsid w:val="00363250"/>
    <w:rsid w:val="0037746F"/>
    <w:rsid w:val="0038255E"/>
    <w:rsid w:val="00391648"/>
    <w:rsid w:val="0039304E"/>
    <w:rsid w:val="003E04A7"/>
    <w:rsid w:val="003E58B8"/>
    <w:rsid w:val="003E7FA2"/>
    <w:rsid w:val="003F06D7"/>
    <w:rsid w:val="00426F08"/>
    <w:rsid w:val="00436A32"/>
    <w:rsid w:val="00445638"/>
    <w:rsid w:val="00446432"/>
    <w:rsid w:val="00461B66"/>
    <w:rsid w:val="004D20CB"/>
    <w:rsid w:val="006037B6"/>
    <w:rsid w:val="007259CB"/>
    <w:rsid w:val="0077106D"/>
    <w:rsid w:val="007905F8"/>
    <w:rsid w:val="007B40FB"/>
    <w:rsid w:val="007E24B2"/>
    <w:rsid w:val="008634E9"/>
    <w:rsid w:val="00865A5C"/>
    <w:rsid w:val="008801B5"/>
    <w:rsid w:val="00883F26"/>
    <w:rsid w:val="008A58EC"/>
    <w:rsid w:val="008B4AA1"/>
    <w:rsid w:val="008C1C71"/>
    <w:rsid w:val="00917F40"/>
    <w:rsid w:val="00923C0C"/>
    <w:rsid w:val="009A4D56"/>
    <w:rsid w:val="009E09F7"/>
    <w:rsid w:val="009F6436"/>
    <w:rsid w:val="00A000DA"/>
    <w:rsid w:val="00A1736E"/>
    <w:rsid w:val="00B12677"/>
    <w:rsid w:val="00B66E33"/>
    <w:rsid w:val="00BC4A78"/>
    <w:rsid w:val="00BD0EF7"/>
    <w:rsid w:val="00C06950"/>
    <w:rsid w:val="00C21399"/>
    <w:rsid w:val="00C22D89"/>
    <w:rsid w:val="00C560C4"/>
    <w:rsid w:val="00C6748F"/>
    <w:rsid w:val="00C94AA3"/>
    <w:rsid w:val="00D005F2"/>
    <w:rsid w:val="00D631FA"/>
    <w:rsid w:val="00D82356"/>
    <w:rsid w:val="00D8471B"/>
    <w:rsid w:val="00D84EEE"/>
    <w:rsid w:val="00D90A61"/>
    <w:rsid w:val="00DC3BA7"/>
    <w:rsid w:val="00DD47F8"/>
    <w:rsid w:val="00DF02CE"/>
    <w:rsid w:val="00E030DA"/>
    <w:rsid w:val="00EB2BEC"/>
    <w:rsid w:val="00EC0704"/>
    <w:rsid w:val="00ED6B5D"/>
    <w:rsid w:val="00EE4C99"/>
    <w:rsid w:val="00F31472"/>
    <w:rsid w:val="00F74FC9"/>
    <w:rsid w:val="00FF414B"/>
    <w:rsid w:val="00FF4B7A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54A6"/>
  <w15:chartTrackingRefBased/>
  <w15:docId w15:val="{D25F4236-6AA0-4B56-8F99-9645C440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aliases w:val="webb"/>
    <w:basedOn w:val="Normlny"/>
    <w:uiPriority w:val="99"/>
    <w:unhideWhenUsed/>
    <w:qFormat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EE4C99"/>
    <w:pPr>
      <w:ind w:left="720"/>
      <w:contextualSpacing/>
    </w:pPr>
  </w:style>
  <w:style w:type="paragraph" w:styleId="Popis">
    <w:name w:val="caption"/>
    <w:basedOn w:val="Normlny"/>
    <w:next w:val="Normlny"/>
    <w:uiPriority w:val="35"/>
    <w:unhideWhenUsed/>
    <w:qFormat/>
    <w:rsid w:val="00D847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wspan">
    <w:name w:val="awspan"/>
    <w:basedOn w:val="Predvolenpsmoodseku"/>
    <w:rsid w:val="002B3CBC"/>
  </w:style>
  <w:style w:type="paragraph" w:customStyle="1" w:styleId="Standard">
    <w:name w:val="Standard"/>
    <w:rsid w:val="00865A5C"/>
    <w:pPr>
      <w:suppressAutoHyphens/>
      <w:autoSpaceDN w:val="0"/>
      <w:spacing w:after="200" w:line="276" w:lineRule="auto"/>
      <w:textAlignment w:val="baseline"/>
    </w:pPr>
    <w:rPr>
      <w:rFonts w:ascii="Arial Narrow" w:eastAsia="Times New Roman" w:hAnsi="Arial Narrow" w:cs="Arial Narrow"/>
      <w:kern w:val="3"/>
    </w:rPr>
  </w:style>
  <w:style w:type="character" w:styleId="slostrany">
    <w:name w:val="page number"/>
    <w:basedOn w:val="Predvolenpsmoodseku"/>
    <w:uiPriority w:val="99"/>
    <w:rsid w:val="003E04A7"/>
    <w:rPr>
      <w:rFonts w:cs="Times New Roman"/>
    </w:rPr>
  </w:style>
  <w:style w:type="table" w:customStyle="1" w:styleId="Mriekatabuky1">
    <w:name w:val="Mriežka tabuľky1"/>
    <w:basedOn w:val="Normlnatabuka"/>
    <w:next w:val="Mriekatabuky"/>
    <w:uiPriority w:val="59"/>
    <w:rsid w:val="003E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4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Zkladntext">
    <w:name w:val="Zkladn text"/>
    <w:rsid w:val="00790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Zkladntext0">
    <w:name w:val="Body Text"/>
    <w:basedOn w:val="Normlny"/>
    <w:link w:val="ZkladntextChar"/>
    <w:uiPriority w:val="99"/>
    <w:unhideWhenUsed/>
    <w:rsid w:val="007905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7905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9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86A97.C18897B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mailto:podatelna@mfsr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3"/>
    <f:field ref="objsubject" par="" edit="true" text=""/>
    <f:field ref="objcreatedby" par="" text="Drieniková, Kristína"/>
    <f:field ref="objcreatedat" par="" text="3.11.2020 15:31:28"/>
    <f:field ref="objchangedby" par="" text="Matúšek, Miloš, JUDr."/>
    <f:field ref="objmodifiedat" par="" text="4.11.2020 13:19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FB1DDC1-0A51-4F1E-90F6-7AF19484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Slavikova Eva</cp:lastModifiedBy>
  <cp:revision>5</cp:revision>
  <cp:lastPrinted>2022-05-18T11:09:00Z</cp:lastPrinted>
  <dcterms:created xsi:type="dcterms:W3CDTF">2022-05-18T08:23:00Z</dcterms:created>
  <dcterms:modified xsi:type="dcterms:W3CDTF">2022-05-18T11:10:00Z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COO.2145.1000.3.4079697</vt:lpwstr>
  </property>
  <property fmtid="{D5CDD505-2E9C-101B-9397-08002B2CF9AE}" pid="152" name="FSC#FSCFOLIO@1.1001:docpropproject">
    <vt:lpwstr/>
  </property>
</Properties>
</file>